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October 25, 2013 the number of shares outstanding of common stock was 1,388,973,710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200" w:type="dxa"/>
            <w:vAlign w:val="bottom"/>
            <w:gridSpan w:val="4"/>
          </w:tcPr>
          <w:p>
            <w:pPr>
              <w:ind w:left="1680"/>
              <w:spacing w:after="0"/>
              <w:rPr>
                <w:sz w:val="20"/>
                <w:szCs w:val="20"/>
                <w:color w:val="auto"/>
              </w:rPr>
            </w:pPr>
            <w:r>
              <w:rPr>
                <w:rFonts w:ascii="Arial" w:cs="Arial" w:eastAsia="Arial" w:hAnsi="Arial"/>
                <w:sz w:val="18"/>
                <w:szCs w:val="18"/>
                <w:b w:val="1"/>
                <w:bCs w:val="1"/>
                <w:color w:val="auto"/>
              </w:rPr>
              <w:t>Page</w:t>
            </w:r>
          </w:p>
        </w:tc>
      </w:tr>
      <w:tr>
        <w:trPr>
          <w:trHeight w:val="27"/>
        </w:trPr>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b w:val="1"/>
                <w:bCs w:val="1"/>
                <w:color w:val="auto"/>
              </w:rPr>
              <w:t>PART I - Financial Information</w:t>
            </w:r>
          </w:p>
        </w:tc>
        <w:tc>
          <w:tcPr>
            <w:tcW w:w="2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Acquisition of Businesses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Goodwill and Intangible Assets, net</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Depreciation, Amortization and Impairment Charges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Debt</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Liability</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Derivative Financial Instruments and Risk Management</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26</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17.</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18.</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19.</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20.</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21.</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Subsequent Event</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b w:val="1"/>
                <w:bCs w:val="1"/>
                <w:color w:val="auto"/>
              </w:rPr>
              <w:t>PART II - Other Information</w:t>
            </w:r>
          </w:p>
        </w:tc>
        <w:tc>
          <w:tcPr>
            <w:tcW w:w="2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180" w:type="dxa"/>
            <w:vAlign w:val="bottom"/>
            <w:gridSpan w:val="3"/>
          </w:tcPr>
          <w:p>
            <w:pPr>
              <w:jc w:val="right"/>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180" w:type="dxa"/>
            <w:vAlign w:val="bottom"/>
            <w:gridSpan w:val="3"/>
          </w:tcPr>
          <w:p>
            <w:pPr>
              <w:jc w:val="right"/>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59</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38,120</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37,062</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112,704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111,517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38,983</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37,576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114,942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112,949</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 cost of sales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33,166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32,735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99,607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98,323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8,684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 charges (Note 7)</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36,727</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35,973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109,976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108,529</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(loss), net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(loss) on extinguishment of debt (Note 10)</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equity income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expense (Note 15)</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net of tax (Note 6)</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0"/>
                <w:szCs w:val="20"/>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4,994</w:t>
            </w: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Net income attributable to common stockholders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(Note 18)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flow hedging losses, net</w:t>
            </w:r>
          </w:p>
        </w:tc>
        <w:tc>
          <w:tcPr>
            <w:tcW w:w="4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securities,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1,135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4,335</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4,250</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0"/>
                <w:szCs w:val="20"/>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1,104</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0"/>
                <w:szCs w:val="20"/>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4,131</w:t>
            </w: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spacing w:after="0" w:line="40"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2013</w:t>
            </w:r>
          </w:p>
        </w:tc>
        <w:tc>
          <w:tcPr>
            <w:tcW w:w="160" w:type="dxa"/>
            <w:vAlign w:val="bottom"/>
          </w:tcPr>
          <w:p>
            <w:pPr>
              <w:spacing w:after="0"/>
              <w:rPr>
                <w:sz w:val="15"/>
                <w:szCs w:val="15"/>
                <w:color w:val="auto"/>
              </w:rPr>
            </w:pPr>
          </w:p>
        </w:tc>
        <w:tc>
          <w:tcPr>
            <w:tcW w:w="1300" w:type="dxa"/>
            <w:vAlign w:val="bottom"/>
          </w:tcPr>
          <w:p>
            <w:pPr>
              <w:jc w:val="right"/>
              <w:ind w:right="140"/>
              <w:spacing w:after="0"/>
              <w:rPr>
                <w:sz w:val="20"/>
                <w:szCs w:val="20"/>
                <w:color w:val="auto"/>
              </w:rPr>
            </w:pPr>
            <w:r>
              <w:rPr>
                <w:rFonts w:ascii="Arial" w:cs="Arial" w:eastAsia="Arial" w:hAnsi="Arial"/>
                <w:sz w:val="13"/>
                <w:szCs w:val="13"/>
                <w:b w:val="1"/>
                <w:bCs w:val="1"/>
                <w:color w:val="auto"/>
                <w:w w:val="90"/>
              </w:rPr>
              <w:t>December 31, 2012</w:t>
            </w:r>
          </w:p>
        </w:tc>
      </w:tr>
      <w:tr>
        <w:trPr>
          <w:trHeight w:val="210"/>
        </w:trPr>
        <w:tc>
          <w:tcPr>
            <w:tcW w:w="8340" w:type="dxa"/>
            <w:vAlign w:val="bottom"/>
            <w:tcBorders>
              <w:top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18,422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Marketable securities (Note 3)</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8,215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8,988</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marketable securities (Note 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and notes receivable (net of allowance of $325 and $311)</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11,067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10,395</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4)(including SPE receivables of $9,089 and $3,444; Note 8)</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Inventories (Note 5)</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15,357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14,714</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9,868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9,429</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1,536</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81,164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69,996</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Restricted cash and marketable securities (Note 3)</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682</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4)(including SPE receivables of $10,604 and $6,458; Note 8)</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6)</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7,897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6,883</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24,196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Goodwill (Note 7)</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1,973</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 (Note 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6,809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GM Financial equipment on operating leases, net (including SPE assets of $1,685 and $540; Note 8)</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1,649</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27,922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2,896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2,358</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79,426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168,539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149,422</w:t>
            </w:r>
          </w:p>
        </w:tc>
      </w:tr>
      <w:tr>
        <w:trPr>
          <w:trHeight w:val="73"/>
        </w:trPr>
        <w:tc>
          <w:tcPr>
            <w:tcW w:w="83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314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78" w:orient="portrait"/>
          <w:cols w:equalWidth="0" w:num="1">
            <w:col w:w="11420"/>
          </w:cols>
          <w:pgMar w:left="240" w:top="341" w:right="239" w:bottom="0" w:gutter="0" w:footer="0" w:header="0"/>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Short-term debt and current portion of 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 (including certain debt at VIEs of $187 and $228; Note 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GM Financial (including certain debt at VIEs of $8,435 and $3,770;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 (including certain debt at VIEs of $77 and $122; Note 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GM Financial (including certain debt at VIEs of $9,712 and $5,608;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and deferred income taxes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17)</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Preferred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Series A</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906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Equity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27,242</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25,166</w:t>
            </w:r>
          </w:p>
        </w:tc>
      </w:tr>
      <w:tr>
        <w:trPr>
          <w:trHeight w:val="540"/>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1,786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1,748</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9,653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3,770</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23,882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23,308</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62,563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53,992</w:t>
            </w:r>
          </w:p>
        </w:tc>
      </w:tr>
      <w:tr>
        <w:trPr>
          <w:trHeight w:val="810"/>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6,662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3,424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14,022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7,108</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6,855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7,309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27,030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27,420</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14,046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13,169</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68,615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58,430</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131,178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112,422</w:t>
            </w:r>
          </w:p>
        </w:tc>
      </w:tr>
      <w:tr>
        <w:trPr>
          <w:trHeight w:val="1080"/>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5,536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4,855</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23,878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23,834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12,903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10,057</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(7,981)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(8,052)</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36,778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36,244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756</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ectPr>
          <w:pgSz w:w="11900" w:h="16878" w:orient="portrait"/>
          <w:cols w:equalWidth="0" w:num="2">
            <w:col w:w="7620" w:space="720"/>
            <w:col w:w="3080"/>
          </w:cols>
          <w:pgMar w:left="240" w:top="341" w:right="239" w:bottom="0" w:gutter="0" w:footer="0" w:header="0"/>
          <w:type w:val="continuous"/>
        </w:sectPr>
      </w:pPr>
    </w:p>
    <w:bookmarkStart w:id="5" w:name="page6"/>
    <w:bookmarkEnd w:id="5"/>
    <w:p>
      <w:pPr>
        <w:jc w:val="both"/>
        <w:ind w:left="9240"/>
        <w:spacing w:after="0"/>
        <w:tabs>
          <w:tab w:leader="none" w:pos="10800" w:val="left"/>
        </w:tabs>
        <w:rPr>
          <w:sz w:val="20"/>
          <w:szCs w:val="20"/>
          <w:color w:val="auto"/>
        </w:rPr>
      </w:pPr>
      <w:r>
        <w:rPr>
          <w:rFonts w:ascii="Arial" w:cs="Arial" w:eastAsia="Arial" w:hAnsi="Arial"/>
          <w:sz w:val="16"/>
          <w:szCs w:val="16"/>
          <w:color w:val="auto"/>
        </w:rPr>
        <w:t>37,361</w:t>
      </w:r>
      <w:r>
        <w:rPr>
          <w:sz w:val="20"/>
          <w:szCs w:val="20"/>
          <w:color w:val="auto"/>
        </w:rPr>
        <w:tab/>
      </w:r>
      <w:r>
        <w:rPr>
          <w:rFonts w:ascii="Arial" w:cs="Arial" w:eastAsia="Arial" w:hAnsi="Arial"/>
          <w:sz w:val="16"/>
          <w:szCs w:val="16"/>
          <w:color w:val="auto"/>
        </w:rPr>
        <w:t>37,000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-109855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2" w:lineRule="exact"/>
        <w:rPr>
          <w:sz w:val="20"/>
          <w:szCs w:val="20"/>
          <w:color w:val="auto"/>
        </w:rPr>
      </w:pPr>
    </w:p>
    <w:p>
      <w:pPr>
        <w:spacing w:after="0"/>
        <w:tabs>
          <w:tab w:leader="none" w:pos="8300" w:val="left"/>
          <w:tab w:leader="none" w:pos="9140" w:val="left"/>
          <w:tab w:leader="none" w:pos="9920" w:val="left"/>
          <w:tab w:leader="none" w:pos="10720" w:val="left"/>
        </w:tabs>
        <w:rPr>
          <w:sz w:val="20"/>
          <w:szCs w:val="20"/>
          <w:color w:val="auto"/>
        </w:rPr>
      </w:pPr>
      <w:r>
        <w:rPr>
          <w:rFonts w:ascii="Arial" w:cs="Arial" w:eastAsia="Arial" w:hAnsi="Arial"/>
          <w:sz w:val="16"/>
          <w:szCs w:val="16"/>
          <w:b w:val="1"/>
          <w:bCs w:val="1"/>
          <w:color w:val="auto"/>
        </w:rPr>
        <w:t>Total Liabilities and Equity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168,539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149,422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46355</wp:posOffset>
            </wp:positionV>
            <wp:extent cx="19551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Reference should be made to the notes to condensed consolidated financial statements.</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80" w:top="13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1"/>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Series A</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Series B</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3"/>
                <w:szCs w:val="13"/>
                <w:color w:val="auto"/>
              </w:rPr>
            </w:pPr>
          </w:p>
        </w:tc>
        <w:tc>
          <w:tcPr>
            <w:tcW w:w="7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38,991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4,994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0"/>
              <w:spacing w:after="0"/>
              <w:rPr>
                <w:sz w:val="20"/>
                <w:szCs w:val="20"/>
                <w:color w:val="auto"/>
              </w:rPr>
            </w:pPr>
            <w:r>
              <w:rPr>
                <w:rFonts w:ascii="Arial" w:cs="Arial" w:eastAsia="Arial" w:hAnsi="Arial"/>
                <w:sz w:val="16"/>
                <w:szCs w:val="16"/>
                <w:color w:val="auto"/>
              </w:rPr>
              <w:t>Preferred Stock and cumulative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w w:val="93"/>
              </w:rPr>
              <w:t>dividends on Series B Preferred Stock</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42,629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37,000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9"/>
              </w:rPr>
              <w:t>Purchase and cancellation of Series A</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charge related to</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purchase of Series A Preferred Stock</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and cumulative dividends on Series B</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Preferred Stock</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Balance at September 30, 2013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23,878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12,903</w:t>
            </w:r>
          </w:p>
        </w:tc>
        <w:tc>
          <w:tcPr>
            <w:tcW w:w="10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(7,981)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37,361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Pr>
          <w:p>
            <w:pPr>
              <w:spacing w:after="0"/>
              <w:rPr>
                <w:sz w:val="22"/>
                <w:szCs w:val="22"/>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September 30, 2012</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9,572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9,824</w:t>
            </w: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1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(4,247)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(3,818)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2,777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8,923</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5,313</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Purchases and funding of finance receivables</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(18,011)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(4,941)</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Decrease (increase) in notes receivable</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40" w:type="dxa"/>
            <w:vAlign w:val="bottom"/>
          </w:tcPr>
          <w:p>
            <w:pPr>
              <w:spacing w:after="0"/>
              <w:rPr>
                <w:sz w:val="14"/>
                <w:szCs w:val="14"/>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(10,589)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(4,281)</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7,930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(13,714)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to purchase stock</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Dividends paid (including charge related to purchase of Series A Preferred Stock)</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1,933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7,249</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16,071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20,355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23,320</w:t>
            </w:r>
          </w:p>
        </w:tc>
        <w:tc>
          <w:tcPr>
            <w:tcW w:w="0" w:type="dxa"/>
            <w:vAlign w:val="bottom"/>
          </w:tcPr>
          <w:p>
            <w:pPr>
              <w:spacing w:after="0"/>
              <w:rPr>
                <w:sz w:val="1"/>
                <w:szCs w:val="1"/>
                <w:color w:val="auto"/>
              </w:rPr>
            </w:pPr>
          </w:p>
        </w:tc>
      </w:tr>
      <w:tr>
        <w:trPr>
          <w:trHeight w:val="100"/>
        </w:trPr>
        <w:tc>
          <w:tcPr>
            <w:tcW w:w="8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12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Supplemental cash flow information:</w:t>
            </w: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color w:val="auto"/>
              </w:rPr>
              <w:t>Non-cash property additions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3,326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3,861</w:t>
            </w:r>
          </w:p>
        </w:tc>
        <w:tc>
          <w:tcPr>
            <w:tcW w:w="0" w:type="dxa"/>
            <w:vAlign w:val="bottom"/>
          </w:tcPr>
          <w:p>
            <w:pPr>
              <w:spacing w:after="0"/>
              <w:rPr>
                <w:sz w:val="1"/>
                <w:szCs w:val="1"/>
                <w:color w:val="auto"/>
              </w:rPr>
            </w:pPr>
          </w:p>
        </w:tc>
      </w:tr>
      <w:tr>
        <w:trPr>
          <w:trHeight w:val="65"/>
        </w:trPr>
        <w:tc>
          <w:tcPr>
            <w:tcW w:w="8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analyze the results of our business through our five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2012 as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January 1, 2013 we adopted Accounting Standards Update (ASU) 2013-02, “Reporting of Amounts Reclassified Out of Accumulated Other Comprehensive Income." This ASU does not change current requirements for reporting net income or other comprehensive income in financial statements; rather, it requires certain disclosures of the amount of reclassifications of items from other comprehensive income to net income by component. The related disclosures are presented in Note 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July 2013 the FASB issued ASU 2013-11, “Presentation of an Unrecognized Tax Benefit When a Net Operating Loss Carryforward, a Similar Tax Loss, or a Tax Credit Carryforward Exists” to eliminate diversity in practice. This ASU requires that companies net their unrecognized tax benefits against all same-jurisdiction net operating losses or tax credit carryforwards that would be used to settle the position with a tax authority. This new guidance is effective prospectively for annual reporting periods beginning on or after December 15, 2013 and interim periods therein. The adoption of this ASU will not have a material effect on our consolidated financial statements because it aligns with our current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Certain Ally Financial International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November 2012 GM Financial entered into a definitive agreement with Ally Financial, Inc. (Ally Financial) to acquire 100% of the outstanding equity interests in the top level holding companies of its automotive finance and financial services operations in Europe and Latin America and a separate agreement to acquire Ally Financial’s non-controlling equity interest in GMAC-SAIC Automotive Finance Company Limited (GMAC-SAIC), which conducts automotive finance and other financial services in China.</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On April 1, 2013 GM Financial completed the acquisition of Ally Financial's European and Latin American automotive finance operations except for France, Portugal and Brazil; and on June 1, 2013 it completed the acquisition of Ally Financial's automotive finance operations in France and Portugal. The aggregate consideration for these acquisitions was $2.6 billion, subject to certain closing adjustments, of which $65 million was paid upon the closing of the acquisition of Ally Financial's Brazilian automotive finance operations described below. Acquisition-related costs were insignificant. In addition GM Financial repaid loans of $1.4 billion that were assumed as part of the acquisitions. GM Financial recorded the fair value of the assets acquired and liabilities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assumed on the acquisition dates. Certain amounts previously presented related to the acquisitions have been, and will continue to be, updated as a result of closing adjustments.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aggregate consideration and the assets acquired and liabilities assumed at the acquisition dates before eliminations for net intercompany receivables of approximately $300 million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10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10,969</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Other assets, including identifiable intangible assets</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10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and unsecured debt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(8,926)</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10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net assets acquired</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Goodwill resulting from the acquisitions</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10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consideration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r>
      <w:tr>
        <w:trPr>
          <w:trHeight w:val="20"/>
        </w:trPr>
        <w:tc>
          <w:tcPr>
            <w:tcW w:w="10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fair value of finance receivables was determined using a discounted cash flow approach. The contractual cash flows were adjusted for estimated prepayments, defaults, recoveries, finance charge income and servicing costs and discounted using a discount rate commensurate with risks and maturity inherent in the finance contracts. The contractually required payments receivable, cash flows expected to be collected and fair value for finance receivables acquired with deteriorated credit quality at the acquisition date were $799 million, $728 million and $601 million. The contractually required payments receivable, cash flows not expected to be collected and fair value for other acquired finance receivables were $11.2 billion, $170 million and $10.4 billion. The fair value of secured and unsecured debt was determined using quoted market prices when available and a discounted cash flow approach when not available.</w:t>
      </w:r>
    </w:p>
    <w:p>
      <w:pPr>
        <w:spacing w:after="0" w:line="18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recorded goodwill in the amount of $56 million for the excess of the aggregate consideration over the fair value of the individual assets acquired and liabilities assumed and such amount is primarily attributed to the value of the incremental GM Financial business expected. The recorded goodwill is subject to further adjustment, pending the closing of the acquisition of the remaining international operations as well as any potential adjustments resulting from the finalization of closing balance sheet audits. Valuations and assumptions pertaining to income taxes are subject to change as additional information is obtained during the measurement period. All of the goodwill was assigned to the GM Financial segment and will be assigned to reporting units, which will be determined pending completion of the remaining acquisitions. The goodwill is not tax deductible.</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results of the acquired European and Latin American automotive finance operations are included in GM Financial's results beginning April 1, 2013 and the results of the acquired operations in France and Portugal are included in GM Financial's results beginning June 1, 2013. The following table summarizes the actual amounts of revenue and earnings included in our condensed consolidated financial statements as well as certain pro forma revenue and earnings of the combined entity had these acquisitions occurred as of January 1, 2012, without consideration of historical transactions between the acquired operations and us, as it is impracticable to obtain such information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9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Certain Ally Operations Amounts Included in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6"/>
              </w:rPr>
              <w:t>Pro Forma-Combined</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Results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4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150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vMerge w:val="restart"/>
          </w:tcPr>
          <w:p>
            <w:pPr>
              <w:ind w:left="80"/>
              <w:spacing w:after="0" w:line="139" w:lineRule="exact"/>
              <w:rPr>
                <w:sz w:val="20"/>
                <w:szCs w:val="20"/>
                <w:color w:val="auto"/>
              </w:rPr>
            </w:pPr>
            <w:r>
              <w:rPr>
                <w:rFonts w:ascii="Arial" w:cs="Arial" w:eastAsia="Arial" w:hAnsi="Arial"/>
                <w:sz w:val="14"/>
                <w:szCs w:val="14"/>
                <w:b w:val="1"/>
                <w:bCs w:val="1"/>
                <w:color w:val="auto"/>
              </w:rPr>
              <w:t>Nine Months Ended</w:t>
            </w:r>
          </w:p>
        </w:tc>
        <w:tc>
          <w:tcPr>
            <w:tcW w:w="136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Ended September</w:t>
            </w: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24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30, 2012</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2013</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30, 2012</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113,742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80" w:type="dxa"/>
            <w:vAlign w:val="bottom"/>
          </w:tcPr>
          <w:p>
            <w:pPr>
              <w:jc w:val="right"/>
              <w:ind w:right="379"/>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21"/>
                <w:szCs w:val="21"/>
                <w:color w:val="auto"/>
              </w:rPr>
            </w:pP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 October 1, 2013 GM Financial completed the acquisition of Ally Financial's automotive finance operations in Brazil for consideration of $611 million, subject to certain closing adjustments. Refer to Note 21 for further detail regarding the acquisition of Ally Financial's automotive finance operations in Brazil. The acquisition of Ally Financial's equity interest in GMAC-SAIC is subject to certain regulatory and other approvals and is expected to close in 2014. GM Financial expects to pay approximately $900 million to close this acquisition subject to certain closing adjustments.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SAIC GM Investment Limited</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September 2012 we agreed with SAIC Motor Hong Kong Investment Limited to settle a promissory note due from SAIC GM Investment Limited, the holding company of General Motors India Private Limited and Chevrolet Sales India Private Limited (collectively HKJV) to us in exchange for HKJV's issuance of 257 million Class B shares. As a result we obtained control of HKJV with an 86% interest and consolidated HKJV effective September 1, 2012. We recognized a gain of $51 million of which $50 million was recorded in Equity income, net of tax. In addition we invested $125 million in HKJV and acquired 186 million Class A shares, which increased our interest in HKJV to 90.8%.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measure the fair value of our marketable securities using a market approach where identical or comparable prices are available and an income approach in other cases. We obtain the majority of the prices used in this valuation from a pricing service. Our pricing service utilizes industry standard pricing models that consider various inputs, including benchmark yields, reported trades, broker/dealer quotes, issuer spreads and benchmark securities as well as other relevant economic measures. We conduct an annual review of valuations provided by our pricing service, which includes discussion and analysis of the inputs used by the pricing service to provide prices for the types of securities we hold. These inputs include prices for comparable securities, bid/ask quotes, interest rate yields and prepayment spreads. Based on our review we believe the prices received from our pricing service are a reliable representation of exit prices.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3"/>
        </w:trPr>
        <w:tc>
          <w:tcPr>
            <w:tcW w:w="618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10,970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10,970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9,211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trading securities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20,355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18,422</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 - current</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3,322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Interest in GM Korea mandatorily redeemable preferred shares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trading securities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marketable securities - current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 - non-current</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Peugeot S.A.</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marketable securities - non-current</w:t>
            </w: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856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Other</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Total marketable securities classified as restricted cash and marketable securities</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cash and cash equivalents and time deposits</w:t>
            </w: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proceeds from investments classified as available-for-sale and sold prior to maturity were $917 million and $737 million in the three months ended September 30, 2013 and 2012 and $2.6 billion and $1.7 billion in the nine months ended September 30, 2013 and 2012.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by contractual maturity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12,920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1,839</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14,759</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Cumulative net unrealized gains on available-for-sale securities were $234 million and $62 million at September 30, 2013 and December 31, 2012. Net unrealized gains (losses) on trading securities were $75 million and $187 million in the three months ended September 30, 2013 and 2012 and $(34) million and $128 million in the nine months ended September 30, 2013 and 2012. Unrealized losses on trading securities are primarily related to the remeasurement of Canadian Dollar (CAD) denominated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 net</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2013 GM Financial acquired certain international operations in Europe and Latin America from Ally Financial that conduct consumer and commercial lending activities. All of these loans were made on a secured basis.</w:t>
      </w:r>
    </w:p>
    <w:p>
      <w:pPr>
        <w:spacing w:after="0" w:line="17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As the result of our October 2010 acquisition of GM Financial and GM Financial's acquisition of the Ally Financial international operations, finance receivables are reported in two portfolios: pre-acquisition and post-acquisition portfolios. The pre-acquisition finance receivables portfolio consists of finance receivables that were considered to have had deterioration in credit quality at the time they were acquired with the acquisition of GM Financial or the acquisition of the Ally Financial international operations. The pre-acquisition portfolio will decrease over time with the amortization of the acquired receivables. The post-acquisition finance receivables portfolio consists of finance receivables that were considered to have had no deterioration in credit quality at the time they were acquired with the acquisition of the Ally Financial international operations and finance receivables originated since the acquisitions of GM Financial and the Ally Financial international operations. The post-acquisition portfolio is expected to grow over time as GM Financial originates new receivables.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consumer and commercial finance receivables, net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2013</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2,162</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Pre-acquisition finance receivables, carrying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1,958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Post-acquisition finance receivables, net of fees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Finance receivables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19,117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11,349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GM Financial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18,650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23,232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10,998</w:t>
            </w: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net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23,366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11,313</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 the total allowance for loan losses in the above table, $372 million and $266 million were current at September 30, 2013 and December 31, 2012.</w:t>
      </w:r>
    </w:p>
    <w:p>
      <w:pPr>
        <w:spacing w:after="0" w:line="27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determined the fair value of consumer finance receivables using observable and unobservable inputs within a cash flow model.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using unobservable debt and equity percentages, 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unobservable cost of equity and an observable cost of debt based on companies with a similar credit rating and maturity profile as the portfolio. Macroeconomic factors could negatively affect the credit performance of the portfolio and therefore could potentially affect the assumptions used in GM Financial's cash flow model. Substantially all commercial finance receivables either have variable interest rates and maturities of one year or less, or were acquired or originated within the past year. Therefore, the carrying amount is considered to be a reasonable estimate of fair value.</w:t>
      </w:r>
    </w:p>
    <w:p>
      <w:pPr>
        <w:spacing w:after="0" w:line="17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 Financial reviews its pre-acquisition finance receivables portfolios for differences between contractual cash flows and the cash flows expected to be collected to determine if the difference is attributable, at least in part, to credit quality. In the nine months ended September 30, 2013 and 2012 as a result of improvements in credit performance of the pre-acquisition finance receivables, GM Financial transferred the amount of excess cash flows from the non-accretable difference to accretable yield. GM Financial will recognize this excess as finance charge income over the remaining life of the portfolio.</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accretable yield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Ally Financial international operations acquisition</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accretable yield</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Transfer from non-accretable difference</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activity for the allowance for loan losses on consumer and commercial finance receivables (dollars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240"/>
              <w:spacing w:after="0"/>
              <w:rPr>
                <w:sz w:val="20"/>
                <w:szCs w:val="20"/>
                <w:color w:val="auto"/>
              </w:rPr>
            </w:pPr>
            <w:r>
              <w:rPr>
                <w:rFonts w:ascii="Arial" w:cs="Arial" w:eastAsia="Arial" w:hAnsi="Arial"/>
                <w:sz w:val="14"/>
                <w:szCs w:val="14"/>
                <w:b w:val="1"/>
                <w:bCs w:val="1"/>
                <w:color w:val="auto"/>
                <w:w w:val="98"/>
              </w:rPr>
              <w:t>Three Months Ended(a)</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3"/>
          </w:tcPr>
          <w:p>
            <w:pPr>
              <w:ind w:left="240"/>
              <w:spacing w:after="0"/>
              <w:rPr>
                <w:sz w:val="20"/>
                <w:szCs w:val="20"/>
                <w:color w:val="auto"/>
              </w:rPr>
            </w:pPr>
            <w:r>
              <w:rPr>
                <w:rFonts w:ascii="Arial" w:cs="Arial" w:eastAsia="Arial" w:hAnsi="Arial"/>
                <w:sz w:val="14"/>
                <w:szCs w:val="14"/>
                <w:b w:val="1"/>
                <w:bCs w:val="1"/>
                <w:color w:val="auto"/>
                <w:w w:val="98"/>
              </w:rPr>
              <w:t>Nine Months Ended(a)</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1380" w:type="dxa"/>
            <w:vAlign w:val="bottom"/>
            <w:tcBorders>
              <w:bottom w:val="single" w:sz="8" w:color="auto"/>
            </w:tcBorders>
            <w:gridSpan w:val="3"/>
          </w:tcPr>
          <w:p>
            <w:pPr>
              <w:spacing w:after="0"/>
              <w:rPr>
                <w:sz w:val="6"/>
                <w:szCs w:val="6"/>
                <w:color w:val="auto"/>
              </w:rPr>
            </w:pPr>
          </w:p>
        </w:tc>
        <w:tc>
          <w:tcPr>
            <w:tcW w:w="126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Borders>
              <w:bottom w:val="single" w:sz="8" w:color="auto"/>
            </w:tcBorders>
            <w:gridSpan w:val="3"/>
          </w:tcPr>
          <w:p>
            <w:pPr>
              <w:spacing w:after="0"/>
              <w:rPr>
                <w:sz w:val="6"/>
                <w:szCs w:val="6"/>
                <w:color w:val="auto"/>
              </w:rPr>
            </w:pPr>
          </w:p>
        </w:tc>
        <w:tc>
          <w:tcPr>
            <w:tcW w:w="12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balances and activity of the allowance for commercial loan losses included in the amounts at and for the three and nine months ended September 30, 2013 and 2012 were insignificant.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uses proprietary scoring systems that measure the credit quality of the receivables using several factors, such as credit bureau information, consumer credit risk scores (e.g. FICO score),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have prime credit scores. In North America sub-prime is typically defined as a loan with a borrower that has a FICO score of less than 620. At September 30, 2013 88% of the consumer finance receivables in North America were consumers with FICO scores less than 620.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September 30, 2013 and December 31, 2012 the accrual of finance charge income has been suspended on delinquent consumer finance receivables with contractual amounts due of $550 million and $503 million.</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contractual amount of delinquent contracts, which is not materially different than the recorded investment of the consumer finance receivables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31-to-60 days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Greater-than-60 days</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Impaired Finance Receivables - Troubled Debt Restructurings</w:t>
      </w:r>
    </w:p>
    <w:p>
      <w:pPr>
        <w:spacing w:after="0" w:line="23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Consumer finance receivables in the post-acquisition portfolio that become classified as troubled debt restructurings (TDRs) because of payment deferral or other reasons are separately assessed for impairment. A specific allowance is estimated based on the present value of the expected future cash flows of the receivable discounted at the loan's original effective interest rate.</w:t>
      </w:r>
    </w:p>
    <w:p>
      <w:pPr>
        <w:spacing w:after="0" w:line="20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outstanding recorded investment for consumer finance receivables that are considered to be TDRs and the related allowance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 net of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Unpaid principal balance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232</w:t>
            </w:r>
          </w:p>
        </w:tc>
      </w:tr>
    </w:tbl>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commercial finance receivables consist of dealer financings. A proprietary model is used to assign a risk rating to each dealer. A credit review of each dealer is performed at least annually and, if necessary, the dealer's risk rating is adjusted on the basis of the review. At September 30, 2013 and December 31, 2012 the commercial finance receivables or loans on non-accrual status were insignificant.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credit risk profile by dealer grouping of the commercial finance receivables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53"/>
        </w:trPr>
        <w:tc>
          <w:tcPr>
            <w:tcW w:w="8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strong to superior financial metrics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II - Dealers with fair to favorable financial metrics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marginal to weak financial metrics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IV - Dealers with poor financial metrics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5"/>
              </w:rPr>
              <w:t>The credit lines for Group VI dealers are suspended and no further funding is extended to these dealers.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24"/>
                <w:szCs w:val="2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Productive material, supplies and work in process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net of tax.</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Equity income, net of tax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joint ventures (China JVs)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Others</w:t>
            </w:r>
          </w:p>
        </w:tc>
        <w:tc>
          <w:tcPr>
            <w:tcW w:w="4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 net of tax</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did not receive any dividends from nonconsolidated affiliates in the three months ended September 30, 2013 and 2012 and received $1.6 billion and $1.4 billion in the nine months ended September 30, 2013 and 2012. At September 30, 2013 and December 31, 2012 we had undistributed earnings including dividends declared but not received of $1.5 billion and $1.7 billion related to our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ownership changes in our China JVs since December 31, 2012.</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Shanghai General Motors Corporation Ltd. (SGM) is a joint venture established by Shanghai Automotive Industry Corporation (50%) and us (50%). In September 2012 we purchased a 1% interest in SGM for a total consideration of $119 million, increasing our ownership interest in SGM to 50%. The transaction was accounted for by applying the equity method of accounting. The consideration exceeded our proportionate share of the 1% interest in SGM net assets by $82 million, which consists of plant, property and equipment, intangible assets and goodwill of $8 million, $36 million and $38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ectPr>
          <w:pgSz w:w="11900" w:h="16838" w:orient="portrait"/>
          <w:cols w:equalWidth="0" w:num="1">
            <w:col w:w="11420"/>
          </w:cols>
          <w:pgMar w:left="240" w:top="125"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the effects of transactions with nonconsolidated affiliates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Pr>
          <w:p>
            <w:pPr>
              <w:spacing w:after="0"/>
              <w:rPr>
                <w:sz w:val="16"/>
                <w:szCs w:val="16"/>
                <w:color w:val="auto"/>
              </w:rPr>
            </w:pPr>
          </w:p>
        </w:tc>
      </w:tr>
      <w:tr>
        <w:trPr>
          <w:trHeight w:val="53"/>
        </w:trPr>
        <w:tc>
          <w:tcPr>
            <w:tcW w:w="6060" w:type="dxa"/>
            <w:vAlign w:val="bottom"/>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r>
      <w:tr>
        <w:trPr>
          <w:trHeight w:val="211"/>
        </w:trPr>
        <w:tc>
          <w:tcPr>
            <w:tcW w:w="606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53"/>
        </w:trPr>
        <w:tc>
          <w:tcPr>
            <w:tcW w:w="60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sales and revenue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1,873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purchases, net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174</w:t>
            </w: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1,668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 and customer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46</w:t>
            </w:r>
          </w:p>
        </w:tc>
      </w:tr>
      <w:tr>
        <w:trPr>
          <w:trHeight w:val="642"/>
        </w:trPr>
        <w:tc>
          <w:tcPr>
            <w:tcW w:w="8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22"/>
                <w:szCs w:val="22"/>
                <w:color w:val="auto"/>
              </w:rPr>
            </w:pPr>
          </w:p>
        </w:tc>
        <w:tc>
          <w:tcPr>
            <w:tcW w:w="144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September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3,030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changes in the carrying amounts of Goodwill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GME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GMSA</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GM</w:t>
            </w:r>
          </w:p>
        </w:tc>
        <w:tc>
          <w:tcPr>
            <w:tcW w:w="220" w:type="dxa"/>
            <w:vAlign w:val="bottom"/>
          </w:tcPr>
          <w:p>
            <w:pPr>
              <w:spacing w:after="0"/>
              <w:rPr>
                <w:sz w:val="14"/>
                <w:szCs w:val="14"/>
                <w:color w:val="auto"/>
              </w:rPr>
            </w:pPr>
          </w:p>
        </w:tc>
        <w:tc>
          <w:tcPr>
            <w:tcW w:w="8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Financial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January 1, 2013</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1,973</w:t>
            </w:r>
          </w:p>
        </w:tc>
        <w:tc>
          <w:tcPr>
            <w:tcW w:w="0" w:type="dxa"/>
            <w:vAlign w:val="bottom"/>
          </w:tcPr>
          <w:p>
            <w:pPr>
              <w:spacing w:after="0"/>
              <w:rPr>
                <w:sz w:val="1"/>
                <w:szCs w:val="1"/>
                <w:color w:val="auto"/>
              </w:rPr>
            </w:pPr>
          </w:p>
        </w:tc>
      </w:tr>
      <w:tr>
        <w:trPr>
          <w:trHeight w:val="239"/>
        </w:trPr>
        <w:tc>
          <w:tcPr>
            <w:tcW w:w="3540" w:type="dxa"/>
            <w:vAlign w:val="bottom"/>
          </w:tcPr>
          <w:p>
            <w:pPr>
              <w:ind w:left="40"/>
              <w:spacing w:after="0"/>
              <w:rPr>
                <w:sz w:val="20"/>
                <w:szCs w:val="20"/>
                <w:color w:val="auto"/>
              </w:rPr>
            </w:pPr>
            <w:r>
              <w:rPr>
                <w:rFonts w:ascii="Arial" w:cs="Arial" w:eastAsia="Arial" w:hAnsi="Arial"/>
                <w:sz w:val="17"/>
                <w:szCs w:val="17"/>
                <w:color w:val="auto"/>
              </w:rPr>
              <w:t>Impairment charges</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31"/>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from business combinations(a)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39"/>
        </w:trPr>
        <w:tc>
          <w:tcPr>
            <w:tcW w:w="3540" w:type="dxa"/>
            <w:vAlign w:val="bottom"/>
          </w:tcPr>
          <w:p>
            <w:pPr>
              <w:ind w:left="40"/>
              <w:spacing w:after="0"/>
              <w:rPr>
                <w:sz w:val="20"/>
                <w:szCs w:val="20"/>
                <w:color w:val="auto"/>
              </w:rPr>
            </w:pPr>
            <w:r>
              <w:rPr>
                <w:rFonts w:ascii="Arial" w:cs="Arial" w:eastAsia="Arial" w:hAnsi="Arial"/>
                <w:sz w:val="17"/>
                <w:szCs w:val="17"/>
                <w:color w:val="auto"/>
              </w:rPr>
              <w:t>Effect of foreign currency and other</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September 30, 2013</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1,334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1,953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0"/>
              </w:rPr>
              <w:t>Accumulated impairment charges at December 31,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2012</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(29,897)</w:t>
            </w:r>
          </w:p>
        </w:tc>
        <w:tc>
          <w:tcPr>
            <w:tcW w:w="0" w:type="dxa"/>
            <w:vAlign w:val="bottom"/>
          </w:tcPr>
          <w:p>
            <w:pPr>
              <w:spacing w:after="0"/>
              <w:rPr>
                <w:sz w:val="1"/>
                <w:szCs w:val="1"/>
                <w:color w:val="auto"/>
              </w:rPr>
            </w:pPr>
          </w:p>
        </w:tc>
      </w:tr>
      <w:tr>
        <w:trPr>
          <w:trHeight w:val="212"/>
        </w:trPr>
        <w:tc>
          <w:tcPr>
            <w:tcW w:w="3540" w:type="dxa"/>
            <w:vAlign w:val="bottom"/>
          </w:tcPr>
          <w:p>
            <w:pPr>
              <w:ind w:left="40"/>
              <w:spacing w:after="0"/>
              <w:rPr>
                <w:sz w:val="20"/>
                <w:szCs w:val="20"/>
                <w:color w:val="auto"/>
              </w:rPr>
            </w:pPr>
            <w:r>
              <w:rPr>
                <w:rFonts w:ascii="Arial" w:cs="Arial" w:eastAsia="Arial" w:hAnsi="Arial"/>
                <w:sz w:val="17"/>
                <w:szCs w:val="17"/>
                <w:color w:val="auto"/>
                <w:w w:val="96"/>
              </w:rPr>
              <w:t>Accumulated impairment charges at September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0"/>
              <w:spacing w:after="0"/>
              <w:rPr>
                <w:sz w:val="20"/>
                <w:szCs w:val="20"/>
                <w:color w:val="auto"/>
              </w:rPr>
            </w:pPr>
            <w:r>
              <w:rPr>
                <w:rFonts w:ascii="Arial" w:cs="Arial" w:eastAsia="Arial" w:hAnsi="Arial"/>
                <w:sz w:val="17"/>
                <w:szCs w:val="17"/>
                <w:color w:val="auto"/>
              </w:rPr>
              <w:t>30, 2013</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(26,399)</w:t>
            </w:r>
          </w:p>
        </w:tc>
        <w:tc>
          <w:tcPr>
            <w:tcW w:w="100" w:type="dxa"/>
            <w:vAlign w:val="bottom"/>
          </w:tcPr>
          <w:p>
            <w:pPr>
              <w:spacing w:after="0"/>
              <w:rPr>
                <w:sz w:val="18"/>
                <w:szCs w:val="18"/>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(3,072)</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(29,957)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(29,957)</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Note 2 for additional information concerning the acquisition of the Ally Financial international operations.</w:t>
      </w:r>
    </w:p>
    <w:p>
      <w:pPr>
        <w:spacing w:after="0" w:line="20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September 30, June 30 and March 31, 2013 and 2012 we performed event-driven goodwill impairment tests for our GM Korea Company (GM Korea) reporting unit as the fair value of GM Korea continues to be below its carrying amount due to ongoing economic weakness in certain markets to which GM Korea exports as well as higher raw material costs and unfavorable foreign currency exchange rates. The event-driven impairment tests resulted in Goodwill impairment charges of $60 million, $78 million and $27 million within our GMIO segment in the three months ended September 30, 2013, September</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30, 2012 and March 31, 2012. Our GME reporting unit had a negative carrying amount and because of deterioration in the business outlook for GME that resulted in a reduction in the fair value of certain tax attributes and an increase in the fair value of estimated employee benefit obligations at March 31, 2012, we recorded a Goodwill impairment charge of $590 million, after which GME's Goodwill balance was $0.</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When performing our goodwill impairment testing, the fair values of our reporting units were determined based on valuation techniques using the best available information, primarily discounted cash flow projections. We make significant assumptions and estimates, which utilized Level 3 measures, about the extent and timing of future cash flows, growth rates, market share and discount rates that represent unobservable inputs into our valuation methodologies. Our fair value estimates for event-driven impairment tests assume the achievement of the future financial results contemplated in our forecasted cash flows and there can be no assurance that we will realize that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December 2012 we entered into a product development agreement with Peugeot S.A. to collaborate on the development of certain vehicle platforms, components and modules. As a result of this agreement, in the three months ended March 31, 2013 we acquired the rights to certain intellectual property and technology for total consideration of $642 million. Consideration of $201 million was paid in cash in May 2013 with the remaining consideration to be paid in cash or in-kind exchanges by May 2018. The acquired rights were recorded at the present value of the total payments to be made as technology and intellectual property of $594 million and is being amortized over 10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6"/>
          <w:szCs w:val="16"/>
          <w:color w:val="auto"/>
        </w:rPr>
        <w:t>Variable interest entities (VIEs) that we do not control through a majority voting interest that are consolidated because we are the primary beneficiary include certain vehicle assembling, manufacturing and selling venture arrangements, the most significant of which is GM Egypt. At September 30, 2013 and December 31, 2012: (1) Total assets of these VIEs were $492 million and $436 million, which were composed of Cash and cash equivalents, Accounts and notes receivable, net, Inventories and Property, net; and (2) Total liabilities were $309 million and $254 million, which were composed of Accounts payable (principally trade) and Accrued liabilities. In the three months ended September 30, 2013 and 2012 Total net sales and revenue recorded by these VIEs were $226 million and $284 million and Net income was $13 million and $25 million. In the nine months ended September 30, 2013 and 2012 Total net sales and revenue recorded by these VIEs were $720 million and $746 million and Net income was $51 million and $32 million. These amounts are stated prior to intercompany eliminations. Liabilities recognized as a result of consolidating VIEs generally do not represent claims against us or our other subsidiaries and assets recognized generally are for the benefit of the VIEs' operations and cannot be used to satisfy our obligations.</w:t>
      </w:r>
    </w:p>
    <w:p>
      <w:pPr>
        <w:spacing w:after="0" w:line="16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GM Korea and HKJV are non-wholly owned consolidated subsidiaries that we control through a majority voting interest. They are also VIEs because in the future they may require additional subordinated financial support. At September 30, 2013 and December 31, 2012 the combined creditors of GM Korea's and HKJV's liabilities of $264 million and $368 million, which were composed of short-term debt, current derivative liabilities and long-term debt, do not have recourse to our general credit.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the cash flows related to finance receivables and leasing related assets transferred by GM Financial to the VIEs (Securitized Assets). GM Financial holds variable interests in the VIEs that could potentially be significant to the VIEs. GM Financial determined that they are the primary beneficiary of the SPEs because: (1) the servicing responsibilities for the Securitized Assets give GM Financial the power to direct the activities that most significantly impact the performance of the VIEs; and</w:t>
      </w:r>
    </w:p>
    <w:p>
      <w:pPr>
        <w:spacing w:after="0" w:line="2" w:lineRule="exact"/>
        <w:rPr>
          <w:sz w:val="20"/>
          <w:szCs w:val="20"/>
          <w:color w:val="auto"/>
        </w:rPr>
      </w:pPr>
    </w:p>
    <w:p>
      <w:pPr>
        <w:ind w:firstLine="8"/>
        <w:spacing w:after="0" w:line="261"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variable interests in the VIEs give GM Financial the obligation to absorb losses and the right to receive residual returns that could potentially be significant. The assets and liabilities of the VIEs are included in GM Financial's condensed 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assets and liabilities related to GM Financial's consolidated VIEs prior to intercompany eliminations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Securitized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21,761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10,442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Securitization notes payable and other credit facilities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9,378</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Restricted cash represents collections from the underlying Securitized Assets and certain reserve accounts held as credit enhancement for securitizations held by GM Financial for the benefit of the noteholders. Except for acquisition accounting adjustments, which are not recorded in SPE trusts, GM Financial recognizes finance charge income, leased vehicle income and other income on the Securitized Assets and interest expense on the secured debt issued by the SPEs. GM Financial also maintains an allowance for estimated probable credit losses on the Securitized Assets. Cash pledged to support the secured borrowings is deposited to a restricted cash account and recorded as restricted cash, which is invested in highly liquid securities with original maturities of 90 days or less.</w:t>
      </w:r>
    </w:p>
    <w:p>
      <w:pPr>
        <w:spacing w:after="0" w:line="19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assets of the VIEs and the restricted cash held by GM Financial serve as the sole source of repayment for the asset-backed securities issued by these entities. Investors in the notes issued by the VIEs do not have recourse to GM Financial or their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these subsidiaries are separate legal entities and their assets are legally owned by them and are not available to GM Financial's creditors.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VIEs that are not consolidated include certain vehicle assembling, manufacturing and selling venture arrangements and other automotive related entities to which we provided financial support including HKJV prior to September 2012 and Ally Financial. We concluded these entities are VIEs because they do not have sufficient equity at risk or may require additional subordinated financial support. We currently lack the power through voting or similar rights to direct those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w:t>
      </w:r>
    </w:p>
    <w:p>
      <w:pPr>
        <w:spacing w:after="0" w:line="16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At September 30, 2013 and December 31, 2012 our variable interests in these VIEs included: (1) Total assets of $174 million and $351 million, which were composed of Accounts and notes receivable, net, and Equity in net assets of nonconsolidated affiliates; (2) Total liabilities of $851 million and $1.9 billion, which were composed of Accounts payable (principally trade), Short-term debt and current portion of long-term debt, Accrued liabilities and Other liabilities; and (3) Total off-balance sheet arrangements of $126 million and $32 million, which were composed of loan commitments and other liquidity arrangements. The amount of total off-balance sheet arrangements at September 30, 2013 includes contractual commitments under an agreement with a supplier that became a VIE in January 2013. The maximum exposure to loss for total assets approximated the carrying amount at September 30, 2013 and December 31, 2012. Refer to Note 14 for additional information on our maximum exposure to loss under agreements with Ally Financial.</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Ally Financial Common Stock</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At September 30, 2013 and December 31, 2012 we held a 9.9% common equity ownership in Ally Financial. Our entire equity ownership is held indirectly through an independent trust which has the sole authority to vote the shares and was required to dispose of all Ally Financial common stock by December 24, 2013. In October 2013 the Federal Reserve agreed to extend the date by which the shares must be divested by the trust from December 2013 to December</w:t>
      </w:r>
    </w:p>
    <w:p>
      <w:pPr>
        <w:jc w:val="both"/>
        <w:spacing w:after="0" w:line="261" w:lineRule="auto"/>
        <w:rPr>
          <w:sz w:val="20"/>
          <w:szCs w:val="20"/>
          <w:color w:val="auto"/>
        </w:rPr>
      </w:pPr>
      <w:r>
        <w:rPr>
          <w:rFonts w:ascii="Arial" w:cs="Arial" w:eastAsia="Arial" w:hAnsi="Arial"/>
          <w:sz w:val="18"/>
          <w:szCs w:val="18"/>
          <w:color w:val="auto"/>
        </w:rPr>
        <w:t>2015. We can cause the trustee to return any Ally Financial common stock to us to hold directly, so long as our directly held voting and total common equity interests remain below 10.0%.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carrying amount and estimated fair value of Ally Financial common stock measured using Level 3 inputs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1,268</w:t>
            </w: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analyses included Ally Financial's financial statements, financial statements and price to tangible book value multiples of comparable companies in the banking and finance industry, and the effects of certain Ally Financial shareholder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Depreciation, Amortization and Impairment Charges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depreciation, amortization and impairment charges related to Property, net, Equipment on operating leases, net and GM Financial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r>
      <w:tr>
        <w:trPr>
          <w:trHeight w:val="217"/>
        </w:trPr>
        <w:tc>
          <w:tcPr>
            <w:tcW w:w="606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53"/>
        </w:trPr>
        <w:tc>
          <w:tcPr>
            <w:tcW w:w="60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long-lived assets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Impairment charges of long-lived assets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equipment on operating leases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Impairment charges of equipment on operating leases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157</w:t>
            </w: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equipment on operating leases to daily rental car companies measured at fair value utilizing Level 3 inputs on a nonrecurring basis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measures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439</w:t>
            </w:r>
          </w:p>
        </w:tc>
        <w:tc>
          <w:tcPr>
            <w:tcW w:w="1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1,233</w:t>
            </w:r>
          </w:p>
        </w:tc>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2,266</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Impairment of vehicles leased to daily rental car companies with guaranteed repurchase obligations is determined to exist if the expected cash flows are lower than the carrying amount of the vehicle. We have multiple, distinct portfolios of vehicles leased to rental car companies and may have multiple impairments within a period. Expected cash flows include all estimated net revenue and costs associated with the sale to daily rental car companies through disposal at auction. The fair value measurements are determined, reviewed and approved on a monthly basis by personnel with appropriate knowledge of transactions with daily rental car companies and auction transactions. The carrying amount of the related assets at September 30, 2013 and 2012 may no longer equal the fair value as the fair value presented is as of the date the impairment charge was recorded during the period presented.</w:t>
      </w:r>
    </w:p>
    <w:p>
      <w:pPr>
        <w:spacing w:after="0" w:line="16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significant quantitative unobservable inputs and assumptions used in the fair value measurement of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18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Valuation</w:t>
            </w:r>
          </w:p>
        </w:tc>
        <w:tc>
          <w:tcPr>
            <w:tcW w:w="20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5"/>
              </w:rPr>
              <w:t>Significant Unobservable Input</w:t>
            </w:r>
          </w:p>
        </w:tc>
        <w:tc>
          <w:tcPr>
            <w:tcW w:w="120" w:type="dxa"/>
            <w:vAlign w:val="bottom"/>
            <w:vMerge w:val="restart"/>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September 30, 2013</w:t>
            </w:r>
          </w:p>
        </w:tc>
        <w:tc>
          <w:tcPr>
            <w:tcW w:w="120" w:type="dxa"/>
            <w:vAlign w:val="bottom"/>
            <w:vMerge w:val="restart"/>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2012</w:t>
            </w:r>
          </w:p>
        </w:tc>
        <w:tc>
          <w:tcPr>
            <w:tcW w:w="100" w:type="dxa"/>
            <w:vAlign w:val="bottom"/>
            <w:vMerge w:val="restart"/>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2013</w:t>
            </w:r>
          </w:p>
        </w:tc>
        <w:tc>
          <w:tcPr>
            <w:tcW w:w="100" w:type="dxa"/>
            <w:vAlign w:val="bottom"/>
            <w:vMerge w:val="restart"/>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2012</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Technique</w:t>
            </w:r>
          </w:p>
        </w:tc>
        <w:tc>
          <w:tcPr>
            <w:tcW w:w="14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Impaired equipment on operating</w:t>
            </w:r>
          </w:p>
        </w:tc>
        <w:tc>
          <w:tcPr>
            <w:tcW w:w="11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Cash flow</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Estimated net revenue</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122"/>
        </w:trPr>
        <w:tc>
          <w:tcPr>
            <w:tcW w:w="27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leases</w:t>
            </w:r>
          </w:p>
        </w:tc>
        <w:tc>
          <w:tcPr>
            <w:tcW w:w="118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CCEEFF"/>
            </w:tcBorders>
            <w:vMerge w:val="continue"/>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Estimated costs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5,298</w:t>
            </w:r>
          </w:p>
        </w:tc>
      </w:tr>
      <w:tr>
        <w:trPr>
          <w:trHeight w:val="220"/>
        </w:trPr>
        <w:tc>
          <w:tcPr>
            <w:tcW w:w="8120" w:type="dxa"/>
            <w:vAlign w:val="bottom"/>
          </w:tcPr>
          <w:p>
            <w:pPr>
              <w:jc w:val="right"/>
              <w:ind w:right="7373"/>
              <w:spacing w:after="0"/>
              <w:rPr>
                <w:sz w:val="20"/>
                <w:szCs w:val="20"/>
                <w:color w:val="auto"/>
              </w:rPr>
            </w:pPr>
            <w:r>
              <w:rPr>
                <w:rFonts w:ascii="Arial" w:cs="Arial" w:eastAsia="Arial" w:hAnsi="Arial"/>
                <w:sz w:val="16"/>
                <w:szCs w:val="16"/>
                <w:color w:val="auto"/>
                <w:w w:val="89"/>
              </w:rPr>
              <w:t>________</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debt included $6.8 billion and $4.1 billion measured utilizing Level 2 inputs at September 30, 2013 and December 31, 2012. The fair value of debt included $1.2 billion measured utilizing Level 3 inputs at September 30, 2013 and December 31, 2012.</w:t>
      </w:r>
    </w:p>
    <w:p>
      <w:pPr>
        <w:spacing w:after="0" w:line="182"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The Level 2 fair value measurements utilize quoted market prices and if unavailable, a discounted cash flow model. The valuation is reviewed internally by personnel with appropriate expertise in valuation methodologies. This model utilizes observable inputs such as contractual repayment terms and benchmark yield curves, plus a spread that is intended to represent our nonperformance risk for secured or unsecured obligations. We estimate our nonperformance risk using our corporate credit rating, the ratings on our senior unsecured notes and on our secured revolver, yields on traded bonds of companies with comparable credit ratings and risk profiles. We acquire the benchmark yield curves and nonperformance risk spread from independent sources that are widely used in the financial industry. In certain circumstances we adjust the valuation of debt for additional nonperformance risk or potential prepayment probability scenarios. We may use a probability weighting of prepayment scenarios when the stated rate exceeds market rates and the instrument contains prepayment features. The prepayment scenarios are adjusted to reflect the views of market participants. The fair value measurements subject to additional adjustments for nonperformance risk or prepayment have been categorized within Level 3.</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2013 we issued $4.5 billion in aggregate principal amount of senior unsecured notes comprising $1.5 billion of 3.5% notes due in 2018, $1.5 billion of 4.875% notes due in 2023 and $1.5 billion of 6.25% notes due in 2043. These notes contain terms and covenants customary of these types of securities including limitations on the amount of the secured debt we may issue.</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connection with the issuance of these notes, we entered into a registration rights agreement that requires us to file a registration statement with the SEC for an exchange offer with respect to the senior notes. If the registration statement has not been declared effective by the SEC within 365 days after the closing date of the debt issuance, if we fail to consummate the exchange offer within 30 business days after such target effective date or if the registration statement ceases to remain effective, we will be required to pay additional interest of 0.25% per annum for the first 90 day period following such event and an additional 0.25% per annum for each subsequent 90 day period prior to the consummation of the exchange offer up to a maximum additional interest rate of 0.5% per annum.</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Wholesale financing represents arrangements, primarily with Ally Financial, where cash is received in advance of the final sale of vehicles, parts and accessories to our dealers or ultimate customer. These obligations typically settle through the sale and delivery of our products and generally do not require cash outflows to settle. Following the acquisition of Ally Financial's international operations in April 2013, most of the wholesale financing balance classified as debt became intercompany debt and was eliminated in consolidation, resulting in a decrease to our automotive debt balance of $682 million.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Gains and Losses on Extinguishment of Debt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October 2013 we made a payment of $1.2 billion to prepay the Canadian Health Care Trust notes which had a carrying value of $1.2 billion and were recorded in Short-term debt and current portion of long-term debt at September 30, 2013. As a result we recorded a gain on extinguishment of debt of approximately $25 million in October 2013.</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2013 we prepaid and retired debt obligations with a total carrying amount of $532 million and recorded a net loss on extinguishment of debt of $238 million which primarily represented the unamortized debt discount on GM Korea's mandatorily redeemable preferred stock of $240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March 2012 we prepaid and retired a debt obligation of $39 million. We recorded a loss on extinguishment of debt of $18 million, which primarily represented the unamortized debt discount, in the nine months ended September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Amount</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Value(a)</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Fair Value(a)</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notes payable(b)</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 secured</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Unsecured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Bank lines and other unsecured debt</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 unsecured</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23,675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23,794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10,878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8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debt included $21.4 billion and $11.1 billion measured utilizing Level 2 inputs at September 30, 2013 and December 31, 2012 and $2.4 billion measured utilizing Level 3 inputs at September 30, 2013. For revolving credit facilities with variable interest rates and maturities of one year or less, the carrying amount is considered to be a reasonable estimate of fair value. The fair value of other secured debt and the unsecured debt is based on quoted market prices, when available. If quoted market prices are not available, the market value is estimated by discounting future net cash flows expected to be paid using current risk-adjusted rates.</w:t>
      </w:r>
    </w:p>
    <w:p>
      <w:pPr>
        <w:spacing w:after="0" w:line="1"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 private securitization that GM Financial used observable and unobservable inputs to estimate fair value. Unobservable inputs are related to the structuring of the debt into various classes, which is based on public securitizations issued during the same time frame. Observable inputs are used by obtaining active prices based on the securitization debt issued during the same time frame. These observable inputs are then used to create expected market prices (unobservable inputs), which are then applied to the debt classes in order to estimate fair value which would approximate market value.</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expected scheduled principal and interest payments under our contractual debt obligations at September 30, 2013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18,447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5,228</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1,461</w:t>
            </w:r>
          </w:p>
        </w:tc>
      </w:tr>
      <w:tr>
        <w:trPr>
          <w:trHeight w:val="237"/>
        </w:trPr>
        <w:tc>
          <w:tcPr>
            <w:tcW w:w="42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4,548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25,136</w:t>
            </w: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revolving credit facilities have revolving periods ranging from one to three years. At the end of the revolving period, if the facilities are not renewed, the debt will amortize over periods ranging up to six years. Most of the secured debt was issued by VIEs and it is repayable only from proceeds related to the underlying pledged finance receivables and leases. Refer to Note 8 for additional information relating to GM Financial's involvement with VIEs. Weighted-average interest rates are both fixed and variable, ranging from 0.9% to 7.7% at September 30, 2013.</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2013 GM Financial entered into two revolving credit facilities secured by commercial finance receivables for a commitment of $1.3 billion in aggregate. The facilities each have a one-year revolving period and have interest rates of 0.7% and 1.3% as of September 30, 2013. In the nine months ended September 30, 2013 GM Financial also issued securitization notes payable of $4.7 billion, with a weighted-average interest rate of 1.6% maturing on various dates through 2021.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2013 revolving credit facilities of $4.8 billion and securitization notes payable of $1.9 billion resulted from the acquisition of Ally Financial international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maturity dates of bank lines, which were assumed in the acquisition of Ally Financial's international operations, range up to three years. If not renewed, any balance outstanding under these bank lines is either immediately due in full or else will amortize over a defined period. Interest rates on unsecured bank lines ranged from 0.5% to 9.0% at September 30, 2013.</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May 2013 GM Financial issued and sold $2.5 billion in aggregate principal amount of senior notes due in 2016 through 2023 with interest rates that range from 2.75% to 4.25%. Senior notes outstanding at September 30, 2013 are due beginning in 2016 through 2023 and have interest rates that range from 2.75% to 6.75%.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Product Warranty Liability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policy, product warranty, and recall campaign liabilities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Warranties issued and assumed in period</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2,594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510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7,168</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Pension and OPEB (Income) Expense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tables summarize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4"/>
                <w:szCs w:val="14"/>
                <w:b w:val="1"/>
                <w:bCs w:val="1"/>
                <w:color w:val="auto"/>
              </w:rPr>
              <w:t>Three Months Ended September 30, 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0"/>
          </w:tcPr>
          <w:p>
            <w:pPr>
              <w:jc w:val="right"/>
              <w:ind w:right="374"/>
              <w:spacing w:after="0"/>
              <w:rPr>
                <w:sz w:val="20"/>
                <w:szCs w:val="20"/>
                <w:color w:val="auto"/>
              </w:rPr>
            </w:pPr>
            <w:r>
              <w:rPr>
                <w:rFonts w:ascii="Arial" w:cs="Arial" w:eastAsia="Arial" w:hAnsi="Arial"/>
                <w:sz w:val="14"/>
                <w:szCs w:val="14"/>
                <w:b w:val="1"/>
                <w:bCs w:val="1"/>
                <w:color w:val="auto"/>
              </w:rPr>
              <w:t>Three Months Ended September 30, 2012</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68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1"/>
              </w:rPr>
              <w:t>Non-U.S.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Plans</w:t>
            </w:r>
          </w:p>
        </w:tc>
        <w:tc>
          <w:tcPr>
            <w:tcW w:w="9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Curtailments, settlements and other (gains) losses</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10"/>
          </w:tcPr>
          <w:p>
            <w:pPr>
              <w:jc w:val="right"/>
              <w:ind w:right="454"/>
              <w:spacing w:after="0"/>
              <w:rPr>
                <w:sz w:val="20"/>
                <w:szCs w:val="20"/>
                <w:color w:val="auto"/>
              </w:rPr>
            </w:pPr>
            <w:r>
              <w:rPr>
                <w:rFonts w:ascii="Arial" w:cs="Arial" w:eastAsia="Arial" w:hAnsi="Arial"/>
                <w:sz w:val="14"/>
                <w:szCs w:val="14"/>
                <w:b w:val="1"/>
                <w:bCs w:val="1"/>
                <w:color w:val="auto"/>
              </w:rPr>
              <w:t>Nine Months Ended September 30, 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4"/>
                <w:szCs w:val="14"/>
                <w:b w:val="1"/>
                <w:bCs w:val="1"/>
                <w:color w:val="auto"/>
              </w:rPr>
              <w:t>Nine Months Ended September 30, 2012</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68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1"/>
              </w:rPr>
              <w:t>Non-U.S.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Plans</w:t>
            </w:r>
          </w:p>
        </w:tc>
        <w:tc>
          <w:tcPr>
            <w:tcW w:w="9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(3,946)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Curtailments, settlements and other (gains) losses</w:t>
            </w:r>
          </w:p>
        </w:tc>
        <w:tc>
          <w:tcPr>
            <w:tcW w:w="18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Life Insurance Plan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September 2013 we amended the U.S. salaried life insurance plan effective January 1, 2014 to eliminate benefits for retirees and eligible employees retiring on or after August 1, 2009. The remeasurement, settlement and curtailment resulted in a decrease in the OPEB liability of $319 million, a decrease in the net pre-tax actuarial loss component of Accumulated other comprehensive loss of $236 million and a pre-tax gain of $83 million.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2012 we amended the U.S. salaried pension plan to cease the accrual of additional benefits effective September 30, 2012. This amendment resulted in a curtailment which decreased the pension liability and decreased the net pre-tax actuarial loss component of Accumulated other comprehensive loss by $309 million in the three months ended March 31, 2012. Active plan participants started receiving additional contributions in the defined contribution plan in October 2012.</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August 2012 the salaried pension plan was amended to divide the plan to create a new legally separate defined benefit plan primarily for active and terminated vested participants. The underlying benefits offered to the plans' participants were unchanged, however the plan split resulted in a remeasurement. The remeasurement on August 1, 2012 increased the pension liability and the net pre-tax actuarial loss component of Accumulated other comprehensive loss by $654 million, due primarily to a decrease in the discount rate from 4.21% to 3.37% on a weighted-average basis, partially offset by actual asset returns in excess of expected amounts.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August 2012 lump-sum pension distributions were made to retired salaried plan participants who elected to receive a lump-sum payment instead of their annuity. These distributions resulted in a partial plan settlement necessitating a plan remeasurement on August 31, 2012. The settlement resulted in a pre-tax loss of $54 million. The effect on our financial condition was insignificant.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Salaried Defined Benefit Plans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June 2012 we amended the Canadian salaried pension plan to cease the accrual of additional benefits effective December 31, 2012 and provide active employees a lump-sum distribution option at retirement. The remeasurement, amendments and offsetting curtailment increased the pension liability by $84 million. Active plan participants started receiving additional contributions in the defined contribution plan starting in January 2013.</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also amended the Canadian salaried retiree healthcare plan to eliminate post-65 healthcare benefits for employees retiring on or after July 1, 2014. In conjunction with this change we amended the plan to offer either a monthly monetary payment or an annual lump-sum cash payment to a defined contribution plan for health care in lieu of the benefit coverage provisions formerly provided under the healthcare plan. These amendments decreased the OPEB liability by $28 million.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Remeasurements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2012 certain pension plans in GME were remeasured as part of our goodwill impairment testing, resulting in an increase of $150 million in the pension liability and a pre-tax increase in the net actuarial loss component of Accumulated other comprehensive loss. Refer to Note 7 for additional information on our goodwill impairment.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accordance with our risk management policy we enter into a variety of foreign currency exchange rate and commodity derivative contracts to manage our exposure to fluctuations in certain foreign currency exchange rates and commodity prices. At September 30, 2013 and December 31, 2012 our derivative instruments consisted primarily of forward contracts and options, none of which were designated in hedging relationships.</w:t>
      </w:r>
    </w:p>
    <w:p>
      <w:pPr>
        <w:spacing w:after="0" w:line="1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manage our counterparty credit risk by monitoring the credit ratings of our counterparties and by requiring them to post collateral in certain circumstances. We are also required to post collateral to our counterparties. We are not subject to any covenants requiring the maintenance of certain credit rating levels or credit risk ratios that would require the posting of collateral in the event that such covenants are violated. Master netting agreements are entered into with counterparties that include a provision to allow the set-off of certain amounts in order to manage counterparty credit risk.</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September 30, 2013 and December 31, 2012 no collateral was provided to counterparties; however, we have received collateral from counterparties related to certain derivative instruments. The potential effect from offsetting those derivative assets and liabilities that are subject to master netting agreements was insignificant.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policy is to present derivative assets and liabilities on a gross basis. The following table summarizes fair value measurements of our derivative instruments measured on a recurring basis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Derivative Liabilities</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264"/>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Current(a)</w:t>
            </w:r>
          </w:p>
        </w:tc>
        <w:tc>
          <w:tcPr>
            <w:tcW w:w="1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Non-Current(b)</w:t>
            </w:r>
          </w:p>
        </w:tc>
        <w:tc>
          <w:tcPr>
            <w:tcW w:w="140" w:type="dxa"/>
            <w:vAlign w:val="bottom"/>
          </w:tcPr>
          <w:p>
            <w:pPr>
              <w:spacing w:after="0"/>
              <w:rPr>
                <w:sz w:val="22"/>
                <w:szCs w:val="22"/>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Current(c)</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Non-Current(d)</w:t>
            </w:r>
          </w:p>
        </w:tc>
        <w:tc>
          <w:tcPr>
            <w:tcW w:w="12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540" w:type="dxa"/>
            <w:vAlign w:val="bottom"/>
          </w:tcPr>
          <w:p>
            <w:pPr>
              <w:jc w:val="right"/>
              <w:ind w:right="43"/>
              <w:spacing w:after="0"/>
              <w:rPr>
                <w:sz w:val="20"/>
                <w:szCs w:val="20"/>
                <w:color w:val="auto"/>
              </w:rPr>
            </w:pPr>
            <w:r>
              <w:rPr>
                <w:rFonts w:ascii="Arial" w:cs="Arial" w:eastAsia="Arial" w:hAnsi="Arial"/>
                <w:sz w:val="14"/>
                <w:szCs w:val="14"/>
                <w:b w:val="1"/>
                <w:bCs w:val="1"/>
                <w:color w:val="auto"/>
                <w:w w:val="84"/>
              </w:rPr>
              <w:t>Level 2</w:t>
            </w: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9,920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December 31, 2012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10,751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43"/>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23"/>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6"/>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43"/>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27</w:t>
            </w:r>
          </w:p>
        </w:tc>
      </w:tr>
      <w:tr>
        <w:trPr>
          <w:trHeight w:val="188"/>
        </w:trPr>
        <w:tc>
          <w:tcPr>
            <w:tcW w:w="1960" w:type="dxa"/>
            <w:vAlign w:val="bottom"/>
          </w:tcPr>
          <w:p>
            <w:pPr>
              <w:jc w:val="right"/>
              <w:ind w:right="1302"/>
              <w:spacing w:after="0"/>
              <w:rPr>
                <w:sz w:val="20"/>
                <w:szCs w:val="20"/>
                <w:color w:val="auto"/>
              </w:rPr>
            </w:pPr>
            <w:r>
              <w:rPr>
                <w:rFonts w:ascii="Arial" w:cs="Arial" w:eastAsia="Arial" w:hAnsi="Arial"/>
                <w:sz w:val="14"/>
                <w:szCs w:val="14"/>
                <w:color w:val="auto"/>
                <w:w w:val="89"/>
              </w:rPr>
              <w:t>________</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Recorded in Other current assets.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Recorded in Other assets.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Recorded in Accrued liabilities.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Recorded in Other liabilities and deferred income taxes.</w:t>
      </w:r>
    </w:p>
    <w:p>
      <w:pPr>
        <w:spacing w:after="0" w:line="2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measure the fair value of our portfolio of foreign currency, commodity and embedded derivatives using industry accepted models. The significant Level 2 inputs used in the valuation of our derivatives include spot rates, forward rates, volatility and interest rates. These inputs are obtained from pricing services, broker quotes and other sources.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party to agreements in which pricing is affected by movements in commodity prices or currency exchange rates. Therefore we determined these agreements to be derivatives or have embedded derivatives for accounting purposes. The valuations of these derivatives use Level 3 inputs. Unobservable inputs include volume commitments, vehicle mix and forward commodity prices.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valuations are performed, reviewed and approved by personnel with appropriate expertise in valuation methodologies. For certain derivatives we compare our own valuations with valuations prepared by independent outside parties.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had derivative instruments measured using Level 3 inputs with balances of $105 million and $38 million at September 30, 2013 and 2012, which included gains of $40 million and $74 million in the three and nine months ended September 30, 2013, and losses of $13 million and $102 million in the three and nine months ended September 30,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Gains (Losses) on Derivatives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derivative gains (losses) recorded in Interest income and other non-operating income (loss), net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(losses) recorded in earnings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 and manages this exposure with interest rate swaps and caps. GM Financial had interest rate derivatives in asset positions with notional amounts of $4.4 billion and $775 million at September 30, 2013 and December 31, 2012. GM Financial had interest rate derivatives in liability positions with notional amounts of $5.5 billion and $775 million at September 30, 2013 and December 31, 2012. The fair value of these derivative financial instruments was insignificant.</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connection with the closing of the acquisition of the Ally Financial international operations, GM Financial provided loans denominated in foreign currencies (Euro, British Pound and Swedish Krona) to an acquired entity for the equivalent of $1.5 billion. In March 2013 GM Financial entered into foreign currency exchange swaps to hedge against any valuation change in the loan due to changes in foreign currency exchange rates. At September 30, 2013 the foreign currency exchange swaps in asset and liability positions had notional amounts of $1.5 billion. In addition, in connection with the acquisition, GM Financial assumed a cross-currency swap related to a European securitization, which had a notional amount of $534 million at September 30, 2013. The fair value of the foreign currency exchange swaps was insignificant. Refer to Note 2 for additional information on the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December 31, 2012</w:t>
            </w:r>
          </w:p>
        </w:tc>
      </w:tr>
      <w:tr>
        <w:trPr>
          <w:trHeight w:val="152"/>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Liability(a)</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Liability(a)</w:t>
            </w:r>
          </w:p>
        </w:tc>
      </w:tr>
      <w:tr>
        <w:trPr>
          <w:trHeight w:val="250"/>
        </w:trPr>
        <w:tc>
          <w:tcPr>
            <w:tcW w:w="20" w:type="dxa"/>
            <w:vAlign w:val="bottom"/>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Guarantees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Third party commercial loans and other obligations(b)</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14,858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22,496</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product-related claims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1,040</w:t>
            </w:r>
          </w:p>
        </w:tc>
      </w:tr>
      <w:tr>
        <w:trPr>
          <w:trHeight w:val="220"/>
        </w:trPr>
        <w:tc>
          <w:tcPr>
            <w:tcW w:w="20" w:type="dxa"/>
            <w:vAlign w:val="bottom"/>
          </w:tcPr>
          <w:p>
            <w:pPr>
              <w:spacing w:after="0"/>
              <w:rPr>
                <w:sz w:val="19"/>
                <w:szCs w:val="19"/>
                <w:color w:val="auto"/>
              </w:rPr>
            </w:pPr>
          </w:p>
        </w:tc>
        <w:tc>
          <w:tcPr>
            <w:tcW w:w="6960" w:type="dxa"/>
            <w:vAlign w:val="bottom"/>
          </w:tcPr>
          <w:p>
            <w:pPr>
              <w:jc w:val="right"/>
              <w:ind w:right="6170"/>
              <w:spacing w:after="0"/>
              <w:rPr>
                <w:sz w:val="20"/>
                <w:szCs w:val="20"/>
                <w:color w:val="auto"/>
              </w:rPr>
            </w:pPr>
            <w:r>
              <w:rPr>
                <w:rFonts w:ascii="Arial" w:cs="Arial" w:eastAsia="Arial" w:hAnsi="Arial"/>
                <w:sz w:val="18"/>
                <w:szCs w:val="18"/>
                <w:color w:val="auto"/>
                <w:w w:val="84"/>
              </w:rPr>
              <w:t>________</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liabilities recorded of $10 million and $15 million and maximum liabilities of $14.6 billion and $22.1 billion related to Ally Financial repurchase obligations at September 30, 2013 and December 31,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Liability Recorded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litigation-related liability and tax administrative matters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Product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601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Environmental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or rental car companies. These guarantees either expire in 2018 or are ongoing. We determined the fair value ascribed to the guarantees at inception and subsequent to inception to be insignificant based on the credit worthiness of the third parties.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2013 through 2016 or are ongoing, or upon the occurrence of specific events.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Accounting Standards Codification (ASC) 740, "Income Taxes" (indirect tax-related matters); and environmental matters.</w:t>
      </w:r>
    </w:p>
    <w:p>
      <w:pPr>
        <w:spacing w:after="0" w:line="187"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non-U.S. labor-related matters as well as indirect tax-related matters. The various non-U.S. labor-related matters include claims from current and former employees related to alleged unpaid wage, benefit, severance and other compensation matters. Indirect tax-related matters are being litigated globally pertaining to value added taxes, customs, duties, sales taxes, property taxes and other non-income tax related tax exposures. Certain South American administrative proceedings are indirect tax-related and may require that we deposit funds in escrow. Escrow deposits may range from $500 million to $600 million. Some of the matters may involve compensatory, punitive or other treble damage claims, environmental remediation programs or sanctions that, if granted, could require us to pay damages or make other expenditures in amounts that could not be reasonably estimated at September 30, 2013. We believe that appropriate accruals have been established for such matters based on information currently available. Reserves for litigation losses are recorded in Accrued liabilities and Other liabilities and deferred income taxes. Litigation is inherently unpredictable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in all of these cases. GM Korea believes the decision of the Seoul High Court is incorrect and has appealed to the Supreme Court of the Republic of Korea and initiated a constitutional challenge to the adverse interpretation of the relevant statute. At September 30, 2013 we have an accrual of 843 billion South Korean Won (equivalent to $784 million) in connection with these cases. We do not believe we have any reasonably possible loss, as defined by ASC 450, “Contingencies,” in excess of the amount of the accrual. We are also party to litigation with current and former salary employees over allegations relating to Ordinary Wage regulation, although the issues differ due to differences between hourly and salaried benefit design. For those cases, we have identified a reasonably possible loss in excess of amounts accrued of 164 billion South Korean Won (equivalent to $153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Both the scope of claims asserted and GM Korea's assessment of any or all of individual claim elements may change if new information becomes available.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 On March 26, 2012 the Ontario Superior Court dismissed GMCL's appeal of the class certification order. Accordingly the case will proceed as a class action. A number of former dealers have opted out of participation in the litigation, leaving 181 dealers in the certified class.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The UAW alleges that we were contractually required to make this contribution. The reasonably possible loss is $450 million, which is the amount claimed. We believe that the claim is without merit and we have no accrual relating to this litigation. We believe the UAW's claim is barred by the 2009 UAW Retiree Settlement Agreement approved by the U.S. Bankruptcy Court for the Southern District of New York (Bankruptcy Court). We also maintain that Delphi Corporation's bankruptcy plan of reorganization did not fulfill the applicable conditions of the relevant agreement and therefore payment would not be due even in the absence of the 2009 UAW Retiree Settlement Agreement.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Nova Scotia Claims Litigation</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are a participating party-in-interest in proceedings pending in the Bankruptcy Court to adjudicate claims in the Old GM bankruptcy arising from certain securities issued by General Motors Nova Scotia Finance Company (Nova Scotia Finance), an Old GM subsidiary which we did not acquire in 2009 (Nova Scotia Claims Litigation). Although the current proceedings involve no claims against us, they present issues which, depending upon their resolution, could result in future claims against GMCL. In previous periods, we have disclosed a potential liability associated with these issues of approximately $900 million. In September 2013 the parties to the Nova Scotia Claims Litigation and GMCL executed a settlement agreement to resolve the disputes within the scope of the litigation. Pursuant to the agreement, GMCL will pay $50 million to, or as directed by, the Trustee of Nova Scotia Finance and we (including our subsidiaries and affiliates) will be released from all claims relating to Nova Scotia Finance, the Nova Scotia Claims Litigation, and the transactions at issue in the litigation. We have an accrual in the amount of the consideration provided for in the settlement agreement. The settlement agreement has been approved by the Bankruptcy Court. Although the settlement agreement remains subject to approval by the courts of Nova Scotia, we believe it will be approved and that the prospects for liability relating to this matter in excess of the current accrual are remote.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Automotive operations, like operations of other companies engaged in similar businesses, are subject to a wide range of environmental protection laws, including laws regulating air emissions, water discharges, waste management and environmental remediation. Liabilities have been recorded for the expected costs to be paid over the periods of remediation for the applicable sites, which typically range from five to 30 years.</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September 30, 2013 we estimate the remediation losses could range from $120 million to $230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 Excise Tax Incentive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September 30, 2013 we believe it is reasonably assured that the program requirements will be met based on the current business model and available technologies.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Planned Spending Guarantee</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$189 million and $186 million at September 30, 2013 and December 31, 2012 was pledged as collateral under the agreement. Through September 30, 2013 spending was sufficient to meet the current requirements under the agreement and the specified milestones have been accomplished. Management has the intent and believes it has the ability to meet the future requirements under the agreement.</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 Tavera Emissions Compliance</w:t>
      </w:r>
    </w:p>
    <w:p>
      <w:pPr>
        <w:spacing w:after="0" w:line="2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We have identified an emissions compliance issue with the Tavera produced in India. We have self-reported this issue to local government authorities and will cooperate with any review they may conduct. It is too early to determine the final impact this issue will have on the Company or our Indian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Tax jurisdictions with a projected or year to date loss for which a tax benefit cannot be realized are excluded</w:t>
      </w:r>
      <w:r>
        <w:rPr>
          <w:rFonts w:ascii="Arial" w:cs="Arial" w:eastAsia="Arial" w:hAnsi="Arial"/>
          <w:sz w:val="16"/>
          <w:szCs w:val="16"/>
          <w:i w:val="1"/>
          <w:iCs w:val="1"/>
          <w:color w:val="auto"/>
        </w:rPr>
        <w:t>.</w:t>
      </w:r>
      <w:r>
        <w:rPr>
          <w:rFonts w:ascii="Arial" w:cs="Arial" w:eastAsia="Arial" w:hAnsi="Arial"/>
          <w:sz w:val="16"/>
          <w:szCs w:val="16"/>
          <w:color w:val="auto"/>
        </w:rPr>
        <w:t xml:space="preserve"> The tax effects of unusual or infrequently occurring items, including changes in judgment about valuation allowances and effects of changes in tax laws or rates, are reported in the interim period in which they occur.</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September 30, 2013 and 2012 income tax expense of $842 million and $357 million primarily resulted from tax expense attributable to entities included in our effective tax rate calculation. In the nine months ended September 30, 2013 and 2012 income tax expense of $2.0 billion and $814 million primarily resulted from tax expense attributable to entities included in our effective tax rate calculation, partially offset by the U.S. research credit legislated in the three months ended March 31, 2013. The income tax expense increased in the three and nine months ended September 30, 2013 due primarily to U.S. and Canada entities having full valuation allowances on deferred tax assets in 2012, which also caused the effective tax rate in the three and nine months ended September 30, 2012 to be lower than the applicable statutory tax rate. We have open tax years from 2005 to 2012 with various significant tax jurisdictions.</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It is reasonably possible uncertain tax positions will be resolved in the next twelve months resulting in a tax benefit of up to approximately $500 million. Resolution of tax-related matters and ultimate audit settlements are subject to significant uncertainty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pertaining to both amount and timing; therefore, actual decreases to uncertain tax benefits, if any, may differ significantly from our current estimate.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GMSA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Balance at March 31, 2013</w:t>
            </w:r>
          </w:p>
        </w:tc>
        <w:tc>
          <w:tcPr>
            <w:tcW w:w="2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2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Balance at September 30, 2013(a)</w:t>
            </w:r>
          </w:p>
        </w:tc>
        <w:tc>
          <w:tcPr>
            <w:tcW w:w="2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0" w:type="dxa"/>
            <w:vAlign w:val="bottom"/>
            <w:vMerge w:val="restart"/>
          </w:tcPr>
          <w:p>
            <w:pPr>
              <w:jc w:val="right"/>
              <w:ind w:right="51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at March 31, 2012</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at September 30, 2012(a)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$346 million and $364 million at September 30, 2013 and 2012 for GMNA, primarily relate to postemployment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2013</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cash severance incentive programs for skilled trade U.S. hourly employees and service cost for hourly layoff benefits.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Due to the expected closure of the Oshawa Consolidated Plant in December 2016, impacted employees will be eligible for a voluntary restructuring separation incentive program in accordance with the existing collective bargaining agreement that provides cash and a car voucher. This may range up to $70 million and will be included in our restructuring liability, net of existing liabilities, upon irrevocable acceptance by both parties.</w:t>
      </w:r>
    </w:p>
    <w:p>
      <w:pPr>
        <w:spacing w:after="0" w:line="1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GME recorded charges, interest accretion and other and revisions to estimates for previously announced separation and early retirement programs. Through September 30, 2013 the active separation programs related to Germany had a total cost of $64 million and had affected a total of 250 employees. We expect to complete these programs in 2013 and incur an additional $100 million, which will affect an additional 390 employees.</w:t>
      </w:r>
    </w:p>
    <w:p>
      <w:pPr>
        <w:spacing w:after="0" w:line="166"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GMIO recorded charges, interest accretion and other and revisions to estimates for separation programs in Korea and Australia. Through September 30, 2013 the active separation programs related to Korea and Australia had a total cost of $88 million and had affected a total of 850 employees.</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GMSA recorded charges for active separation programs. Through September 30, 2013 the active separation programs related to Brazil had a total cost of $103 million which we expect to complete by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2012</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GMNA recorded charges, interest accretion and other and revisions to estimates related to our 2011 UAW labor agreement and increased production capacity utilization in Canada. Our 2011 UAW labor agreement included cash severance incentive programs which were completed at March 31, 2012 for skilled trade U.S. hourly employees. A total of 1,400 skilled trade U.S. hourly employees participated in these programs at a total cost of $99 million and was recorded upon irrevocable acceptances by both parties. Substantially all of the program cost was recorded in the three months ended March 31,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GME recorded charges, interest accretion and other and revisions to estimates primarily related to previously announced separation and early retirement programs in Germany. Through September 30, 2012 the separation programs had a total cost of $313 million and affected a total of 1,900 employees.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GMIO recorded charges and interest accretion and other for previously announced separation programs in Korea.</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GMSA recorded charges for employee separation costs related to a separation program in Brazil.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have 2.0 billion shares of preferred stock and 5.0 billion shares of common stock authorized for issuance. We had 156 million shares of Series A Preferred Stock issued and outstanding at September 30, 2013 and 276 million shares issued and outstanding at December 31, 2012. We had 100 million shares of Series B Preferred Stock and 1.4 billion shares of common stock issued and outstanding at September 30, 2013 and December 31, 2012.</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September 2013 we purchased 120 million shares of Series A Preferred Stock held by the New VEBA at a price equal to 108.1% of the aggregate liquidation amount for $3.2 billion. We recorded a loss for the difference between the carrying amount of the Series A Preferred Stock purchased and the consideration paid, which reduced Net income attributable to common stockholders by $816 million. The remaining outstanding shares of Series A Preferred Stock is redeemable by us on or after December 31, 2014. If all of the remaining Series A Preferred Stock was redeemed or purchased at its par value, Net income available to common stockholders would be reduced by a charge of $800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Pre-Tax Amount</w:t>
            </w:r>
          </w:p>
        </w:tc>
        <w:tc>
          <w:tcPr>
            <w:tcW w:w="18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Expense (Benefit)</w:t>
            </w:r>
          </w:p>
        </w:tc>
        <w:tc>
          <w:tcPr>
            <w:tcW w:w="320" w:type="dxa"/>
            <w:vAlign w:val="bottom"/>
          </w:tcPr>
          <w:p>
            <w:pPr>
              <w:spacing w:after="0"/>
              <w:rPr>
                <w:sz w:val="16"/>
                <w:szCs w:val="16"/>
                <w:color w:val="auto"/>
              </w:rPr>
            </w:pPr>
          </w:p>
        </w:tc>
        <w:tc>
          <w:tcPr>
            <w:tcW w:w="1500" w:type="dxa"/>
            <w:vAlign w:val="bottom"/>
          </w:tcPr>
          <w:p>
            <w:pPr>
              <w:jc w:val="right"/>
              <w:ind w:right="451"/>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January 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loss attributable to noncontrolling interests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Unrealized Gains (Losses) on Securities, Net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 Net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 prior service credit(a)</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Reclassification adjustment - actuarial loss(a)</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September 30, 2013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January 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loss attributable to noncontrolling interests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the computation of net periodic pension and OPEB (income) expense. Refer to Note 12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for per share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1,833</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Less: cumulative dividends on preferred stock and charge related to purchase of</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preferred stock(a)</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5"/>
              </w:rPr>
              <w:t>Less: undistributed earnings allocated to Series B Preferred Stock participating</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security</w:t>
            </w: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 preferred dividends to holders of Series B Preferred Stock</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Less: cumulative dividends on preferred stock and charge related to purchase of</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preferred stock(a)</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5"/>
              </w:rPr>
              <w:t>Less: undistributed earnings allocated to Series B Preferred Stock participating</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security</w:t>
            </w: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warrants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conversion of Series B Preferred Stock</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restricted stock units (RSUs)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6"/>
                <w:szCs w:val="16"/>
                <w:color w:val="auto"/>
              </w:rPr>
              <w:t>________</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earned but undistributed dividends of $15 million and $26 million on our Series A Preferred Stock and $20 million on our Series B Preferred Stock in the three and nine months ended September 30, 2013 and 2012.</w:t>
      </w:r>
    </w:p>
    <w:p>
      <w:pPr>
        <w:spacing w:after="0" w:line="182"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Our Series B Preferred Stock is a participating security and requires the application of the more dilutive of the two-class or if-converted method to calculate earnings per share when the applicable market value of our common stock is below or above the range of $33.00 to $39.60 per common share. We are required to use the if-converted method to calculate earnings per share when the applicable market value of our common stock is within this range. The applicable market value of our common stock is the average closing prices over the 40 consecutive trading day period ending on the third trading day immediately preceding the reporting period end date. Under the two-class method, undistributed earnings are allocated to common stock and the Series B Preferred Stock according to their respective participation rights in undistributed earnings, as if all the earnings for the period had been distributed, resulting in a lower basic and diluted earnings per share amount. The calculation of the applicable market value at the date of our financial statements will apply to the current quarter and the year to date periods presented, irrespective of the applicable market value computed during the prior quarters. Our calculation of earnings per share will vary from period to period depending on whether the two-class or if-converted method is required.</w:t>
      </w:r>
    </w:p>
    <w:p>
      <w:pPr>
        <w:spacing w:after="0" w:line="16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three and nine months ended September 30, 2013 the applicable market value of our common stock was within the range of $33.00 to $39.60 per common share and, as such, we applied the if-converted method for purposes of calculating diluted earnings per share. The dilutive effect of the Series B Preferred Stock was determined by assuming conversion of the securities at the beginning of the period resulting in an increase to the weighted-average common shares outstanding and an increase to Net income attributable to common stockholders from adding the accumulated dividends on our Series B Preferred Stock. The impact on diluted earnings per share was an increase of $0.03 and $0.11 for the three and nine months ended September 30, 2013 using the if-converted as compared to the two-class method. In the three and nine months ended September 30, 2012 we were required to use the two-class method for calculating basic and diluted earnings per share because the applicable market value of our common stock was below $33.00 per common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and nine months ended September 30, 2013 and 2012 warrants to purchase 46 million shares were not included in the computation of diluted earnings per share because the warrants' exercise price was greater than the average market price of the common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Stock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22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We granted 7 million RSUs valued at the grant date fair value of our common stock in the nine months ended September 30, 2013 and 2012. Substantially all of these awards vest over a three-year service period, as defined in the terms of each award. Our policy is to issue new shares upon settlement of RSUs.</w:t>
      </w:r>
    </w:p>
    <w:p>
      <w:pPr>
        <w:spacing w:after="0" w:line="12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2013 awards granted to the Top 25 highest compensated employees will settle on the second and third anniversary dates of grant in 25% increments consistent with the terms of the 2009 Long-Term Incentive Plan. The awards for the Next 75 highest compensated employees will settle on the second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2012 awards granted to the Top 25 highest compensated employees will settle on the second or third anniversary dates of grant in 25% increments consistent with the terms of the 2009 Long-Term Incentive Plan. The awards for the non-Top 25 highest compensated employees will vest and settle on the second and third anniversary dates of grant. Vesting and subsequent settlement will generally occur based upon employment at the end of each specified service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Stock Plan</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nine months ended September 30, 2013 and 2012 a portion of each participant's salary accrued on each salary payment date converted to RSUs on a quarterly basis. In March 2012 we amended the plan to provide for cash settlement of awards and reclassified $97 million from Additional paid-in capital to Accrued liabilities and Other liabilities and deferred income taxes. Prior to this amendment it was our policy to issue new shares upon settlement of these awards. In June 2013 we amended the plan to provide for cash or share settlement of awards based on election by the participant. The liability for these awards continues to be remeasured to fair value at the end of each reporting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under our stock incentive plans (RSUs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January 1, 2013</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September 30, 2013</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unvested and expected to vest at September 30, 2013</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RSUs vested and payable at September 30, 2013</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September 30, 2013 the total unrecognized compensation expense for nonvested equity awards was $202 million. This expense is expected to be recorded over a weighted-average period of 1.9 years.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total fair value of RSUs that vested in the nine months ended September 30, 2013 and 2012 was $288 million and $108 million.</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nine months ended September 30, 2013 total payments of $76 million were made to settle 2.6 million RSUs under stock incentive plans. Payments made in the nine months ended September 30, 2012 were insignificant.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Reporting</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analyze the results of our business through our five segments: GMNA, GME, GMIO, GMSA and GM Financial. The chief operating decision maker evaluates the operating results and performance of our automotive segments through Income (loss) before interest and income taxes, as adjusted for additional amounts, which are presented net of noncontrolling interests, and evaluates GM Financial through income before income taxes.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9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We record certain transactions between our automotive and finance segments as intersegment activity and eliminate them in consolidation. The new reporting structure provides clearer profit and revenue visibility across geographic areas and identifies our profitability at the point of sale. Previously, it was based on the geographic area in which the vehicles originated and our managerial and financial reporting structure included intercompany sales and cost of sales in our segment results. Certain expenses such as engineering, warranty, recall campaigns and selling, general and administrative are allocated to the geographic area in which the vehicle is sold to third party customers. We have retrospectively revised the segment presentation for all periods presented.</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5"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6">
            <w:col w:w="340" w:space="220"/>
            <w:col w:w="1840" w:space="720"/>
            <w:col w:w="80" w:space="220"/>
            <w:col w:w="1840" w:space="720"/>
            <w:col w:w="60" w:space="280"/>
            <w:col w:w="5100"/>
          </w:cols>
          <w:pgMar w:left="240" w:top="12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September 30, 2013 we also had equity ownership stakes directly or indirectly in entities through various regional subsidiaries, primarily in Asia. These companies design, manufacture and market vehicles under the following brands:</w:t>
      </w:r>
    </w:p>
    <w:p>
      <w:pPr>
        <w:spacing w:after="0" w:line="116"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240" w:val="left"/>
          <w:tab w:leader="none" w:pos="8800" w:val="left"/>
          <w:tab w:leader="none" w:pos="9140" w:val="left"/>
        </w:tabs>
        <w:rPr>
          <w:sz w:val="20"/>
          <w:szCs w:val="20"/>
          <w:color w:val="auto"/>
        </w:rPr>
      </w:pPr>
      <w:r>
        <w:rPr>
          <w:rFonts w:ascii="Arial" w:cs="Arial" w:eastAsia="Arial" w:hAnsi="Arial"/>
          <w:sz w:val="18"/>
          <w:szCs w:val="18"/>
          <w:color w:val="auto"/>
        </w:rPr>
        <w:t>•</w:t>
        <w:tab/>
        <w:t>Alpheon</w:t>
      </w:r>
      <w:r>
        <w:rPr>
          <w:sz w:val="20"/>
          <w:szCs w:val="20"/>
          <w:color w:val="auto"/>
        </w:rPr>
        <w:tab/>
      </w: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Wuling</w:t>
      </w:r>
    </w:p>
    <w:p>
      <w:pPr>
        <w:spacing w:after="0" w:line="63"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240" w:val="left"/>
        </w:tabs>
        <w:rPr>
          <w:sz w:val="20"/>
          <w:szCs w:val="20"/>
          <w:color w:val="auto"/>
        </w:rPr>
      </w:pPr>
      <w:r>
        <w:rPr>
          <w:rFonts w:ascii="Arial" w:cs="Arial" w:eastAsia="Arial" w:hAnsi="Arial"/>
          <w:sz w:val="18"/>
          <w:szCs w:val="18"/>
          <w:color w:val="auto"/>
        </w:rPr>
        <w:t>•</w:t>
        <w:tab/>
        <w:t>Baojun</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Jiefang</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w w:val="96"/>
              </w:rPr>
              <w:t>At and For the Three Months Ended September 30,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23,506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4,858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5,336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4,381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38,120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38,120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863</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38,983</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8"/>
        </w:trPr>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Gain on extinguishment of debt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2,559</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842</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0"/>
              </w:rPr>
              <w:t>Net income (loss)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1,717</w:t>
            </w:r>
          </w:p>
        </w:tc>
      </w:tr>
      <w:tr>
        <w:trPr>
          <w:trHeight w:val="171"/>
        </w:trPr>
        <w:tc>
          <w:tcPr>
            <w:tcW w:w="2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92,876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11,274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25,594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12,327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23,929</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(27,761)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138,239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32,000</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168,539</w:t>
            </w: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Goodwill impairment charges of $48 million in GMIO, which is presented net of noncontrolling interests.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w w:val="93"/>
              </w:rPr>
              <w:t>For the Nine Months Ended September 30, 2013</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4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Corporate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69,974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14,830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15,406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12,380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114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112,704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112,704</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2,238</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69,982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112,712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114,942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interest and taxes-adjusted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6,679</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49"/>
        </w:trPr>
        <w:tc>
          <w:tcPr>
            <w:tcW w:w="334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6,299</w:t>
            </w:r>
          </w:p>
        </w:tc>
        <w:tc>
          <w:tcPr>
            <w:tcW w:w="0" w:type="dxa"/>
            <w:vAlign w:val="bottom"/>
          </w:tcPr>
          <w:p>
            <w:pPr>
              <w:spacing w:after="0"/>
              <w:rPr>
                <w:sz w:val="1"/>
                <w:szCs w:val="1"/>
                <w:color w:val="auto"/>
              </w:rPr>
            </w:pP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1,993</w:t>
            </w:r>
          </w:p>
        </w:tc>
        <w:tc>
          <w:tcPr>
            <w:tcW w:w="0" w:type="dxa"/>
            <w:vAlign w:val="bottom"/>
          </w:tcPr>
          <w:p>
            <w:pPr>
              <w:spacing w:after="0"/>
              <w:rPr>
                <w:sz w:val="1"/>
                <w:szCs w:val="1"/>
                <w:color w:val="auto"/>
              </w:rPr>
            </w:pPr>
          </w:p>
        </w:tc>
      </w:tr>
      <w:tr>
        <w:trPr>
          <w:trHeight w:val="241"/>
        </w:trPr>
        <w:tc>
          <w:tcPr>
            <w:tcW w:w="3340" w:type="dxa"/>
            <w:vAlign w:val="bottom"/>
          </w:tcPr>
          <w:p>
            <w:pPr>
              <w:ind w:left="40"/>
              <w:spacing w:after="0"/>
              <w:rPr>
                <w:sz w:val="20"/>
                <w:szCs w:val="20"/>
                <w:color w:val="auto"/>
              </w:rPr>
            </w:pPr>
            <w:r>
              <w:rPr>
                <w:rFonts w:ascii="Arial" w:cs="Arial" w:eastAsia="Arial" w:hAnsi="Arial"/>
                <w:sz w:val="13"/>
                <w:szCs w:val="13"/>
                <w:color w:val="auto"/>
              </w:rPr>
              <w:t>Net income (loss) attributable to stockholders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4,306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3"/>
                <w:szCs w:val="13"/>
                <w:color w:val="auto"/>
              </w:rPr>
              <w:t>________</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right="120" w:hanging="332"/>
        <w:spacing w:after="0" w:line="239"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Consists of Venezuela currency devaluation of $162 million in GMSA, the acquisition of GM Korea preferred shares of $67 million and Goodwill impairment charges of $48 million in GMIO, which is presented net of noncontrolling interests, and net pension settlement charges and income related to various insurance recoveries, net, of $29 million.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9"/>
          </w:tcPr>
          <w:p>
            <w:pPr>
              <w:ind w:left="80"/>
              <w:spacing w:after="0"/>
              <w:rPr>
                <w:sz w:val="20"/>
                <w:szCs w:val="20"/>
                <w:color w:val="auto"/>
              </w:rPr>
            </w:pPr>
            <w:r>
              <w:rPr>
                <w:rFonts w:ascii="Arial" w:cs="Arial" w:eastAsia="Arial" w:hAnsi="Arial"/>
                <w:sz w:val="13"/>
                <w:szCs w:val="13"/>
                <w:b w:val="1"/>
                <w:bCs w:val="1"/>
                <w:color w:val="auto"/>
                <w:w w:val="87"/>
              </w:rPr>
              <w:t>For the Three Months Ended September 30, 2012</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b w:val="1"/>
                <w:bCs w:val="1"/>
                <w:color w:val="auto"/>
                <w:w w:val="93"/>
              </w:rPr>
              <w:t>Corporate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6"/>
              </w:rPr>
              <w:t>Automotive</w:t>
            </w:r>
          </w:p>
        </w:tc>
        <w:tc>
          <w:tcPr>
            <w:tcW w:w="8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70"/>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22,347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4,702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5,722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37,062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37,062</w:t>
            </w:r>
          </w:p>
        </w:tc>
        <w:tc>
          <w:tcPr>
            <w:tcW w:w="0" w:type="dxa"/>
            <w:vAlign w:val="bottom"/>
          </w:tcPr>
          <w:p>
            <w:pPr>
              <w:spacing w:after="0"/>
              <w:rPr>
                <w:sz w:val="1"/>
                <w:szCs w:val="1"/>
                <w:color w:val="auto"/>
              </w:rPr>
            </w:pP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22,347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4,702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5,722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4,275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37,062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514</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37,576</w:t>
            </w:r>
          </w:p>
        </w:tc>
        <w:tc>
          <w:tcPr>
            <w:tcW w:w="0" w:type="dxa"/>
            <w:vAlign w:val="bottom"/>
          </w:tcPr>
          <w:p>
            <w:pPr>
              <w:spacing w:after="0"/>
              <w:rPr>
                <w:sz w:val="1"/>
                <w:szCs w:val="1"/>
                <w:color w:val="auto"/>
              </w:rPr>
            </w:pPr>
          </w:p>
        </w:tc>
      </w:tr>
      <w:tr>
        <w:trPr>
          <w:trHeight w:val="171"/>
        </w:trPr>
        <w:tc>
          <w:tcPr>
            <w:tcW w:w="34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Income (loss) before interest and 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2,097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200</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2,296</w:t>
            </w:r>
          </w:p>
        </w:tc>
        <w:tc>
          <w:tcPr>
            <w:tcW w:w="0" w:type="dxa"/>
            <w:vAlign w:val="bottom"/>
          </w:tcPr>
          <w:p>
            <w:pPr>
              <w:spacing w:after="0"/>
              <w:rPr>
                <w:sz w:val="1"/>
                <w:szCs w:val="1"/>
                <w:color w:val="auto"/>
              </w:rPr>
            </w:pPr>
          </w:p>
        </w:tc>
      </w:tr>
      <w:tr>
        <w:trPr>
          <w:trHeight w:val="278"/>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249"/>
        </w:trPr>
        <w:tc>
          <w:tcPr>
            <w:tcW w:w="344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2,190</w:t>
            </w:r>
          </w:p>
        </w:tc>
        <w:tc>
          <w:tcPr>
            <w:tcW w:w="0" w:type="dxa"/>
            <w:vAlign w:val="bottom"/>
          </w:tcPr>
          <w:p>
            <w:pPr>
              <w:spacing w:after="0"/>
              <w:rPr>
                <w:sz w:val="1"/>
                <w:szCs w:val="1"/>
                <w:color w:val="auto"/>
              </w:rPr>
            </w:pP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241"/>
        </w:trPr>
        <w:tc>
          <w:tcPr>
            <w:tcW w:w="3440" w:type="dxa"/>
            <w:vAlign w:val="bottom"/>
          </w:tcPr>
          <w:p>
            <w:pPr>
              <w:ind w:left="40"/>
              <w:spacing w:after="0"/>
              <w:rPr>
                <w:sz w:val="20"/>
                <w:szCs w:val="20"/>
                <w:color w:val="auto"/>
              </w:rPr>
            </w:pPr>
            <w:r>
              <w:rPr>
                <w:rFonts w:ascii="Arial" w:cs="Arial" w:eastAsia="Arial" w:hAnsi="Arial"/>
                <w:sz w:val="13"/>
                <w:szCs w:val="13"/>
                <w:color w:val="auto"/>
              </w:rPr>
              <w:t>Net income (loss) attributable to stockholders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3"/>
                <w:szCs w:val="13"/>
                <w:color w:val="auto"/>
              </w:rPr>
              <w:t>_______</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Goodwill impairment charges of $62 million in GMIO, which is presented net of noncontrolling interests.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100"/>
              <w:spacing w:after="0"/>
              <w:rPr>
                <w:sz w:val="20"/>
                <w:szCs w:val="20"/>
                <w:color w:val="auto"/>
              </w:rPr>
            </w:pPr>
            <w:r>
              <w:rPr>
                <w:rFonts w:ascii="Arial" w:cs="Arial" w:eastAsia="Arial" w:hAnsi="Arial"/>
                <w:sz w:val="13"/>
                <w:szCs w:val="13"/>
                <w:b w:val="1"/>
                <w:bCs w:val="1"/>
                <w:color w:val="auto"/>
                <w:w w:val="87"/>
              </w:rPr>
              <w:t>For the Nine Months Ended September 30, 2012</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b w:val="1"/>
                <w:bCs w:val="1"/>
                <w:color w:val="auto"/>
                <w:w w:val="93"/>
              </w:rPr>
              <w:t>Corporate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67,075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15,489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16,653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12,259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111,517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111,517</w:t>
            </w:r>
          </w:p>
        </w:tc>
        <w:tc>
          <w:tcPr>
            <w:tcW w:w="0" w:type="dxa"/>
            <w:vAlign w:val="bottom"/>
          </w:tcPr>
          <w:p>
            <w:pPr>
              <w:spacing w:after="0"/>
              <w:rPr>
                <w:sz w:val="1"/>
                <w:szCs w:val="1"/>
                <w:color w:val="auto"/>
              </w:rPr>
            </w:pPr>
          </w:p>
        </w:tc>
      </w:tr>
      <w:tr>
        <w:trPr>
          <w:trHeight w:val="278"/>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1,432</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67,074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111,516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112,949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interest and taxes-adjusted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6,597</w:t>
            </w: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(590)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278"/>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49"/>
        </w:trPr>
        <w:tc>
          <w:tcPr>
            <w:tcW w:w="344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5,808</w:t>
            </w:r>
          </w:p>
        </w:tc>
        <w:tc>
          <w:tcPr>
            <w:tcW w:w="0" w:type="dxa"/>
            <w:vAlign w:val="bottom"/>
          </w:tcPr>
          <w:p>
            <w:pPr>
              <w:spacing w:after="0"/>
              <w:rPr>
                <w:sz w:val="1"/>
                <w:szCs w:val="1"/>
                <w:color w:val="auto"/>
              </w:rPr>
            </w:pPr>
          </w:p>
        </w:tc>
      </w:tr>
      <w:tr>
        <w:trPr>
          <w:trHeight w:val="272"/>
        </w:trPr>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241"/>
        </w:trPr>
        <w:tc>
          <w:tcPr>
            <w:tcW w:w="3440" w:type="dxa"/>
            <w:vAlign w:val="bottom"/>
          </w:tcPr>
          <w:p>
            <w:pPr>
              <w:ind w:left="40"/>
              <w:spacing w:after="0"/>
              <w:rPr>
                <w:sz w:val="20"/>
                <w:szCs w:val="20"/>
                <w:color w:val="auto"/>
              </w:rPr>
            </w:pPr>
            <w:r>
              <w:rPr>
                <w:rFonts w:ascii="Arial" w:cs="Arial" w:eastAsia="Arial" w:hAnsi="Arial"/>
                <w:sz w:val="13"/>
                <w:szCs w:val="13"/>
                <w:color w:val="auto"/>
              </w:rPr>
              <w:t>Net income (loss) attributable to stockholders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4,994</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3"/>
                <w:szCs w:val="13"/>
                <w:color w:val="auto"/>
              </w:rPr>
              <w:t>________</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Goodwill impairment charges of $590 million in GME and $84 million in GMIO, which is presented net of noncontrolling interests.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Certain Ally Financial International Operations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On October 1, 2013 GM Financial completed the acquisition of Ally Financial's automotive finance operations in Brazil for $611 million, subject to certain closing adjustments.</w:t>
      </w:r>
    </w:p>
    <w:p>
      <w:pPr>
        <w:spacing w:after="0" w:line="17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will record the fair value of the assets acquired and liabilities assumed on October 1, 2013, the date GM Financial obtained control of the operations, and include the results of their operations and cash flows in their consolidated financial statements from that date forward.</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 summarizes certain pro forma financial information for us and the acquired Brazil operations that closed in October had this acquisition occurred as of the first day in the periods presented, without consideration of historical transactions between the acquired operations and us, as it is impracticable to obtain such information (dollars in millions):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22"/>
                <w:szCs w:val="22"/>
                <w:color w:val="auto"/>
              </w:rPr>
            </w:pPr>
          </w:p>
        </w:tc>
        <w:tc>
          <w:tcPr>
            <w:tcW w:w="144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September 30, 2012</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113,509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5,018</w:t>
            </w:r>
          </w:p>
        </w:tc>
      </w:tr>
    </w:tbl>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It is not possible to reasonably estimate the nature and amount of any potential goodwill or the value of identifiable intangible assets at this time because the valuation of the assets acquired and liabilities assumed was not completed at the date of the issuance of our condensed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2012 (2012 Form 10-K), as filed with the Securities and Exchange Commission (SEC).</w:t>
      </w:r>
    </w:p>
    <w:p>
      <w:pPr>
        <w:spacing w:after="0" w:line="1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We have retrospectively revised the segment presentation for all periods presented. Refer to Note 20 to our condensed consolidated financial statements for additional information on this change.</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vehicle sales to our revenue from the sale of vehicles, which is the largest component of automotive Net sales and revenue. Wholesale vehicle sales exclude vehicles produced by unconsolidated joint ventures. Retail vehicle sales data, which represents estimated sales to the end customer, including fleets, does not correlate directly to the revenue we recognize during the period. However, retail vehicle sales data is indicative of the underlying demand for our vehicles, is the basis for our market share, and is based upon the good faith estimates of management and includes all sales by joint ventures on a total vehicle basis, not based on the percentage of ownership in the joint venture. Market share information is based primarily on retail vehicle sales volume, but estimates may be used where retail vehicle sales volume is not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 In the nine months ended September 30, 2013, 56.1% of our wholesale vehicle sales volume was generated outside the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analyze the results of our automotive business through our four geographically-based segments:</w:t>
      </w:r>
    </w:p>
    <w:p>
      <w:pPr>
        <w:spacing w:after="0" w:line="225" w:lineRule="exact"/>
        <w:rPr>
          <w:sz w:val="20"/>
          <w:szCs w:val="20"/>
          <w:color w:val="auto"/>
        </w:rPr>
      </w:pPr>
    </w:p>
    <w:p>
      <w:pPr>
        <w:jc w:val="both"/>
        <w:ind w:left="500" w:hanging="330"/>
        <w:spacing w:after="0" w:line="286"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GM North America (GMNA) has sales, manufacturing and distribution operations in the U.S., Canada and Mexico and sales and distribution operations in Central America and the Caribbean. GMNA represented 50.7% of our wholesale vehicle sales volume in the nine months ended September 30, 2013 and we had the largest market share, based upon retail vehicle sales, in North America at 17.0%.</w:t>
      </w:r>
    </w:p>
    <w:p>
      <w:pPr>
        <w:spacing w:after="0" w:line="57" w:lineRule="exact"/>
        <w:rPr>
          <w:rFonts w:ascii="Arial" w:cs="Arial" w:eastAsia="Arial" w:hAnsi="Arial"/>
          <w:sz w:val="17"/>
          <w:szCs w:val="17"/>
          <w:color w:val="auto"/>
        </w:rPr>
      </w:pPr>
    </w:p>
    <w:p>
      <w:pPr>
        <w:jc w:val="both"/>
        <w:ind w:left="500" w:hanging="330"/>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GM Europe (GME) has sales, manufacturing and distribution operations across Western and Central Europe. GME's wholesale vehicle sales volume, which in addition to Western and Central Europe, includes Eastern Europe (including Russia and the other members of the Commonwealth of Independent States among others) represented 16.3% of our wholesale vehicle sales volume in the nine months ended September 30, 2013. In the nine months ended September 30, 2013 we estimate we had the number four market share, based upon retail vehicle sales, in Europe at 8.4%. GM International Operations (GMIO) distributes Chevrolet brand vehicles in Europe. These vehicles are reported within market share for Europe, but wholesale vehicle sales volume is recorded by GMIO.</w:t>
      </w:r>
    </w:p>
    <w:p>
      <w:pPr>
        <w:spacing w:after="0" w:line="85" w:lineRule="exact"/>
        <w:rPr>
          <w:rFonts w:ascii="Arial" w:cs="Arial" w:eastAsia="Arial" w:hAnsi="Arial"/>
          <w:sz w:val="18"/>
          <w:szCs w:val="18"/>
          <w:color w:val="auto"/>
        </w:rPr>
      </w:pPr>
    </w:p>
    <w:p>
      <w:pPr>
        <w:jc w:val="both"/>
        <w:ind w:left="500" w:hanging="330"/>
        <w:spacing w:after="0" w:line="297"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GMIO has sales, manufacturing and distribution operations in Asia/Pacific, the Middle East, Africa and Eastern Europe (including Russia and the other members of the Commonwealth of Independent States among others). GMIO represented 16.3% of our wholesale vehicle sales volume in the nine months ended September 30, 2013. The Asia/Pacific, Middle East and Africa region is our largest region by retail vehicle sales volume and represented 39.3% of our global retail vehicle sales volume in the nine months ended September 30, 2013. In the nine months ended September 30, 2013 we estimate we had the number two market share, based upon retail vehicle sales, in Asia/Pacific, Middle East and Africa at 9.5%. In the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65" w:lineRule="exact"/>
        <w:rPr>
          <w:sz w:val="20"/>
          <w:szCs w:val="20"/>
          <w:color w:val="auto"/>
        </w:rPr>
      </w:pPr>
    </w:p>
    <w:p>
      <w:pPr>
        <w:ind w:left="500"/>
        <w:spacing w:after="0" w:line="324" w:lineRule="auto"/>
        <w:rPr>
          <w:sz w:val="20"/>
          <w:szCs w:val="20"/>
          <w:color w:val="auto"/>
        </w:rPr>
      </w:pPr>
      <w:r>
        <w:rPr>
          <w:rFonts w:ascii="Arial" w:cs="Arial" w:eastAsia="Arial" w:hAnsi="Arial"/>
          <w:sz w:val="18"/>
          <w:szCs w:val="18"/>
          <w:color w:val="auto"/>
        </w:rPr>
        <w:t>nine months ended September 30, 2013 we had market share of 14.5%, based upon retail vehicle sales, in China. GMIO records the wholesale unit volume and financial results of Chevrolet brand vehicles that it distributes and sells in Europe.</w:t>
      </w:r>
    </w:p>
    <w:p>
      <w:pPr>
        <w:spacing w:after="0" w:line="35" w:lineRule="exact"/>
        <w:rPr>
          <w:sz w:val="20"/>
          <w:szCs w:val="20"/>
          <w:color w:val="auto"/>
        </w:rPr>
      </w:pPr>
    </w:p>
    <w:p>
      <w:pPr>
        <w:jc w:val="both"/>
        <w:ind w:left="500" w:hanging="330"/>
        <w:spacing w:after="0" w:line="297"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GM South America (GMSA) has sales, manufacturing, distribution and/or financing operations in Brazil, Argentina, Colombia, Ecuador and Venezuela as well as sales and distribution operations in Bolivia, Chile, Paraguay, Peru and Uruguay. GMSA represented 16.7% of our wholesale vehicle sales volume in the nine months ended September 30, 2013. In the nine months ended September 30, 2013 GMSA derived 63.6% of its wholesale vehicle sales volume from Brazil. In the nine months ended September 30, 2013 we estimate we had the number one market share, based upon retail vehicle sales, in South America at 17.4% and the number three market share, based upon retail vehicle sales, in Brazil at 17.1%.</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Alliance with Peugeot S.A. (PSA)</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February 2012 we entered into an agreement with PSA to create a long-term and broad-scale global strategic alliance that is expected to leverage the combined strengths and capabilities of the two companies, contribute to our profitability and improve our competitiveness in Europe. Our ability to achieve these improvements is subject to numerous uncertainties including but not limited to PSA's current efforts to obtain additional funding and future investors. In March 2012 we acquired a seven percent equity stake in PSA. In June 2012 we entered into a long-term exclusive service agreement with Gefco, a wholly-owned subsidiary of PSA, to provide logistics services in Europe beginning in 2013. In December 2012 PSA sold its controlling interest in Gefco to an unrelated third party; however, the sale has no impact on the long-term exclusive service agreement. In December 2012 we entered into a product development agreement with PSA to collaborate on the development of certain vehicle platforms, components and modules. As a result of this agreement, in the three months ended March 31, 2013 we acquired the rights to certain intellectual property and technology for total consideration of $0.6 billion. We are assessing certain programs that were originally contemplated under the product development agreement and future changes may result in significant adjustments to amounts previously recorded. Refer to Note 7 to our condensed consolidated financial statements for details regarding the acquisition of these rights.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Activities and Special Attrition Programs, Labor Agreements and Benefit Plan Changes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March and April 2013 we finalized labor agreements in Germany and Spain, which will limit or eliminate labor cost increases at our facilities in those countries in 2013 and for the next several years. In addition to our active restructuring programs in Germany we plan to terminate all vehicle and transmission production at our Bochum, Germany facility by the end of 2014. Based on the voluntary severance packages offered to transmission production employees in October 2013, the Bochum closure will likely result in significant cash and non-cash charges over the next year. We are in negotiation with the labor union to finalize the terms of any severance program to be offered to vehicle production employees. The estimate of charges is subject to significant uncertainties and highly dependent upon decisions not yet finalized.</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12 to our condensed consolidated financial statements for details regarding benefit plan changes and Note 16 for details regarding restructuring activities and other initiatives.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and Retail Vehicle Sales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Worldwide market share and retail vehicle sales data exclude the markets of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vehicles by automotive segment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208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2013</w:t>
            </w:r>
          </w:p>
        </w:tc>
        <w:tc>
          <w:tcPr>
            <w:tcW w:w="208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2012</w:t>
            </w: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September 30, 2013</w:t>
            </w:r>
          </w:p>
        </w:tc>
        <w:tc>
          <w:tcPr>
            <w:tcW w:w="19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September 30, 2012</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GME</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GMSA</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3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4,762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following table summarizes total industry retail sales volume, or estimated sales volume where retail sales volume is not available, of new vehicles of domestic and foreign makes and the related competitive position by geographic region (vehicles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ind w:right="69"/>
              <w:spacing w:after="0"/>
              <w:rPr>
                <w:sz w:val="20"/>
                <w:szCs w:val="20"/>
                <w:color w:val="auto"/>
              </w:rPr>
            </w:pPr>
            <w:r>
              <w:rPr>
                <w:rFonts w:ascii="Arial" w:cs="Arial" w:eastAsia="Arial" w:hAnsi="Arial"/>
                <w:sz w:val="12"/>
                <w:szCs w:val="12"/>
                <w:b w:val="1"/>
                <w:bCs w:val="1"/>
                <w:color w:val="auto"/>
                <w:w w:val="97"/>
              </w:rPr>
              <w:t>Vehicle Sales(a)(b)(c)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ind w:right="69"/>
              <w:spacing w:after="0"/>
              <w:rPr>
                <w:sz w:val="20"/>
                <w:szCs w:val="20"/>
                <w:color w:val="auto"/>
              </w:rPr>
            </w:pPr>
            <w:r>
              <w:rPr>
                <w:rFonts w:ascii="Arial" w:cs="Arial" w:eastAsia="Arial" w:hAnsi="Arial"/>
                <w:sz w:val="12"/>
                <w:szCs w:val="12"/>
                <w:b w:val="1"/>
                <w:bCs w:val="1"/>
                <w:color w:val="auto"/>
                <w:w w:val="97"/>
              </w:rPr>
              <w:t>Vehicle Sales(a)(b)(c)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ind w:right="69"/>
              <w:spacing w:after="0"/>
              <w:rPr>
                <w:sz w:val="20"/>
                <w:szCs w:val="20"/>
                <w:color w:val="auto"/>
              </w:rPr>
            </w:pPr>
            <w:r>
              <w:rPr>
                <w:rFonts w:ascii="Arial" w:cs="Arial" w:eastAsia="Arial" w:hAnsi="Arial"/>
                <w:sz w:val="12"/>
                <w:szCs w:val="12"/>
                <w:b w:val="1"/>
                <w:bCs w:val="1"/>
                <w:color w:val="auto"/>
                <w:w w:val="99"/>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ind w:right="89"/>
              <w:spacing w:after="0"/>
              <w:rPr>
                <w:sz w:val="20"/>
                <w:szCs w:val="20"/>
                <w:color w:val="auto"/>
              </w:rPr>
            </w:pPr>
            <w:r>
              <w:rPr>
                <w:rFonts w:ascii="Arial" w:cs="Arial" w:eastAsia="Arial" w:hAnsi="Arial"/>
                <w:sz w:val="12"/>
                <w:szCs w:val="12"/>
                <w:b w:val="1"/>
                <w:bCs w:val="1"/>
                <w:color w:val="auto"/>
              </w:rPr>
              <w:t>Nine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5"/>
          </w:tcPr>
          <w:p>
            <w:pPr>
              <w:ind w:left="40"/>
              <w:spacing w:after="0"/>
              <w:rPr>
                <w:sz w:val="20"/>
                <w:szCs w:val="20"/>
                <w:color w:val="auto"/>
              </w:rPr>
            </w:pPr>
            <w:r>
              <w:rPr>
                <w:rFonts w:ascii="Arial" w:cs="Arial" w:eastAsia="Arial" w:hAnsi="Arial"/>
                <w:sz w:val="12"/>
                <w:szCs w:val="12"/>
                <w:b w:val="1"/>
                <w:bCs w:val="1"/>
                <w:color w:val="auto"/>
                <w:w w:val="89"/>
              </w:rPr>
              <w:t>September 30, 2013</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5"/>
          </w:tcPr>
          <w:p>
            <w:pPr>
              <w:ind w:left="40"/>
              <w:spacing w:after="0"/>
              <w:rPr>
                <w:sz w:val="20"/>
                <w:szCs w:val="20"/>
                <w:color w:val="auto"/>
              </w:rPr>
            </w:pPr>
            <w:r>
              <w:rPr>
                <w:rFonts w:ascii="Arial" w:cs="Arial" w:eastAsia="Arial" w:hAnsi="Arial"/>
                <w:sz w:val="12"/>
                <w:szCs w:val="12"/>
                <w:b w:val="1"/>
                <w:bCs w:val="1"/>
                <w:color w:val="auto"/>
                <w:w w:val="89"/>
              </w:rPr>
              <w:t>September 30, 2012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w w:val="87"/>
              </w:rPr>
              <w:t>September 30, 2013</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5"/>
          </w:tcPr>
          <w:p>
            <w:pPr>
              <w:ind w:left="40"/>
              <w:spacing w:after="0"/>
              <w:rPr>
                <w:sz w:val="20"/>
                <w:szCs w:val="20"/>
                <w:color w:val="auto"/>
              </w:rPr>
            </w:pPr>
            <w:r>
              <w:rPr>
                <w:rFonts w:ascii="Arial" w:cs="Arial" w:eastAsia="Arial" w:hAnsi="Arial"/>
                <w:sz w:val="12"/>
                <w:szCs w:val="12"/>
                <w:b w:val="1"/>
                <w:bCs w:val="1"/>
                <w:color w:val="auto"/>
                <w:w w:val="89"/>
              </w:rPr>
              <w:t>September 30, 2012</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GM as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GM as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GM as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50"/>
              <w:spacing w:after="0"/>
              <w:rPr>
                <w:sz w:val="20"/>
                <w:szCs w:val="20"/>
                <w:color w:val="auto"/>
              </w:rPr>
            </w:pPr>
            <w:r>
              <w:rPr>
                <w:rFonts w:ascii="Arial" w:cs="Arial" w:eastAsia="Arial" w:hAnsi="Arial"/>
                <w:sz w:val="12"/>
                <w:szCs w:val="12"/>
                <w:b w:val="1"/>
                <w:bCs w:val="1"/>
                <w:color w:val="auto"/>
                <w:w w:val="88"/>
              </w:rPr>
              <w:t>GM as</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6"/>
              </w:rPr>
              <w:t>a % of</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a % of</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6"/>
              </w:rPr>
              <w:t>a % of</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50"/>
              <w:spacing w:after="0" w:line="135" w:lineRule="exact"/>
              <w:rPr>
                <w:sz w:val="20"/>
                <w:szCs w:val="20"/>
                <w:color w:val="auto"/>
              </w:rPr>
            </w:pPr>
            <w:r>
              <w:rPr>
                <w:rFonts w:ascii="Arial" w:cs="Arial" w:eastAsia="Arial" w:hAnsi="Arial"/>
                <w:sz w:val="12"/>
                <w:szCs w:val="12"/>
                <w:b w:val="1"/>
                <w:bCs w:val="1"/>
                <w:color w:val="auto"/>
                <w:w w:val="90"/>
              </w:rPr>
              <w:t>a % of</w:t>
            </w: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Industry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ind w:left="240"/>
              <w:spacing w:after="0"/>
              <w:rPr>
                <w:sz w:val="20"/>
                <w:szCs w:val="20"/>
                <w:color w:val="auto"/>
              </w:rPr>
            </w:pPr>
            <w:r>
              <w:rPr>
                <w:rFonts w:ascii="Arial" w:cs="Arial" w:eastAsia="Arial" w:hAnsi="Arial"/>
                <w:sz w:val="12"/>
                <w:szCs w:val="12"/>
                <w:b w:val="1"/>
                <w:bCs w:val="1"/>
                <w:color w:val="auto"/>
              </w:rPr>
              <w:t>GM</w:t>
            </w: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Industry</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Industry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ind w:left="240"/>
              <w:spacing w:after="0"/>
              <w:rPr>
                <w:sz w:val="20"/>
                <w:szCs w:val="20"/>
                <w:color w:val="auto"/>
              </w:rPr>
            </w:pPr>
            <w:r>
              <w:rPr>
                <w:rFonts w:ascii="Arial" w:cs="Arial" w:eastAsia="Arial" w:hAnsi="Arial"/>
                <w:sz w:val="12"/>
                <w:szCs w:val="12"/>
                <w:b w:val="1"/>
                <w:bCs w:val="1"/>
                <w:color w:val="auto"/>
              </w:rPr>
              <w:t>GM</w:t>
            </w: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Industry</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Industry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ind w:left="220"/>
              <w:spacing w:after="0"/>
              <w:rPr>
                <w:sz w:val="20"/>
                <w:szCs w:val="20"/>
                <w:color w:val="auto"/>
              </w:rPr>
            </w:pPr>
            <w:r>
              <w:rPr>
                <w:rFonts w:ascii="Arial" w:cs="Arial" w:eastAsia="Arial" w:hAnsi="Arial"/>
                <w:sz w:val="12"/>
                <w:szCs w:val="12"/>
                <w:b w:val="1"/>
                <w:bCs w:val="1"/>
                <w:color w:val="auto"/>
              </w:rPr>
              <w:t>GM</w:t>
            </w: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Industry</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Industry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ind w:left="240"/>
              <w:spacing w:after="0"/>
              <w:rPr>
                <w:sz w:val="20"/>
                <w:szCs w:val="20"/>
                <w:color w:val="auto"/>
              </w:rPr>
            </w:pPr>
            <w:r>
              <w:rPr>
                <w:rFonts w:ascii="Arial" w:cs="Arial" w:eastAsia="Arial" w:hAnsi="Arial"/>
                <w:sz w:val="12"/>
                <w:szCs w:val="12"/>
                <w:b w:val="1"/>
                <w:bCs w:val="1"/>
                <w:color w:val="auto"/>
              </w:rPr>
              <w:t>GM</w:t>
            </w:r>
          </w:p>
        </w:tc>
        <w:tc>
          <w:tcPr>
            <w:tcW w:w="600" w:type="dxa"/>
            <w:vAlign w:val="bottom"/>
          </w:tcPr>
          <w:p>
            <w:pPr>
              <w:jc w:val="center"/>
              <w:ind w:right="50"/>
              <w:spacing w:after="0"/>
              <w:rPr>
                <w:sz w:val="20"/>
                <w:szCs w:val="20"/>
                <w:color w:val="auto"/>
              </w:rPr>
            </w:pPr>
            <w:r>
              <w:rPr>
                <w:rFonts w:ascii="Arial" w:cs="Arial" w:eastAsia="Arial" w:hAnsi="Arial"/>
                <w:sz w:val="12"/>
                <w:szCs w:val="12"/>
                <w:b w:val="1"/>
                <w:bCs w:val="1"/>
                <w:color w:val="auto"/>
                <w:w w:val="92"/>
              </w:rPr>
              <w:t>Industry</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 America</w:t>
            </w: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4,031</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3,702</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12,000</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2,117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11,128</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2,393</w:t>
            </w:r>
          </w:p>
        </w:tc>
        <w:tc>
          <w:tcPr>
            <w:tcW w:w="6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85"/>
        </w:trPr>
        <w:tc>
          <w:tcPr>
            <w:tcW w:w="196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Total North America</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4,849</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4,479</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14,393</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2,450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13,421</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2,284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Europe</w:t>
            </w: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United Kingdom</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718</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642</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1,847</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Germany</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84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2,591</w:t>
            </w:r>
          </w:p>
        </w:tc>
        <w:tc>
          <w:tcPr>
            <w:tcW w:w="84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Russia</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724</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793</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2,086</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2,240</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7,488</w:t>
            </w:r>
          </w:p>
        </w:tc>
        <w:tc>
          <w:tcPr>
            <w:tcW w:w="6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7,801</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85"/>
        </w:trPr>
        <w:tc>
          <w:tcPr>
            <w:tcW w:w="196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Total Europe</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4,496</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4,434</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14,046</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14,479</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8"/>
              </w:rPr>
              <w:t>Asia/Pacific, Middle East and</w:t>
            </w: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Africa</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China(d)</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5,116</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4,448</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15,952</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2,312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14,189</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Other(d)</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4,568</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4,635</w:t>
            </w:r>
          </w:p>
        </w:tc>
        <w:tc>
          <w:tcPr>
            <w:tcW w:w="84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14,114</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84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rPr>
              <w:t>Total Asia/Pacific, Middle East</w:t>
            </w: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0"/>
              <w:spacing w:after="0"/>
              <w:rPr>
                <w:sz w:val="20"/>
                <w:szCs w:val="20"/>
                <w:color w:val="auto"/>
              </w:rPr>
            </w:pPr>
            <w:r>
              <w:rPr>
                <w:rFonts w:ascii="Arial" w:cs="Arial" w:eastAsia="Arial" w:hAnsi="Arial"/>
                <w:sz w:val="14"/>
                <w:szCs w:val="14"/>
                <w:color w:val="auto"/>
              </w:rPr>
              <w:t>and Africa</w:t>
            </w:r>
          </w:p>
        </w:tc>
        <w:tc>
          <w:tcPr>
            <w:tcW w:w="620" w:type="dxa"/>
            <w:vAlign w:val="bottom"/>
          </w:tcPr>
          <w:p>
            <w:pPr>
              <w:jc w:val="right"/>
              <w:spacing w:after="0"/>
              <w:rPr>
                <w:sz w:val="20"/>
                <w:szCs w:val="20"/>
                <w:color w:val="auto"/>
              </w:rPr>
            </w:pPr>
            <w:r>
              <w:rPr>
                <w:rFonts w:ascii="Arial" w:cs="Arial" w:eastAsia="Arial" w:hAnsi="Arial"/>
                <w:sz w:val="14"/>
                <w:szCs w:val="14"/>
                <w:color w:val="auto"/>
              </w:rPr>
              <w:t>9,684</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9,083</w:t>
            </w:r>
          </w:p>
        </w:tc>
        <w:tc>
          <w:tcPr>
            <w:tcW w:w="840" w:type="dxa"/>
            <w:vAlign w:val="bottom"/>
            <w:gridSpan w:val="3"/>
          </w:tcPr>
          <w:p>
            <w:pPr>
              <w:jc w:val="right"/>
              <w:ind w:right="50"/>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30,066</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color w:val="auto"/>
              </w:rPr>
              <w:t>2,847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28,380</w:t>
            </w:r>
          </w:p>
        </w:tc>
        <w:tc>
          <w:tcPr>
            <w:tcW w:w="840" w:type="dxa"/>
            <w:vAlign w:val="bottom"/>
            <w:gridSpan w:val="3"/>
          </w:tcPr>
          <w:p>
            <w:pPr>
              <w:jc w:val="right"/>
              <w:ind w:right="50"/>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77"/>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South America</w:t>
            </w: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Brazil</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981</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1,072</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2,780</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2,789</w:t>
            </w:r>
          </w:p>
        </w:tc>
        <w:tc>
          <w:tcPr>
            <w:tcW w:w="84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6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85"/>
        </w:trPr>
        <w:tc>
          <w:tcPr>
            <w:tcW w:w="196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Total South America</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1,532</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1,590</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4,423</w:t>
            </w:r>
          </w:p>
        </w:tc>
        <w:tc>
          <w:tcPr>
            <w:tcW w:w="6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4,349</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74"/>
        </w:trPr>
        <w:tc>
          <w:tcPr>
            <w:tcW w:w="196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Worldwide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20,561</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2,398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19,587</w:t>
            </w:r>
          </w:p>
        </w:tc>
        <w:tc>
          <w:tcPr>
            <w:tcW w:w="84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62,928</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7,252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60,629</w:t>
            </w:r>
          </w:p>
        </w:tc>
        <w:tc>
          <w:tcPr>
            <w:tcW w:w="84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6,933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66"/>
        </w:trPr>
        <w:tc>
          <w:tcPr>
            <w:tcW w:w="19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84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84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84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84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United States</w:t>
            </w: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Cars</w:t>
            </w:r>
          </w:p>
        </w:tc>
        <w:tc>
          <w:tcPr>
            <w:tcW w:w="620" w:type="dxa"/>
            <w:vAlign w:val="bottom"/>
          </w:tcPr>
          <w:p>
            <w:pPr>
              <w:jc w:val="right"/>
              <w:spacing w:after="0"/>
              <w:rPr>
                <w:sz w:val="20"/>
                <w:szCs w:val="20"/>
                <w:color w:val="auto"/>
              </w:rPr>
            </w:pPr>
            <w:r>
              <w:rPr>
                <w:rFonts w:ascii="Arial" w:cs="Arial" w:eastAsia="Arial" w:hAnsi="Arial"/>
                <w:sz w:val="14"/>
                <w:szCs w:val="14"/>
                <w:color w:val="auto"/>
              </w:rPr>
              <w:t>1,930</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1,784</w:t>
            </w:r>
          </w:p>
        </w:tc>
        <w:tc>
          <w:tcPr>
            <w:tcW w:w="840" w:type="dxa"/>
            <w:vAlign w:val="bottom"/>
            <w:gridSpan w:val="3"/>
          </w:tcPr>
          <w:p>
            <w:pPr>
              <w:jc w:val="right"/>
              <w:ind w:right="50"/>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5,826</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5,503</w:t>
            </w:r>
          </w:p>
        </w:tc>
        <w:tc>
          <w:tcPr>
            <w:tcW w:w="840" w:type="dxa"/>
            <w:vAlign w:val="bottom"/>
            <w:gridSpan w:val="3"/>
          </w:tcPr>
          <w:p>
            <w:pPr>
              <w:jc w:val="right"/>
              <w:ind w:right="50"/>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Trucks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84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w:t>
            </w:r>
          </w:p>
        </w:tc>
        <w:tc>
          <w:tcPr>
            <w:tcW w:w="84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Crossovers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551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478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United States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3,702</w:t>
            </w:r>
          </w:p>
        </w:tc>
        <w:tc>
          <w:tcPr>
            <w:tcW w:w="84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652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11,128</w:t>
            </w:r>
          </w:p>
        </w:tc>
        <w:tc>
          <w:tcPr>
            <w:tcW w:w="84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9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line="238"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Certain fleet sales that are accounted for as operating leases are included in vehicle sales at the time of delivery to the daily rental car companies.</w:t>
      </w: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Vehicle sales data may include rounding differences.</w:t>
      </w:r>
    </w:p>
    <w:p>
      <w:pPr>
        <w:jc w:val="both"/>
        <w:ind w:left="340" w:hanging="332"/>
        <w:spacing w:after="0" w:line="239"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joint venture vehicle sales presented in the following table are included in our retail vehicle sales. Vehicle sales for SAIC GM Investment Limited, the holding company of General Motors India Private Limited and Chevrolet Sales India Private Limited (collectively HKJV) are included in the three and nine months ended September 30, 2013. Refer to Note 2 to our condensed consolidated financial statements for additional information on the acquisition of HKJV.</w:t>
      </w:r>
    </w:p>
    <w:p>
      <w:pPr>
        <w:sectPr>
          <w:pgSz w:w="11900" w:h="16838" w:orient="portrait"/>
          <w:cols w:equalWidth="0" w:num="1">
            <w:col w:w="11420"/>
          </w:cols>
          <w:pgMar w:left="240" w:top="341"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41"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292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84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478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auto"/>
              </w:rPr>
              <w:t>September 30, 2013</w:t>
            </w: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September 30, 2012</w:t>
            </w: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September 30, 2013</w:t>
            </w:r>
          </w:p>
        </w:tc>
        <w:tc>
          <w:tcPr>
            <w:tcW w:w="1360" w:type="dxa"/>
            <w:vAlign w:val="bottom"/>
          </w:tcPr>
          <w:p>
            <w:pPr>
              <w:jc w:val="right"/>
              <w:ind w:right="97"/>
              <w:spacing w:after="0"/>
              <w:rPr>
                <w:sz w:val="20"/>
                <w:szCs w:val="20"/>
                <w:color w:val="auto"/>
              </w:rPr>
            </w:pPr>
            <w:r>
              <w:rPr>
                <w:rFonts w:ascii="Arial" w:cs="Arial" w:eastAsia="Arial" w:hAnsi="Arial"/>
                <w:sz w:val="13"/>
                <w:szCs w:val="13"/>
                <w:b w:val="1"/>
                <w:bCs w:val="1"/>
                <w:color w:val="auto"/>
                <w:w w:val="97"/>
              </w:rPr>
              <w:t>September 30, 2012</w:t>
            </w:r>
          </w:p>
        </w:tc>
      </w:tr>
      <w:tr>
        <w:trPr>
          <w:trHeight w:val="27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Joint venture sales in China</w:t>
            </w: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2"/>
        </w:trPr>
        <w:tc>
          <w:tcPr>
            <w:tcW w:w="4780" w:type="dxa"/>
            <w:vAlign w:val="bottom"/>
          </w:tcPr>
          <w:p>
            <w:pPr>
              <w:ind w:left="20"/>
              <w:spacing w:after="0"/>
              <w:rPr>
                <w:sz w:val="20"/>
                <w:szCs w:val="20"/>
                <w:color w:val="auto"/>
              </w:rPr>
            </w:pPr>
            <w:r>
              <w:rPr>
                <w:rFonts w:ascii="Arial" w:cs="Arial" w:eastAsia="Arial" w:hAnsi="Arial"/>
                <w:sz w:val="13"/>
                <w:szCs w:val="13"/>
                <w:color w:val="auto"/>
              </w:rPr>
              <w:t>SAIC General Motors Sales Co., Ltd. (SGMS)</w:t>
            </w: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368</w:t>
            </w:r>
          </w:p>
        </w:tc>
        <w:tc>
          <w:tcPr>
            <w:tcW w:w="120" w:type="dxa"/>
            <w:vAlign w:val="bottom"/>
          </w:tcPr>
          <w:p>
            <w:pPr>
              <w:spacing w:after="0"/>
              <w:rPr>
                <w:sz w:val="22"/>
                <w:szCs w:val="2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2"/>
                <w:szCs w:val="22"/>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1,111</w:t>
            </w:r>
          </w:p>
        </w:tc>
        <w:tc>
          <w:tcPr>
            <w:tcW w:w="120" w:type="dxa"/>
            <w:vAlign w:val="bottom"/>
          </w:tcPr>
          <w:p>
            <w:pPr>
              <w:spacing w:after="0"/>
              <w:rPr>
                <w:sz w:val="22"/>
                <w:szCs w:val="22"/>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967</w:t>
            </w:r>
          </w:p>
        </w:tc>
      </w:tr>
      <w:tr>
        <w:trPr>
          <w:trHeight w:val="278"/>
        </w:trPr>
        <w:tc>
          <w:tcPr>
            <w:tcW w:w="4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SGMW and FAW-GM</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376</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1,111</w:t>
            </w:r>
          </w:p>
        </w:tc>
      </w:tr>
      <w:tr>
        <w:trPr>
          <w:trHeight w:val="262"/>
        </w:trPr>
        <w:tc>
          <w:tcPr>
            <w:tcW w:w="4780" w:type="dxa"/>
            <w:vAlign w:val="bottom"/>
          </w:tcPr>
          <w:p>
            <w:pPr>
              <w:ind w:left="20"/>
              <w:spacing w:after="0"/>
              <w:rPr>
                <w:sz w:val="20"/>
                <w:szCs w:val="20"/>
                <w:color w:val="auto"/>
              </w:rPr>
            </w:pPr>
            <w:r>
              <w:rPr>
                <w:rFonts w:ascii="Arial" w:cs="Arial" w:eastAsia="Arial" w:hAnsi="Arial"/>
                <w:sz w:val="13"/>
                <w:szCs w:val="13"/>
                <w:b w:val="1"/>
                <w:bCs w:val="1"/>
                <w:color w:val="auto"/>
              </w:rPr>
              <w:t>Joint venture sales in India</w:t>
            </w: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8"/>
        </w:trPr>
        <w:tc>
          <w:tcPr>
            <w:tcW w:w="4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HKJV</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Financial Company, Inc. (GM Financial) is a global provider of automobile financing solutions. GM Financial specializes in purchasing retail automobile installment sales contracts originated by GM and non-GM franchised and select independent dealers in connection with the sale of used and new automobiles. GM Financial offers lease products through GM dealerships in connection with the marketing of new automobiles and also provides commercial lending programs to GM dealers. GM Financial primarily generates revenue and cash flows through the purchase, retention, securitization and servicing of finance receivables. GM Financial earns finance charge income on finance receivables and pays interest expense on borrowings under its secured and unsecured credit facilities. GM Financial periodically transfers receivables and pledges lease-related assets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Strategy</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Our automotive financing strategy centers on ensuring that our dealers and customers have consistently available, transparent and competitive financing options throughout the business and credit cycles. We believe that by having our own capabilities in key financing segments of the market we will be able to achieve more competition from other financing market participants, which we believe improves pricing and service to our dealers and retail customers. We achieve this through our captive finance capabilities at GM Financial and through operating relationships with financial institutions. Historically Ally Financial, Inc. (Ally Financial) provided a majority of the financing for our dealers and a significant portion of the financing for our customers in the U.S., Canada and other major international markets where we operate. Ally Financial continues to be the largest U.S. third party provider of financing for our dealers and customers. We have added relationships with other financial institutions including arrangements to provide incentivized retail financing to our customers in the U.S., Canada, United Kingdom and Australia. GM Financial continues to expand its business in targeted areas that it views as strategic and to otherwise evaluate opportunities in specific segments of the automotive financing market.</w:t>
      </w:r>
    </w:p>
    <w:p>
      <w:pPr>
        <w:spacing w:after="0" w:line="18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November 2012 GM Financial entered into agreements with Ally Financial to acquire Ally Financial's automotive finance and financial services businesses in Europe and Latin America. Additionally in November 2012 GM Financial entered into a share transfer agreement with Ally Financial to acquire Ally Financial's equity interest in GMAC-SAIC Automotive Finance Company Limited (GMAC-SAIC) that conducts automotive finance and financial services operations in China. The purchases will allow GM Financial to support our dealers in markets comprising 80% of our global sales. The combined consideration will be approximately $4.1 billion.</w:t>
      </w:r>
    </w:p>
    <w:p>
      <w:pPr>
        <w:spacing w:after="0" w:line="18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April 2013 GM Financial completed the acquisition of Ally Financial's European and Latin American automotive finance operations except for France, Portugal and Brazil; in June 2013 it completed the acquisition of Ally Financial's automotive finance operations in France and Portugal; and in October 2013 it completed the acquisition of Ally Financial's automotive finance operations in Brazil. The aggregate consideration for these acquisitions was $3.2 billion, subject to certain closing adjustments. In addition GM Financial repaid loans of $1.4 billion that were assumed as part of the acquisition.</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acquisition of Ally Financial's equity interest in GMAC-SAIC is subject to certain regulatory and other approvals, and is expected to close in 2014. GM Financial expects to pay approximately $0.9 billion to close this acquisition subject to certain closing adjustments. Refer to Notes 2 and 21 to our condensed consolidated financial statements for additional information on these acquisitions.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April 2012 GM Financial commenced commercial lending activities in the U.S. centered on floor plan financing of dealer vehicle inventory and dealer loans to finance dealer sites, facilities, facility improvements and working capital. In 2013 GM Financial expanded the commercial lending program to Canada and to Europe and Latin America through its acquisition of certain of Ally Financial's automotive finance operations discussed previously. These loans are made on a secured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ind w:left="320"/>
              <w:spacing w:after="0"/>
              <w:rPr>
                <w:sz w:val="20"/>
                <w:szCs w:val="20"/>
                <w:color w:val="auto"/>
              </w:rPr>
            </w:pPr>
            <w:r>
              <w:rPr>
                <w:rFonts w:ascii="Arial" w:cs="Arial" w:eastAsia="Arial" w:hAnsi="Arial"/>
                <w:sz w:val="13"/>
                <w:szCs w:val="13"/>
                <w:b w:val="1"/>
                <w:bCs w:val="1"/>
                <w:color w:val="auto"/>
                <w:w w:val="87"/>
              </w:rPr>
              <w:t>Three Months Ended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gridSpan w:val="5"/>
          </w:tcPr>
          <w:p>
            <w:pPr>
              <w:ind w:left="38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5"/>
                <w:szCs w:val="15"/>
                <w:color w:val="auto"/>
              </w:rPr>
            </w:pPr>
          </w:p>
        </w:tc>
        <w:tc>
          <w:tcPr>
            <w:tcW w:w="1940" w:type="dxa"/>
            <w:vAlign w:val="bottom"/>
            <w:gridSpan w:val="4"/>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5"/>
                <w:szCs w:val="15"/>
                <w:color w:val="auto"/>
              </w:rPr>
            </w:pPr>
          </w:p>
        </w:tc>
        <w:tc>
          <w:tcPr>
            <w:tcW w:w="182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2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gridSpan w:val="4"/>
          </w:tcPr>
          <w:p>
            <w:pPr>
              <w:ind w:left="280"/>
              <w:spacing w:after="0"/>
              <w:rPr>
                <w:sz w:val="20"/>
                <w:szCs w:val="20"/>
                <w:color w:val="auto"/>
              </w:rPr>
            </w:pPr>
            <w:r>
              <w:rPr>
                <w:rFonts w:ascii="Arial" w:cs="Arial" w:eastAsia="Arial" w:hAnsi="Arial"/>
                <w:sz w:val="13"/>
                <w:szCs w:val="13"/>
                <w:b w:val="1"/>
                <w:bCs w:val="1"/>
                <w:color w:val="auto"/>
              </w:rPr>
              <w:t>2013 vs. 2012 Change</w:t>
            </w:r>
          </w:p>
        </w:tc>
        <w:tc>
          <w:tcPr>
            <w:tcW w:w="180" w:type="dxa"/>
            <w:vAlign w:val="bottom"/>
          </w:tcPr>
          <w:p>
            <w:pPr>
              <w:spacing w:after="0"/>
              <w:rPr>
                <w:sz w:val="22"/>
                <w:szCs w:val="22"/>
                <w:color w:val="auto"/>
              </w:rPr>
            </w:pPr>
          </w:p>
        </w:tc>
        <w:tc>
          <w:tcPr>
            <w:tcW w:w="182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rPr>
              <w:t>2013 vs. 2012 Change</w:t>
            </w:r>
          </w:p>
        </w:tc>
      </w:tr>
      <w:tr>
        <w:trPr>
          <w:trHeight w:val="264"/>
        </w:trPr>
        <w:tc>
          <w:tcPr>
            <w:tcW w:w="23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September 30, 2013</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September 30, 2012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7"/>
              </w:rPr>
              <w:t>September 30, 2013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September 30, 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38,120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37,062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112,704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1,058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1,187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GM Financial</w:t>
            </w:r>
          </w:p>
        </w:tc>
        <w:tc>
          <w:tcPr>
            <w:tcW w:w="32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349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8"/>
                <w:szCs w:val="18"/>
                <w:color w:val="auto"/>
              </w:rPr>
              <w:t>806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2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38,983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37,576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114,942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112,949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1,407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1,993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2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September 30, 2013 Total net sales and revenue increased due primarily to: (1) favorable vehicle mix of $0.8 billion; (2) favorable vehicle pricing of $0.8 billion; (3) increased GM Financial revenue of $0.3 billion including $0.2 billion related to the acquisition of Ally Financial's international operations; (4) increased other revenue of $0.3 billion due primarily to increases in OnStar and parts and accessories revenue; and (5) increased wholesale volumes of $0.1 billion due to an increase of 8,000 vehicles (or 0.5%) primarily in GMSA and GMNA, driven by increased industry demand, partially offset by decreases in GMIO in the Middle East and South East Asia; partially offset by (6) unfavorable foreign currency effect of $0.8 billion due to the weakening of major currencies against the U.S. Dollar.</w:t>
      </w:r>
    </w:p>
    <w:p>
      <w:pPr>
        <w:spacing w:after="0" w:line="19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nine months ended September 30, 2013 Total net sales and revenue increased due primarily to: (1) favorable vehicle mix of $1.5 billion; (2) favorable vehicle pricing of $1.0 billion; (3) increased GM Financial revenue of $0.8 billion including $0.5 billion related to the acquisition of Ally Financial's international operations; and (4) increased other revenue of $0.4 billion due primarily to increases in OnStar and parts and accessories revenue; partially offset by (5) unfavorable foreign currency effect of $1.6 billion due to the weakening of major currencies against the U.S. Dollar; and (6) decreased wholesale volumes of $0.1 billion due to a decrease of 11,000 vehicles (or 0.2%) primarily in GMIO in both the Middle East and Chevrolet brand vehicles in Europe and GME due to a weak European economy, partially offset by an increase from the consolidation of HKJV effective September 2012 and increases in GMNA and GMSA, driven by increased industry demand.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5"/>
                <w:szCs w:val="15"/>
                <w:color w:val="auto"/>
              </w:rPr>
            </w:pPr>
          </w:p>
        </w:tc>
        <w:tc>
          <w:tcPr>
            <w:tcW w:w="1420" w:type="dxa"/>
            <w:vAlign w:val="bottom"/>
            <w:gridSpan w:val="3"/>
          </w:tcPr>
          <w:p>
            <w:pPr>
              <w:ind w:left="340"/>
              <w:spacing w:after="0"/>
              <w:rPr>
                <w:sz w:val="20"/>
                <w:szCs w:val="20"/>
                <w:color w:val="auto"/>
              </w:rPr>
            </w:pPr>
            <w:r>
              <w:rPr>
                <w:rFonts w:ascii="Arial" w:cs="Arial" w:eastAsia="Arial" w:hAnsi="Arial"/>
                <w:sz w:val="13"/>
                <w:szCs w:val="13"/>
                <w:b w:val="1"/>
                <w:bCs w:val="1"/>
                <w:color w:val="auto"/>
                <w:w w:val="87"/>
              </w:rPr>
              <w:t>Nine Months Ended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tcPr>
          <w:p>
            <w:pPr>
              <w:ind w:left="26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5"/>
                <w:szCs w:val="15"/>
                <w:color w:val="auto"/>
              </w:rPr>
            </w:pPr>
          </w:p>
        </w:tc>
        <w:tc>
          <w:tcPr>
            <w:tcW w:w="1880" w:type="dxa"/>
            <w:vAlign w:val="bottom"/>
            <w:gridSpan w:val="3"/>
          </w:tcPr>
          <w:p>
            <w:pPr>
              <w:jc w:val="right"/>
              <w:ind w:right="399"/>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23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20" w:type="dxa"/>
            <w:vAlign w:val="bottom"/>
            <w:gridSpan w:val="4"/>
          </w:tcPr>
          <w:p>
            <w:pPr>
              <w:ind w:left="280"/>
              <w:spacing w:after="0"/>
              <w:rPr>
                <w:sz w:val="20"/>
                <w:szCs w:val="20"/>
                <w:color w:val="auto"/>
              </w:rPr>
            </w:pPr>
            <w:r>
              <w:rPr>
                <w:rFonts w:ascii="Arial" w:cs="Arial" w:eastAsia="Arial" w:hAnsi="Arial"/>
                <w:sz w:val="13"/>
                <w:szCs w:val="13"/>
                <w:b w:val="1"/>
                <w:bCs w:val="1"/>
                <w:color w:val="auto"/>
              </w:rPr>
              <w:t>2013 vs. 2012 Change</w:t>
            </w:r>
          </w:p>
        </w:tc>
        <w:tc>
          <w:tcPr>
            <w:tcW w:w="180" w:type="dxa"/>
            <w:vAlign w:val="bottom"/>
          </w:tcPr>
          <w:p>
            <w:pPr>
              <w:spacing w:after="0"/>
              <w:rPr>
                <w:sz w:val="22"/>
                <w:szCs w:val="22"/>
                <w:color w:val="auto"/>
              </w:rPr>
            </w:pPr>
          </w:p>
        </w:tc>
        <w:tc>
          <w:tcPr>
            <w:tcW w:w="1880" w:type="dxa"/>
            <w:vAlign w:val="bottom"/>
            <w:gridSpan w:val="3"/>
          </w:tcPr>
          <w:p>
            <w:pPr>
              <w:jc w:val="right"/>
              <w:ind w:right="339"/>
              <w:spacing w:after="0"/>
              <w:rPr>
                <w:sz w:val="20"/>
                <w:szCs w:val="20"/>
                <w:color w:val="auto"/>
              </w:rPr>
            </w:pPr>
            <w:r>
              <w:rPr>
                <w:rFonts w:ascii="Arial" w:cs="Arial" w:eastAsia="Arial" w:hAnsi="Arial"/>
                <w:sz w:val="13"/>
                <w:szCs w:val="13"/>
                <w:b w:val="1"/>
                <w:bCs w:val="1"/>
                <w:color w:val="auto"/>
              </w:rPr>
              <w:t>2013 vs. 2012 Change</w:t>
            </w:r>
          </w:p>
        </w:tc>
      </w:tr>
      <w:tr>
        <w:trPr>
          <w:trHeight w:val="264"/>
        </w:trPr>
        <w:tc>
          <w:tcPr>
            <w:tcW w:w="2320" w:type="dxa"/>
            <w:vAlign w:val="bottom"/>
          </w:tcPr>
          <w:p>
            <w:pPr>
              <w:spacing w:after="0"/>
              <w:rPr>
                <w:sz w:val="22"/>
                <w:szCs w:val="22"/>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w w:val="95"/>
              </w:rPr>
              <w:t>September 30, 2013</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September 30, 2013</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980" w:type="dxa"/>
            <w:vAlign w:val="bottom"/>
            <w:tcBorders>
              <w:top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40" w:type="dxa"/>
            <w:vAlign w:val="bottom"/>
            <w:tcBorders>
              <w:top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w:t>
            </w:r>
          </w:p>
        </w:tc>
      </w:tr>
      <w:tr>
        <w:trPr>
          <w:trHeight w:val="250"/>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cost of sales</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99,607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98,323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8"/>
                <w:szCs w:val="18"/>
                <w:color w:val="auto"/>
              </w:rPr>
              <w:t>1,284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13,097</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13,194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6"/>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September 30, 2013 Automotive cost of sales increased due primarily to: (1) increased material and freight costs of $0.3 billion;</w:t>
      </w:r>
    </w:p>
    <w:p>
      <w:pPr>
        <w:spacing w:after="0" w:line="46" w:lineRule="exact"/>
        <w:rPr>
          <w:sz w:val="20"/>
          <w:szCs w:val="20"/>
          <w:color w:val="auto"/>
        </w:rPr>
      </w:pPr>
    </w:p>
    <w:p>
      <w:pPr>
        <w:jc w:val="both"/>
        <w:ind w:firstLine="8"/>
        <w:spacing w:after="0" w:line="277" w:lineRule="auto"/>
        <w:tabs>
          <w:tab w:leader="none" w:pos="2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unfavorable vehicle mix of $0.3 billion; (3) increased various other costs of $0.2 billion; (4) increased costs of $0.1 billion related to the increased wholesale vehicle sales; and (5) increased engineering cost of $0.1 billion; partially offset by (6) favorable foreign currency effect of $0.3 billion due to the weakening of major currencies against the U.S. Dollar; and (7) reduction in unfavorable policy and warranty adjustments of $0.3 billion.</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nine months ended September 30, 2013 Automotive cost of sales increased due primarily to: (1) unfavorable vehicle mix of $1.8 billion; (2) increased manufacturing costs of $0.4 billion to support new vehicle launches; and (3) decreased U.S. pension income of $0.2 billion; partially offset by (4) decreased policy and warranty expense of $0.7 billion; (5) favorable foreign currency effect of $0.4 billion due to the weakening of major currencies against the U.S. Dollar and the devaluation of the Bolivar Fuerte (BsF); and (6) decreased costs of $0.1 billion related to decreased wholesale volume.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0"/>
              </w:rPr>
              <w:t>Three Months Ended</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2"/>
              </w:rPr>
              <w:t>Nine Months Ended</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1820" w:type="dxa"/>
            <w:vAlign w:val="bottom"/>
            <w:gridSpan w:val="3"/>
          </w:tcPr>
          <w:p>
            <w:pPr>
              <w:jc w:val="center"/>
              <w:ind w:right="63"/>
              <w:spacing w:after="0"/>
              <w:rPr>
                <w:sz w:val="20"/>
                <w:szCs w:val="20"/>
                <w:color w:val="auto"/>
              </w:rPr>
            </w:pPr>
            <w:r>
              <w:rPr>
                <w:rFonts w:ascii="Arial" w:cs="Arial" w:eastAsia="Arial" w:hAnsi="Arial"/>
                <w:sz w:val="13"/>
                <w:szCs w:val="13"/>
                <w:b w:val="1"/>
                <w:bCs w:val="1"/>
                <w:color w:val="auto"/>
                <w:w w:val="88"/>
              </w:rPr>
              <w:t>Nine Months Ended</w:t>
            </w:r>
          </w:p>
        </w:tc>
      </w:tr>
      <w:tr>
        <w:trPr>
          <w:trHeight w:val="264"/>
        </w:trPr>
        <w:tc>
          <w:tcPr>
            <w:tcW w:w="2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2013 vs. 2012 Change</w:t>
            </w:r>
          </w:p>
        </w:tc>
        <w:tc>
          <w:tcPr>
            <w:tcW w:w="1820" w:type="dxa"/>
            <w:vAlign w:val="bottom"/>
            <w:gridSpan w:val="3"/>
          </w:tcPr>
          <w:p>
            <w:pPr>
              <w:jc w:val="center"/>
              <w:ind w:right="43"/>
              <w:spacing w:after="0"/>
              <w:rPr>
                <w:sz w:val="20"/>
                <w:szCs w:val="20"/>
                <w:color w:val="auto"/>
              </w:rPr>
            </w:pPr>
            <w:r>
              <w:rPr>
                <w:rFonts w:ascii="Arial" w:cs="Arial" w:eastAsia="Arial" w:hAnsi="Arial"/>
                <w:sz w:val="13"/>
                <w:szCs w:val="13"/>
                <w:b w:val="1"/>
                <w:bCs w:val="1"/>
                <w:color w:val="auto"/>
                <w:w w:val="84"/>
              </w:rPr>
              <w:t>2013 vs. 2012 Change</w:t>
            </w:r>
          </w:p>
        </w:tc>
      </w:tr>
      <w:tr>
        <w:trPr>
          <w:trHeight w:val="264"/>
        </w:trPr>
        <w:tc>
          <w:tcPr>
            <w:tcW w:w="234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2013</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September 30, 2013</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top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980" w:type="dxa"/>
            <w:vAlign w:val="bottom"/>
            <w:tcBorders>
              <w:top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w:t>
            </w:r>
          </w:p>
        </w:tc>
      </w:tr>
      <w:tr>
        <w:trPr>
          <w:trHeight w:val="215"/>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2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administrative expense   $</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2,849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8,753</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8,684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  $</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341"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and nine months ended September 30, 2013 Automotive selling, general and administrative expense remained flat.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Impairment Charges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7"/>
              </w:rPr>
              <w:t>Three Months Ended</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7"/>
              </w:rPr>
              <w:t>Nine Months Ended</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1860" w:type="dxa"/>
            <w:vAlign w:val="bottom"/>
            <w:gridSpan w:val="3"/>
          </w:tcPr>
          <w:p>
            <w:pPr>
              <w:ind w:left="32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2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2013 vs. 2012 Change</w:t>
            </w:r>
          </w:p>
        </w:tc>
        <w:tc>
          <w:tcPr>
            <w:tcW w:w="1860" w:type="dxa"/>
            <w:vAlign w:val="bottom"/>
            <w:gridSpan w:val="3"/>
          </w:tcPr>
          <w:p>
            <w:pPr>
              <w:ind w:left="300"/>
              <w:spacing w:after="0"/>
              <w:rPr>
                <w:sz w:val="20"/>
                <w:szCs w:val="20"/>
                <w:color w:val="auto"/>
              </w:rPr>
            </w:pPr>
            <w:r>
              <w:rPr>
                <w:rFonts w:ascii="Arial" w:cs="Arial" w:eastAsia="Arial" w:hAnsi="Arial"/>
                <w:sz w:val="13"/>
                <w:szCs w:val="13"/>
                <w:b w:val="1"/>
                <w:bCs w:val="1"/>
                <w:color w:val="auto"/>
              </w:rPr>
              <w:t>2013 vs. 2012 Change</w:t>
            </w:r>
          </w:p>
        </w:tc>
      </w:tr>
      <w:tr>
        <w:trPr>
          <w:trHeight w:val="264"/>
        </w:trPr>
        <w:tc>
          <w:tcPr>
            <w:tcW w:w="23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7"/>
              </w:rPr>
              <w:t>September 30, 2013</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September 30, 2012</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September 30, 2013</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September 30,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w:t>
            </w:r>
          </w:p>
        </w:tc>
      </w:tr>
      <w:tr>
        <w:trPr>
          <w:trHeight w:val="243"/>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 charges  $</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  $</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(635)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7"/>
        </w:trPr>
        <w:tc>
          <w:tcPr>
            <w:tcW w:w="2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2013 Goodwill impairment charges remained flat due to Goodwill impairment charges of $0.1 billion recorded in the GM Korea Company (GM Korea) reporting unit in the three months ended September 30, 2013 and 2012.</w:t>
      </w:r>
    </w:p>
    <w:p>
      <w:pPr>
        <w:spacing w:after="0" w:line="17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nine months ended September 30, 2013 Goodwill impairment charges decreased due to Goodwill impairment charges of $0.1 billion in the GM Korea reporting unit compared to $0.6 billion and $0.1 billion in the GME and GM Korea reporting units recorded in the nine months ended September 30,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Interest Expense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4"/>
              </w:rPr>
              <w:t>Three Months Ended</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7"/>
              </w:rPr>
              <w:t>Nine Months Ended</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1860" w:type="dxa"/>
            <w:vAlign w:val="bottom"/>
            <w:gridSpan w:val="3"/>
          </w:tcPr>
          <w:p>
            <w:pPr>
              <w:ind w:left="32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2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2013 vs. 2012 Change</w:t>
            </w:r>
          </w:p>
        </w:tc>
        <w:tc>
          <w:tcPr>
            <w:tcW w:w="1860" w:type="dxa"/>
            <w:vAlign w:val="bottom"/>
            <w:gridSpan w:val="3"/>
          </w:tcPr>
          <w:p>
            <w:pPr>
              <w:ind w:left="300"/>
              <w:spacing w:after="0"/>
              <w:rPr>
                <w:sz w:val="20"/>
                <w:szCs w:val="20"/>
                <w:color w:val="auto"/>
              </w:rPr>
            </w:pPr>
            <w:r>
              <w:rPr>
                <w:rFonts w:ascii="Arial" w:cs="Arial" w:eastAsia="Arial" w:hAnsi="Arial"/>
                <w:sz w:val="13"/>
                <w:szCs w:val="13"/>
                <w:b w:val="1"/>
                <w:bCs w:val="1"/>
                <w:color w:val="auto"/>
              </w:rPr>
              <w:t>2013 vs. 2012 Change</w:t>
            </w:r>
          </w:p>
        </w:tc>
      </w:tr>
      <w:tr>
        <w:trPr>
          <w:trHeight w:val="264"/>
        </w:trPr>
        <w:tc>
          <w:tcPr>
            <w:tcW w:w="23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7"/>
              </w:rPr>
              <w:t>September 30, 2013</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September 30, 2012</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September 30, 2013</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September 30,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w:t>
            </w:r>
          </w:p>
        </w:tc>
      </w:tr>
      <w:tr>
        <w:trPr>
          <w:trHeight w:val="243"/>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Automotive interest expense   $</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(49.2)%  $</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(139)</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2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and nine months ended September 30, 2013 Automotive interest expense decreased due primarily to lower average automotive debt outstanding resulting from the redemption of GM Korea preferred shares in December 2012 and April 2013.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(Loss),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6"/>
              </w:rPr>
              <w:t>Three Months Ended</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7"/>
              </w:rPr>
              <w:t>Nine Months Ended</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ind w:left="280"/>
              <w:spacing w:after="0"/>
              <w:rPr>
                <w:sz w:val="20"/>
                <w:szCs w:val="20"/>
                <w:color w:val="auto"/>
              </w:rPr>
            </w:pPr>
            <w:r>
              <w:rPr>
                <w:rFonts w:ascii="Arial" w:cs="Arial" w:eastAsia="Arial" w:hAnsi="Arial"/>
                <w:sz w:val="13"/>
                <w:szCs w:val="13"/>
                <w:b w:val="1"/>
                <w:bCs w:val="1"/>
                <w:color w:val="auto"/>
                <w:w w:val="91"/>
              </w:rPr>
              <w:t>Three Months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3"/>
          </w:tcPr>
          <w:p>
            <w:pPr>
              <w:ind w:left="32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2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86"/>
              </w:rPr>
              <w:t>2013 vs. 2012 Change</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2013 vs. 2012 Change</w:t>
            </w:r>
          </w:p>
        </w:tc>
      </w:tr>
      <w:tr>
        <w:trPr>
          <w:trHeight w:val="264"/>
        </w:trPr>
        <w:tc>
          <w:tcPr>
            <w:tcW w:w="2240" w:type="dxa"/>
            <w:vAlign w:val="bottom"/>
          </w:tcPr>
          <w:p>
            <w:pPr>
              <w:spacing w:after="0"/>
              <w:rPr>
                <w:sz w:val="22"/>
                <w:szCs w:val="22"/>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8"/>
              </w:rPr>
              <w:t>September 30, 2013</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2013</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jc w:val="right"/>
              <w:ind w:right="383"/>
              <w:spacing w:after="0"/>
              <w:rPr>
                <w:sz w:val="20"/>
                <w:szCs w:val="20"/>
                <w:color w:val="auto"/>
              </w:rPr>
            </w:pPr>
            <w:r>
              <w:rPr>
                <w:rFonts w:ascii="Arial" w:cs="Arial" w:eastAsia="Arial" w:hAnsi="Arial"/>
                <w:sz w:val="13"/>
                <w:szCs w:val="13"/>
                <w:b w:val="1"/>
                <w:bCs w:val="1"/>
                <w:color w:val="auto"/>
              </w:rPr>
              <w:t>%</w:t>
            </w:r>
          </w:p>
        </w:tc>
      </w:tr>
      <w:tr>
        <w:trPr>
          <w:trHeight w:val="215"/>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non-operating income</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(400)</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n.m.  $</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(392)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2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September 30, 2013 Interest income and other non-operating loss, net was $0.1 billion compared to Interest income and other non-operating income, net of $0.3 billion in the three months ended September 30, 2012 due primarily to: (1) unfavorable foreign currency effect of $0.2 billion; and (2) decreased interest income of $0.1 billion.</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2013 Interest income and other non-operating income, net decreased due primarily to: (1) decreased rental income of $0.1 billion; (2) decreased exclusivity fee paid by GMAC LLC of $0.1 billion; (3) decreased interest income of $0.1 billion; and (4) unfavorable foreign currency transaction and remeasurement loss of $0.1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6"/>
              </w:rPr>
              <w:t>Three Months Ended</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7"/>
              </w:rPr>
              <w:t>Nine Months Ended</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1820" w:type="dxa"/>
            <w:vAlign w:val="bottom"/>
            <w:gridSpan w:val="3"/>
          </w:tcPr>
          <w:p>
            <w:pPr>
              <w:jc w:val="center"/>
              <w:ind w:right="63"/>
              <w:spacing w:after="0"/>
              <w:rPr>
                <w:sz w:val="20"/>
                <w:szCs w:val="20"/>
                <w:color w:val="auto"/>
              </w:rPr>
            </w:pPr>
            <w:r>
              <w:rPr>
                <w:rFonts w:ascii="Arial" w:cs="Arial" w:eastAsia="Arial" w:hAnsi="Arial"/>
                <w:sz w:val="13"/>
                <w:szCs w:val="13"/>
                <w:b w:val="1"/>
                <w:bCs w:val="1"/>
                <w:color w:val="auto"/>
                <w:w w:val="88"/>
              </w:rPr>
              <w:t>Nine Months Ended</w:t>
            </w:r>
          </w:p>
        </w:tc>
      </w:tr>
      <w:tr>
        <w:trPr>
          <w:trHeight w:val="264"/>
        </w:trPr>
        <w:tc>
          <w:tcPr>
            <w:tcW w:w="2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2013 vs. 2012 Change</w:t>
            </w:r>
          </w:p>
        </w:tc>
        <w:tc>
          <w:tcPr>
            <w:tcW w:w="1820" w:type="dxa"/>
            <w:vAlign w:val="bottom"/>
            <w:gridSpan w:val="3"/>
          </w:tcPr>
          <w:p>
            <w:pPr>
              <w:jc w:val="center"/>
              <w:ind w:right="43"/>
              <w:spacing w:after="0"/>
              <w:rPr>
                <w:sz w:val="20"/>
                <w:szCs w:val="20"/>
                <w:color w:val="auto"/>
              </w:rPr>
            </w:pPr>
            <w:r>
              <w:rPr>
                <w:rFonts w:ascii="Arial" w:cs="Arial" w:eastAsia="Arial" w:hAnsi="Arial"/>
                <w:sz w:val="13"/>
                <w:szCs w:val="13"/>
                <w:b w:val="1"/>
                <w:bCs w:val="1"/>
                <w:color w:val="auto"/>
                <w:w w:val="84"/>
              </w:rPr>
              <w:t>2013 vs. 2012 Change</w:t>
            </w:r>
          </w:p>
        </w:tc>
      </w:tr>
      <w:tr>
        <w:trPr>
          <w:trHeight w:val="264"/>
        </w:trPr>
        <w:tc>
          <w:tcPr>
            <w:tcW w:w="23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September 30, 2013</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September 30, 2012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7"/>
              </w:rPr>
              <w:t>September 30, 2013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September 30, 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w:t>
            </w: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135.9%  $</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7"/>
        </w:trPr>
        <w:tc>
          <w:tcPr>
            <w:tcW w:w="2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nine months ended September 30, 2013 Income tax expense increased due primarily to the inclusion of U.S. and Canada entities in our tax expense calculation resulting from the release of their valuation allowances in the year ended December 31, 2012.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Income, Net of Tax</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41"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6"/>
              </w:rPr>
              <w:t>Three Months Ended</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2"/>
              </w:rPr>
              <w:t>Nine Months 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4"/>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5"/>
                <w:szCs w:val="15"/>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2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4"/>
          </w:tcPr>
          <w:p>
            <w:pPr>
              <w:ind w:left="300"/>
              <w:spacing w:after="0"/>
              <w:rPr>
                <w:sz w:val="20"/>
                <w:szCs w:val="20"/>
                <w:color w:val="auto"/>
              </w:rPr>
            </w:pPr>
            <w:r>
              <w:rPr>
                <w:rFonts w:ascii="Arial" w:cs="Arial" w:eastAsia="Arial" w:hAnsi="Arial"/>
                <w:sz w:val="13"/>
                <w:szCs w:val="13"/>
                <w:b w:val="1"/>
                <w:bCs w:val="1"/>
                <w:color w:val="auto"/>
              </w:rPr>
              <w:t>2013 vs. 2012 Change</w:t>
            </w:r>
          </w:p>
        </w:tc>
        <w:tc>
          <w:tcPr>
            <w:tcW w:w="180" w:type="dxa"/>
            <w:vAlign w:val="bottom"/>
          </w:tcPr>
          <w:p>
            <w:pPr>
              <w:spacing w:after="0"/>
              <w:rPr>
                <w:sz w:val="22"/>
                <w:szCs w:val="22"/>
                <w:color w:val="auto"/>
              </w:rPr>
            </w:pPr>
          </w:p>
        </w:tc>
        <w:tc>
          <w:tcPr>
            <w:tcW w:w="182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2013 vs. 2012 Change</w:t>
            </w:r>
          </w:p>
        </w:tc>
      </w:tr>
      <w:tr>
        <w:trPr>
          <w:trHeight w:val="264"/>
        </w:trPr>
        <w:tc>
          <w:tcPr>
            <w:tcW w:w="230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2013</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2013</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97"/>
              </w:rPr>
              <w:t>Amount</w:t>
            </w: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97"/>
              </w:rPr>
              <w:t>Amount</w:t>
            </w:r>
          </w:p>
        </w:tc>
        <w:tc>
          <w:tcPr>
            <w:tcW w:w="11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3"/>
                <w:szCs w:val="13"/>
                <w:b w:val="1"/>
                <w:bCs w:val="1"/>
                <w:color w:val="auto"/>
              </w:rPr>
              <w:t>%</w:t>
            </w:r>
          </w:p>
        </w:tc>
      </w:t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joint ventures (China</w:t>
            </w: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7"/>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JVs)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54</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270</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7"/>
        </w:trPr>
        <w:tc>
          <w:tcPr>
            <w:tcW w:w="2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 income, net of tax $</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279</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September 30, 2013 Equity income, net of tax remained flat.</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nine months ended September 30, 2013 Equity income, net of tax increased due primarily to an increase in the earnings of the SGMS and SGMW China JVs.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center"/>
              <w:ind w:right="780"/>
              <w:spacing w:after="0"/>
              <w:rPr>
                <w:sz w:val="20"/>
                <w:szCs w:val="20"/>
                <w:color w:val="auto"/>
              </w:rPr>
            </w:pPr>
            <w:r>
              <w:rPr>
                <w:rFonts w:ascii="Arial" w:cs="Arial" w:eastAsia="Arial" w:hAnsi="Arial"/>
                <w:sz w:val="13"/>
                <w:szCs w:val="13"/>
                <w:b w:val="1"/>
                <w:bCs w:val="1"/>
                <w:color w:val="auto"/>
                <w:w w:val="90"/>
              </w:rPr>
              <w:t>Three Months Ended</w:t>
            </w: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300" w:type="dxa"/>
            <w:vAlign w:val="bottom"/>
            <w:gridSpan w:val="2"/>
          </w:tcPr>
          <w:p>
            <w:pPr>
              <w:jc w:val="right"/>
              <w:ind w:right="31"/>
              <w:spacing w:after="0"/>
              <w:rPr>
                <w:sz w:val="20"/>
                <w:szCs w:val="20"/>
                <w:color w:val="auto"/>
              </w:rPr>
            </w:pPr>
            <w:r>
              <w:rPr>
                <w:rFonts w:ascii="Arial" w:cs="Arial" w:eastAsia="Arial" w:hAnsi="Arial"/>
                <w:sz w:val="13"/>
                <w:szCs w:val="13"/>
                <w:b w:val="1"/>
                <w:bCs w:val="1"/>
                <w:color w:val="auto"/>
                <w:w w:val="97"/>
              </w:rPr>
              <w:t>September 30, 2012</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3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3"/>
                <w:szCs w:val="13"/>
                <w:b w:val="1"/>
                <w:bCs w:val="1"/>
                <w:color w:val="auto"/>
                <w:w w:val="94"/>
              </w:rPr>
              <w:t>(Dollars in millions)</w:t>
            </w: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23,508</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22,347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1,161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2,187</w:t>
            </w:r>
          </w:p>
        </w:tc>
        <w:tc>
          <w:tcPr>
            <w:tcW w:w="3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1,715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0.6</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80" w:type="dxa"/>
            <w:vAlign w:val="bottom"/>
            <w:gridSpan w:val="4"/>
            <w:vMerge w:val="restart"/>
          </w:tcPr>
          <w:p>
            <w:pPr>
              <w:jc w:val="center"/>
              <w:ind w:right="780"/>
              <w:spacing w:after="0"/>
              <w:rPr>
                <w:sz w:val="20"/>
                <w:szCs w:val="20"/>
                <w:color w:val="auto"/>
              </w:rPr>
            </w:pPr>
            <w:r>
              <w:rPr>
                <w:rFonts w:ascii="Arial" w:cs="Arial" w:eastAsia="Arial" w:hAnsi="Arial"/>
                <w:sz w:val="13"/>
                <w:szCs w:val="13"/>
                <w:b w:val="1"/>
                <w:bCs w:val="1"/>
                <w:color w:val="auto"/>
                <w:w w:val="88"/>
              </w:rPr>
              <w:t>Nine Months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restart"/>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300" w:type="dxa"/>
            <w:vAlign w:val="bottom"/>
            <w:gridSpan w:val="2"/>
          </w:tcPr>
          <w:p>
            <w:pPr>
              <w:jc w:val="right"/>
              <w:ind w:right="31"/>
              <w:spacing w:after="0"/>
              <w:rPr>
                <w:sz w:val="20"/>
                <w:szCs w:val="20"/>
                <w:color w:val="auto"/>
              </w:rPr>
            </w:pPr>
            <w:r>
              <w:rPr>
                <w:rFonts w:ascii="Arial" w:cs="Arial" w:eastAsia="Arial" w:hAnsi="Arial"/>
                <w:sz w:val="13"/>
                <w:szCs w:val="13"/>
                <w:b w:val="1"/>
                <w:bCs w:val="1"/>
                <w:color w:val="auto"/>
                <w:w w:val="97"/>
              </w:rPr>
              <w:t>September 30, 2012</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3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3"/>
                <w:szCs w:val="13"/>
                <w:b w:val="1"/>
                <w:bCs w:val="1"/>
                <w:color w:val="auto"/>
                <w:w w:val="94"/>
              </w:rPr>
              <w:t>(Dollars in millions)</w:t>
            </w: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69,982</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67,074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0.8</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5,577</w:t>
            </w:r>
          </w:p>
        </w:tc>
        <w:tc>
          <w:tcPr>
            <w:tcW w:w="3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5,248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2013 Total net sales and revenue increased due primarily to: (1) favorable vehicle pricing; (2) favorable vehicle mix; and (3) increased wholesale volumes of 2,000 vehicles (or 0.3%).</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2013 Total net sales and revenue increased due primarily to: (1) favorable vehicle mix; (2) increased wholesale volumes of 32,000 vehicles (or 1.4%) due to increased industry demand and successful recent vehicle launches such as the Buick Encore, Cadillac ATS, Chevrolet Silverado, Chevrolet Spark, and GMC Sierra; and (3) favorable vehicle pricing.</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September 30, 2013 earnings before interest and taxes (EBIT)-adjusted increased due primarily to: (1) favorable vehicle pricing; and (2) favorable net vehicle mix; partially offset by (3) Other of $0.5 billion due primarily to increased material and freight costs of $0.5 billion; and increased engineering expense of $0.2 billion; partially offset by a reduction in unfavorable warranty and policy adjustments of $0.3 billion.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nine months ended September 30, 2013 EBIT-adjusted increased due primarily to: (1) favorable vehicle pricing; (2) favorable net vehicle mix; and</w:t>
      </w:r>
    </w:p>
    <w:p>
      <w:pPr>
        <w:spacing w:after="0" w:line="46" w:lineRule="exact"/>
        <w:rPr>
          <w:sz w:val="20"/>
          <w:szCs w:val="20"/>
          <w:color w:val="auto"/>
        </w:rPr>
      </w:pPr>
    </w:p>
    <w:p>
      <w:pPr>
        <w:jc w:val="both"/>
        <w:ind w:firstLine="8"/>
        <w:spacing w:after="0" w:line="254" w:lineRule="auto"/>
        <w:tabs>
          <w:tab w:leader="none" w:pos="2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wholesale volumes; partially offset by (4) Other of $0.9 billion due primarily to increased material and freight costs of $0.5 billion; increased manufacturing expense, including new launches, of $0.4 billion; increased depreciation and amortization expense of $0.2 billion; decreased U.S. pension income of $0.2 billion due to settlement of the salaried retiree pension plan in 2012; and increased engineering expense of $0.2 billion; partially offset by a reduction in unfavorable warranty and policy adjustments of $0.6 billion.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341"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During the second half of 2011 and continuing into 2013, the European automotive industry has been severely affected by the ongoing sovereign debt crisis, high unemployment and a lack of consumer confidence coupled with overcapacity. European automotive industry sales to retail and fleet customers were 14 million vehicles in the nine months ended September 30, 2013, representing a 3.0% decrease compared to the corresponding period in 2012.</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formulated a plan to implement various actions to strengthen our operations and increase our competitiveness. The key areas of the plan include investments in our product portfolio, a revised brand strategy, significant management changes, reducing material, development and production costs, including restructuring activities, and further leveraging synergies from the alliance between us and PSA. The success of our plan will depend on a combination of our ability to execute the actions contemplated, as well as external factors which are outside of our control. We believe it is likely that adverse economic conditions and their effect on the European automotive industry will not improve significantly in the foreseeable future and we expect to continue to incur losses in the region as a result.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GME Total Net Sales and Revenue and EBIT (Loss)-Adjusted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tcPr>
          <w:p>
            <w:pPr>
              <w:jc w:val="center"/>
              <w:ind w:right="780"/>
              <w:spacing w:after="0"/>
              <w:rPr>
                <w:sz w:val="20"/>
                <w:szCs w:val="20"/>
                <w:color w:val="auto"/>
              </w:rPr>
            </w:pPr>
            <w:r>
              <w:rPr>
                <w:rFonts w:ascii="Arial" w:cs="Arial" w:eastAsia="Arial" w:hAnsi="Arial"/>
                <w:sz w:val="13"/>
                <w:szCs w:val="13"/>
                <w:b w:val="1"/>
                <w:bCs w:val="1"/>
                <w:color w:val="auto"/>
                <w:w w:val="90"/>
              </w:rPr>
              <w:t>Three Months Ended</w:t>
            </w: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28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7"/>
              </w:rPr>
              <w:t>September 30, 2012</w:t>
            </w:r>
          </w:p>
        </w:tc>
        <w:tc>
          <w:tcPr>
            <w:tcW w:w="200" w:type="dxa"/>
            <w:vAlign w:val="bottom"/>
          </w:tcPr>
          <w:p>
            <w:pPr>
              <w:spacing w:after="0"/>
              <w:rPr>
                <w:sz w:val="15"/>
                <w:szCs w:val="15"/>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3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20" w:type="dxa"/>
            <w:vAlign w:val="bottom"/>
          </w:tcPr>
          <w:p>
            <w:pPr>
              <w:jc w:val="right"/>
              <w:ind w:right="171"/>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right"/>
              <w:ind w:right="51"/>
              <w:spacing w:after="0"/>
              <w:rPr>
                <w:sz w:val="20"/>
                <w:szCs w:val="20"/>
                <w:color w:val="auto"/>
              </w:rPr>
            </w:pPr>
            <w:r>
              <w:rPr>
                <w:rFonts w:ascii="Arial" w:cs="Arial" w:eastAsia="Arial" w:hAnsi="Arial"/>
                <w:sz w:val="13"/>
                <w:szCs w:val="13"/>
                <w:b w:val="1"/>
                <w:bCs w:val="1"/>
                <w:color w:val="auto"/>
                <w:w w:val="94"/>
              </w:rPr>
              <w:t>(Dollars in millions)</w:t>
            </w:r>
          </w:p>
        </w:tc>
        <w:tc>
          <w:tcPr>
            <w:tcW w:w="2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4,858</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4,702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3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(487)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56.1%</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0.4</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80" w:type="dxa"/>
            <w:vAlign w:val="bottom"/>
            <w:gridSpan w:val="6"/>
            <w:vMerge w:val="restart"/>
          </w:tcPr>
          <w:p>
            <w:pPr>
              <w:jc w:val="center"/>
              <w:ind w:right="780"/>
              <w:spacing w:after="0"/>
              <w:rPr>
                <w:sz w:val="20"/>
                <w:szCs w:val="20"/>
                <w:color w:val="auto"/>
              </w:rPr>
            </w:pPr>
            <w:r>
              <w:rPr>
                <w:rFonts w:ascii="Arial" w:cs="Arial" w:eastAsia="Arial" w:hAnsi="Arial"/>
                <w:sz w:val="13"/>
                <w:szCs w:val="13"/>
                <w:b w:val="1"/>
                <w:bCs w:val="1"/>
                <w:color w:val="auto"/>
                <w:w w:val="88"/>
              </w:rPr>
              <w:t>Nine Months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28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7"/>
              </w:rPr>
              <w:t>September 30, 2012</w:t>
            </w:r>
          </w:p>
        </w:tc>
        <w:tc>
          <w:tcPr>
            <w:tcW w:w="20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20" w:type="dxa"/>
            <w:vAlign w:val="bottom"/>
          </w:tcPr>
          <w:p>
            <w:pPr>
              <w:jc w:val="right"/>
              <w:ind w:right="171"/>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3"/>
                <w:szCs w:val="13"/>
                <w:b w:val="1"/>
                <w:bCs w:val="1"/>
                <w:color w:val="auto"/>
                <w:w w:val="92"/>
              </w:rPr>
              <w:t>(Dollars in millions)</w:t>
            </w:r>
          </w:p>
        </w:tc>
        <w:tc>
          <w:tcPr>
            <w:tcW w:w="2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14,830</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15,489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(499)</w:t>
            </w:r>
          </w:p>
        </w:tc>
        <w:tc>
          <w:tcPr>
            <w:tcW w:w="3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(1,175)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676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57.5 %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(0.2)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2013 Total net sales and revenue increased due primarily to Other of $0.2 billion due primarily to favorable net foreign currency effect of $0.1 billion.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2013 Total net sales and revenue decreased due primarily to: (1) decreased wholesale volumes of 32,000 vehicles (or 4.0%) due to the weak European economy; (2) unfavorable vehicle pricing primarily resulting from increased incentive support associated with difficult market conditions; and (3) unfavorable net vehicle mix due to lower proportion of higher priced vehicles; partially offset by (4) Other of $0.2 billion due primarily to favorable net foreign currency effect of $0.1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September 30, 2013 EBIT (loss)-adjusted decreased due primarily to: (1) Other of $0.4 billion due primarily to decreased manufacturing costs of $0.2 billion mainly due to decreased depreciation expense due to asset impairments in December 2012, which decreased the depreciable base; favorable material and freight costs of $0.1 billion; and a favorable net effect of changes in the fair value of an embedded foreign currency derivative asset of $0.1 billion associated with a long-term supply agreement; partially offset by (2) unfavorable net vehicle mix.</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2013 EBIT (loss)-adjusted decreased due primarily to: (1) Other of $1.3 billion due primarily to decreased manufacturing costs of $0.4 billion mainly due to decreased depreciation expense due to asset impairments in December 2012, which decreased the depreciable base; decreased engineering expenses of $0.2 billion; favorable material and freight costs of $0.2 billion; and a favorable net effect of changes in the fair value of an embedded foreign currency derivative asset of $0.2 billion associated with a long-term supply agreement; partially offset by (2) unfavorable net vehicle mix; (3) unfavorable vehicle pricing; and (4) decreased wholesale volumes.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Outlook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are currently in the process of strategically assessing the manner in which we operate in certain countries within GMIO, including our cost structure, the level of local sourcing, the level of investment in the product portfolio, the allocation of production activity to the existing manufacturing base and our brand strategy. The strategic reviews are also considering the potential effects that may result from recent and forecasted deterioration in local market conditions. Should further deterioration in the outlook for these countries and/or the finalization of the strategic reviews and the related recommended actions impact our ability to generate sufficient cash flows we may be required to record material impairments and other charges. The estimate of charges is subject to significant uncertainties and highly dependent upon decisions not yet taken.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80" w:type="dxa"/>
            <w:vAlign w:val="bottom"/>
          </w:tcPr>
          <w:p>
            <w:pPr>
              <w:spacing w:after="0"/>
              <w:rPr>
                <w:sz w:val="22"/>
                <w:szCs w:val="22"/>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2012</w:t>
            </w: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22"/>
                <w:szCs w:val="22"/>
                <w:color w:val="auto"/>
              </w:rPr>
            </w:pPr>
          </w:p>
        </w:tc>
        <w:tc>
          <w:tcPr>
            <w:tcW w:w="132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September 30, 2012</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wholesale vehicles(a)</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Market share in China</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7,945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24,215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2,363</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Including vehicles exported to markets outside of China.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6"/>
              <w:spacing w:after="0"/>
              <w:rPr>
                <w:sz w:val="20"/>
                <w:szCs w:val="20"/>
                <w:color w:val="auto"/>
              </w:rPr>
            </w:pPr>
            <w:r>
              <w:rPr>
                <w:rFonts w:ascii="Arial" w:cs="Arial" w:eastAsia="Arial" w:hAnsi="Arial"/>
                <w:sz w:val="14"/>
                <w:szCs w:val="14"/>
                <w:b w:val="1"/>
                <w:bCs w:val="1"/>
                <w:color w:val="auto"/>
                <w:w w:val="91"/>
              </w:rPr>
              <w:t>September 30, 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6,236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Debt</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8"/>
                <w:szCs w:val="18"/>
                <w:color w:val="auto"/>
              </w:rPr>
              <w:t>134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59"/>
        </w:trPr>
        <w:tc>
          <w:tcPr>
            <w:tcW w:w="4880" w:type="dxa"/>
            <w:vAlign w:val="bottom"/>
            <w:gridSpan w:val="5"/>
          </w:tcPr>
          <w:p>
            <w:pPr>
              <w:jc w:val="right"/>
              <w:ind w:right="491"/>
              <w:spacing w:after="0"/>
              <w:rPr>
                <w:sz w:val="20"/>
                <w:szCs w:val="20"/>
                <w:color w:val="auto"/>
              </w:rPr>
            </w:pPr>
            <w:r>
              <w:rPr>
                <w:rFonts w:ascii="Arial" w:cs="Arial" w:eastAsia="Arial" w:hAnsi="Arial"/>
                <w:sz w:val="18"/>
                <w:szCs w:val="18"/>
                <w:b w:val="1"/>
                <w:bCs w:val="1"/>
                <w:i w:val="1"/>
                <w:iCs w:val="1"/>
                <w:color w:val="auto"/>
                <w:w w:val="92"/>
              </w:rPr>
              <w:t>GMIO Total Net Sales and Revenue and EBIT-Adjusted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4"/>
            <w:vMerge w:val="restart"/>
          </w:tcPr>
          <w:p>
            <w:pPr>
              <w:jc w:val="center"/>
              <w:ind w:right="740"/>
              <w:spacing w:after="0"/>
              <w:rPr>
                <w:sz w:val="20"/>
                <w:szCs w:val="20"/>
                <w:color w:val="auto"/>
              </w:rPr>
            </w:pPr>
            <w:r>
              <w:rPr>
                <w:rFonts w:ascii="Arial" w:cs="Arial" w:eastAsia="Arial" w:hAnsi="Arial"/>
                <w:sz w:val="13"/>
                <w:szCs w:val="13"/>
                <w:b w:val="1"/>
                <w:bCs w:val="1"/>
                <w:color w:val="auto"/>
                <w:w w:val="90"/>
              </w:rPr>
              <w:t>Three Months Ended</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2"/>
            <w:vMerge w:val="restart"/>
          </w:tcPr>
          <w:p>
            <w:pPr>
              <w:jc w:val="center"/>
              <w:ind w:left="13"/>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28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7"/>
              </w:rPr>
              <w:t>September 30, 2012</w:t>
            </w:r>
          </w:p>
        </w:tc>
        <w:tc>
          <w:tcPr>
            <w:tcW w:w="1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00" w:type="dxa"/>
            <w:vAlign w:val="bottom"/>
          </w:tcPr>
          <w:p>
            <w:pPr>
              <w:jc w:val="center"/>
              <w:ind w:right="186"/>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5"/>
                <w:szCs w:val="15"/>
                <w:color w:val="auto"/>
              </w:rPr>
            </w:pPr>
          </w:p>
        </w:tc>
        <w:tc>
          <w:tcPr>
            <w:tcW w:w="600" w:type="dxa"/>
            <w:vAlign w:val="bottom"/>
          </w:tcPr>
          <w:p>
            <w:pPr>
              <w:jc w:val="right"/>
              <w:ind w:right="18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3"/>
                <w:szCs w:val="13"/>
                <w:b w:val="1"/>
                <w:bCs w:val="1"/>
                <w:color w:val="auto"/>
                <w:w w:val="92"/>
              </w:rPr>
              <w:t>(Dollars in millions)</w:t>
            </w: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88"/>
              </w:rPr>
              <w:t>(Dollars in billions)</w:t>
            </w: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5,336</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5,722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(0.1)</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299</w:t>
            </w:r>
          </w:p>
        </w:tc>
        <w:tc>
          <w:tcPr>
            <w:tcW w:w="3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761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300" w:type="dxa"/>
            <w:vAlign w:val="bottom"/>
          </w:tcPr>
          <w:p>
            <w:pPr>
              <w:jc w:val="center"/>
              <w:ind w:left="3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6"/>
              <w:spacing w:after="0"/>
              <w:rPr>
                <w:sz w:val="20"/>
                <w:szCs w:val="20"/>
                <w:color w:val="auto"/>
              </w:rPr>
            </w:pPr>
            <w:r>
              <w:rPr>
                <w:rFonts w:ascii="Arial" w:cs="Arial" w:eastAsia="Arial" w:hAnsi="Arial"/>
                <w:sz w:val="14"/>
                <w:szCs w:val="14"/>
                <w:color w:val="auto"/>
              </w:rPr>
              <w:t>(0.1)</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40" w:type="dxa"/>
            <w:vAlign w:val="bottom"/>
            <w:gridSpan w:val="4"/>
            <w:vMerge w:val="restart"/>
          </w:tcPr>
          <w:p>
            <w:pPr>
              <w:jc w:val="center"/>
              <w:ind w:right="740"/>
              <w:spacing w:after="0"/>
              <w:rPr>
                <w:sz w:val="20"/>
                <w:szCs w:val="20"/>
                <w:color w:val="auto"/>
              </w:rPr>
            </w:pPr>
            <w:r>
              <w:rPr>
                <w:rFonts w:ascii="Arial" w:cs="Arial" w:eastAsia="Arial" w:hAnsi="Arial"/>
                <w:sz w:val="13"/>
                <w:szCs w:val="13"/>
                <w:b w:val="1"/>
                <w:bCs w:val="1"/>
                <w:color w:val="auto"/>
                <w:w w:val="88"/>
              </w:rPr>
              <w:t>Nine Months Ended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vMerge w:val="restart"/>
          </w:tcPr>
          <w:p>
            <w:pPr>
              <w:jc w:val="center"/>
              <w:ind w:left="13"/>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28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7"/>
              </w:rPr>
              <w:t>September 30, 2012</w:t>
            </w:r>
          </w:p>
        </w:tc>
        <w:tc>
          <w:tcPr>
            <w:tcW w:w="1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00" w:type="dxa"/>
            <w:vAlign w:val="bottom"/>
          </w:tcPr>
          <w:p>
            <w:pPr>
              <w:jc w:val="center"/>
              <w:ind w:right="186"/>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5"/>
                <w:szCs w:val="15"/>
                <w:color w:val="auto"/>
              </w:rPr>
            </w:pPr>
          </w:p>
        </w:tc>
        <w:tc>
          <w:tcPr>
            <w:tcW w:w="600" w:type="dxa"/>
            <w:vAlign w:val="bottom"/>
          </w:tcPr>
          <w:p>
            <w:pPr>
              <w:jc w:val="right"/>
              <w:ind w:right="18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3"/>
                <w:szCs w:val="13"/>
                <w:b w:val="1"/>
                <w:bCs w:val="1"/>
                <w:color w:val="auto"/>
                <w:w w:val="92"/>
              </w:rPr>
              <w:t>(Dollars in millions)</w:t>
            </w: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88"/>
              </w:rPr>
              <w:t>(Dollars in billions)</w:t>
            </w: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15,406</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16,653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(0.2)</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1,022</w:t>
            </w:r>
          </w:p>
        </w:tc>
        <w:tc>
          <w:tcPr>
            <w:tcW w:w="3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1,909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w:t>
            </w:r>
          </w:p>
        </w:tc>
        <w:tc>
          <w:tcPr>
            <w:tcW w:w="300" w:type="dxa"/>
            <w:vAlign w:val="bottom"/>
          </w:tcPr>
          <w:p>
            <w:pPr>
              <w:jc w:val="center"/>
              <w:ind w:left="3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6"/>
              <w:spacing w:after="0"/>
              <w:rPr>
                <w:sz w:val="20"/>
                <w:szCs w:val="20"/>
                <w:color w:val="auto"/>
              </w:rPr>
            </w:pPr>
            <w:r>
              <w:rPr>
                <w:rFonts w:ascii="Arial" w:cs="Arial" w:eastAsia="Arial" w:hAnsi="Arial"/>
                <w:sz w:val="14"/>
                <w:szCs w:val="14"/>
                <w:color w:val="auto"/>
              </w:rPr>
              <w:t>(0.2)</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September 30, 2013 Total net sales and revenue decreased due primarily to: (1) decreased wholesale volumes of 20,000 vehicles (or 7.4%) primarily in Middle East and South East Asia partially offset by an increase from the consolidation of HKJV effective September 2012 resulting in an inclusion of 12,000 wholesale vehicle sales (or 4.5%); (2) unfavorable pricing due to increased incentive support associated with strong competition; and (3) Other of $0.3 billion due</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41"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primarily to unfavorable net foreign currency effect due to the weakening of the Australian Dollar and the South Africa Rand against the U.S. Dollar of $0.2 billion, and decrease in components, parts and accessories revenue of $0.1 billion; partially offset by (4) favorable vehicle mix.</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nine months ended September 30, 2013 Total net sales and revenue decreased due primarily to: (1) decreased wholesale volumes of 92,000 vehicles (or 11.3%) primarily in Middle East and Chevrolet brand vehicles in Europe partially offset by an increase from the consolidation of HKJV effective September 2012 resulting in an inclusion of 57,000 wholesale vehicle sales (or 7.0%); (2) unfavorable pricing due to increased incentive support associated with strong competition; and (3) Other of $0.4 billion due primarily to unfavorable net foreign currency effect due to the weakening of the Australian Dollar and the South Africa Rand against the U.S. Dollar of $0.3 billion; and decreased sales of components, parts and accessories of $0.2 billion.</w:t>
      </w:r>
    </w:p>
    <w:p>
      <w:pPr>
        <w:spacing w:after="0" w:line="158"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vehicle sales of our China JVs are not reflected in Total net sales and revenue. The results of our joint ventures are recorded in Equity income, net of tax. Our investment in China JVs increased by $1.0 billion in the nine months ended September 30, 2013 as a result of our share in China JVs earnings of $1.4 billion partially offset by dividends declared of $0.4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September 30, 2013 EBIT-adjusted decreased due primarily to: (1) unfavorable net vehicle mix; (2) unfavorable pricing; and (3) Other of $0.3 billion due primarily to unfavorable manufacturing costs of $0.2 billion; lower sales of components, parts and accessories of $0.1 billion; and unfavorable net foreign currency effect of $0.1 billion; partially offset by favorable material and freight cost of $0.1 billion.</w:t>
      </w:r>
    </w:p>
    <w:p>
      <w:pPr>
        <w:spacing w:after="0" w:line="16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nine months ended September 30, 2013 EBIT-adjusted decreased due primarily to: (1) unfavorable net vehicle mix; (2) unfavorable pricing; (3) unfavorable net wholesale volumes; and (4) Other of $0.2 billion due primarily to unfavorable manufacturing costs of $0.4 billion; unfavorable net foreign currency effect of $0.2 billion; and a decrease in sales of components, parts and accessories of $0.1 billion; partially offset by favorable material and freight cost of $0.3 billion; and increased equity income, net of tax of $0.3 billion, from our interest in the increased net income of our China JVs.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Operations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foreign exchange control regulations which make it more difficult to convert BsF to U.S. Dollars. These regulations affect our Venezuelan subsidiaries' ability to pay non-BsF denominated obligations that do not qualify to be processed by the Venezuelan currency exchange agency at the official exchange rates.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aggregate net assets denominated in BsF and other currencies at September 30, 2013 and December 31, 2012 were $900 million and $940 million which included monetary assets of $1.9 billion and $1.6 billion and monetary liabilities of $1.3 billion and $1.1 billion. At September 30, 2013 and December 31, 2012 other consolidated entities had receivables from our Venezuelan subsidiaries denominated in other currencies of $374 million and $224 million. The total amounts pending government approval for settlement at September 30, 2013 and December 31, 2012 were BsF 3.5 billion (equivalent to $607 million) and BsF 2.2 billion (equivalent to $523 million), for which some requests have been pending from 2007.</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2013 the Venezuelan government announced that the official fixed exchange rate of BsF 4.3 to $1.00 changed to BsF 6.3 to $1.00 effective February 13, 2013. The devaluation required remeasurement of our Venezuelan subsidiaries' non-U.S. Dollar denominated monetary assets and liabilities. The remeasurement resulted in a charge of $0.2 billion in the three months ended March 31, 2013.</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believe it is possible that the Venezuelan government may further devalue the BsF against the U.S. Dollar in the future. If the BsF were devalued further, it would result in a charge to our income statement in the period of devaluation. Based on our September 30, 2013 net monetary assets, a further devaluation of the BsF by 1.40 BsF to $1.00 would result in a charge of approximately $0.1 billion.</w:t>
      </w:r>
    </w:p>
    <w:p>
      <w:pPr>
        <w:spacing w:after="0" w:line="181"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Venezuelan government is in the process of finalizing a new pricing law that would regulate the net sales price of new and used vehicles, as well as parts and accessories. It is possible a new pricing regulation will be enacted in the near term which could have a material impact on our Venezuelan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GMSA EBIT-Adjusted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tcPr>
          <w:p>
            <w:pPr>
              <w:jc w:val="center"/>
              <w:ind w:right="780"/>
              <w:spacing w:after="0"/>
              <w:rPr>
                <w:sz w:val="20"/>
                <w:szCs w:val="20"/>
                <w:color w:val="auto"/>
              </w:rPr>
            </w:pPr>
            <w:r>
              <w:rPr>
                <w:rFonts w:ascii="Arial" w:cs="Arial" w:eastAsia="Arial" w:hAnsi="Arial"/>
                <w:sz w:val="13"/>
                <w:szCs w:val="13"/>
                <w:b w:val="1"/>
                <w:bCs w:val="1"/>
                <w:color w:val="auto"/>
                <w:w w:val="90"/>
              </w:rPr>
              <w:t>Three Months Ended</w:t>
            </w: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28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7"/>
              </w:rPr>
              <w:t>September 30, 2012</w:t>
            </w:r>
          </w:p>
        </w:tc>
        <w:tc>
          <w:tcPr>
            <w:tcW w:w="200" w:type="dxa"/>
            <w:vAlign w:val="bottom"/>
          </w:tcPr>
          <w:p>
            <w:pPr>
              <w:spacing w:after="0"/>
              <w:rPr>
                <w:sz w:val="15"/>
                <w:szCs w:val="15"/>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3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right"/>
              <w:ind w:right="51"/>
              <w:spacing w:after="0"/>
              <w:rPr>
                <w:sz w:val="20"/>
                <w:szCs w:val="20"/>
                <w:color w:val="auto"/>
              </w:rPr>
            </w:pPr>
            <w:r>
              <w:rPr>
                <w:rFonts w:ascii="Arial" w:cs="Arial" w:eastAsia="Arial" w:hAnsi="Arial"/>
                <w:sz w:val="13"/>
                <w:szCs w:val="13"/>
                <w:b w:val="1"/>
                <w:bCs w:val="1"/>
                <w:color w:val="auto"/>
                <w:w w:val="94"/>
              </w:rPr>
              <w:t>(Dollars in millions)</w:t>
            </w:r>
          </w:p>
        </w:tc>
        <w:tc>
          <w:tcPr>
            <w:tcW w:w="2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4,381</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4,275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284</w:t>
            </w:r>
          </w:p>
        </w:tc>
        <w:tc>
          <w:tcPr>
            <w:tcW w:w="3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159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78.6%</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80" w:type="dxa"/>
            <w:vAlign w:val="bottom"/>
            <w:gridSpan w:val="6"/>
            <w:vMerge w:val="restart"/>
          </w:tcPr>
          <w:p>
            <w:pPr>
              <w:jc w:val="center"/>
              <w:ind w:right="780"/>
              <w:spacing w:after="0"/>
              <w:rPr>
                <w:sz w:val="20"/>
                <w:szCs w:val="20"/>
                <w:color w:val="auto"/>
              </w:rPr>
            </w:pPr>
            <w:r>
              <w:rPr>
                <w:rFonts w:ascii="Arial" w:cs="Arial" w:eastAsia="Arial" w:hAnsi="Arial"/>
                <w:sz w:val="13"/>
                <w:szCs w:val="13"/>
                <w:b w:val="1"/>
                <w:bCs w:val="1"/>
                <w:color w:val="auto"/>
                <w:w w:val="88"/>
              </w:rPr>
              <w:t>Nine Months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restart"/>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28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7"/>
              </w:rPr>
              <w:t>September 30, 2012</w:t>
            </w:r>
          </w:p>
        </w:tc>
        <w:tc>
          <w:tcPr>
            <w:tcW w:w="20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0"/>
              </w:rPr>
              <w:t>(Unfavorable)</w:t>
            </w:r>
          </w:p>
        </w:tc>
        <w:tc>
          <w:tcPr>
            <w:tcW w:w="72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3"/>
                <w:szCs w:val="13"/>
                <w:b w:val="1"/>
                <w:bCs w:val="1"/>
                <w:color w:val="auto"/>
                <w:w w:val="92"/>
              </w:rPr>
              <w:t>(Dollars in millions)</w:t>
            </w:r>
          </w:p>
        </w:tc>
        <w:tc>
          <w:tcPr>
            <w:tcW w:w="2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12,380</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12,259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300</w:t>
            </w:r>
          </w:p>
        </w:tc>
        <w:tc>
          <w:tcPr>
            <w:tcW w:w="3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328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0.6</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September 30, 2013 Total net sales and revenue increased due primarily to: (1) favorable vehicle pricing primarily due to high inflation in Venezuela and Argentina; (2) increased wholesale volumes of 14,000 vehicles (or 5.2%) primarily driven by higher industry volume in Argentina and the refreshed product portfolio in Brazil; and (3) favorable vehicle mix due to increased sales of Chevrolet Trailblazer, Chevrolet Captiva, Chevrolet Orlando and Chevrolet S10; partially offset by (4) Other of $0.6 billion due primarily to unfavorable net foreign currency effect due to the strengthening of the U.S. Dollar against the Brazilian Real and Argentinian Peso and the devaluation of the BsF of $0.6 billion.</w:t>
      </w:r>
    </w:p>
    <w:p>
      <w:pPr>
        <w:spacing w:after="0" w:line="17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nine months ended September 30, 2013 Total net sales and revenue increased due primarily to: (1) favorable vehicle pricing primarily due to high inflation in Venezuela and Argentina; (2) favorable vehicle mix due to increased sales of the Chevrolet Trailblazer, Chevrolet Captiva, Chevrolet Orlando and Chevrolet S10; and (3) increased wholesale volumes of 24,000 vehicles (or 3.1%) primarily driven by higher industry volume in Argentina and the refreshed product portfolio in Brazil; partially offset by (4) Other of $1.2 billion due primarily to unfavorable net foreign currency effect due to the strengthening of the U.S. Dollar against the Brazilian Real and Argentinian Peso and the devaluation of the BsF of $1.3 billion.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EBIT-Adjusted</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September 30, 2013 EBIT-adjusted increased due primarily to: (1) favorable vehicle pricing; and (2) favorable net vehicle mix; partially offset by (3) Other of $0.4 billion due primarily to unfavorable net foreign currency effect due to the strengthening of the U.S. Dollar against the Brazilian Real and Argentinian Peso and the devaluation of the BsF of $0.4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2013 EBIT-adjusted remained flat due primarily to: (1) favorable vehicle pricing; and (2) favorable net vehicle mix; offset by (3) Other of $0.8 billion due primarily to unfavorable net foreign currency effect due to the strengthening of the U.S. Dollar against the Brazilian Real and Argentinian Peso and the devaluation of the BsF of $0.7 billion; and a non-recurring bargain gain of $50 million on the purchase of GMAC de Venezuela CA in the corresponding period of 2012 .</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Nine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ind w:left="18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1600" w:type="dxa"/>
            <w:vAlign w:val="bottom"/>
            <w:gridSpan w:val="2"/>
          </w:tcPr>
          <w:p>
            <w:pPr>
              <w:jc w:val="right"/>
              <w:ind w:right="25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57"/>
        </w:trPr>
        <w:tc>
          <w:tcPr>
            <w:tcW w:w="27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2013 vs. 2012 Change</w:t>
            </w:r>
          </w:p>
        </w:tc>
        <w:tc>
          <w:tcPr>
            <w:tcW w:w="140" w:type="dxa"/>
            <w:vAlign w:val="bottom"/>
          </w:tcPr>
          <w:p>
            <w:pPr>
              <w:spacing w:after="0"/>
              <w:rPr>
                <w:sz w:val="4"/>
                <w:szCs w:val="4"/>
                <w:color w:val="auto"/>
              </w:rPr>
            </w:pPr>
          </w:p>
        </w:tc>
        <w:tc>
          <w:tcPr>
            <w:tcW w:w="1600" w:type="dxa"/>
            <w:vAlign w:val="bottom"/>
            <w:gridSpan w:val="2"/>
            <w:vMerge w:val="restart"/>
          </w:tcPr>
          <w:p>
            <w:pPr>
              <w:jc w:val="right"/>
              <w:ind w:right="190"/>
              <w:spacing w:after="0"/>
              <w:rPr>
                <w:sz w:val="20"/>
                <w:szCs w:val="20"/>
                <w:color w:val="auto"/>
              </w:rPr>
            </w:pPr>
            <w:r>
              <w:rPr>
                <w:rFonts w:ascii="Arial" w:cs="Arial" w:eastAsia="Arial" w:hAnsi="Arial"/>
                <w:sz w:val="13"/>
                <w:szCs w:val="13"/>
                <w:b w:val="1"/>
                <w:bCs w:val="1"/>
                <w:color w:val="auto"/>
                <w:w w:val="98"/>
              </w:rPr>
              <w:t>2012 vs. 2011 Change</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88"/>
              </w:rPr>
              <w:t>September 30, 2013</w:t>
            </w: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7"/>
              </w:rPr>
              <w:t>September 30, 2012</w:t>
            </w:r>
          </w:p>
        </w:tc>
        <w:tc>
          <w:tcPr>
            <w:tcW w:w="1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w w:val="88"/>
              </w:rPr>
              <w:t>September 30, 2013</w:t>
            </w: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w w:val="97"/>
              </w:rPr>
              <w:t>September 30, 2012</w:t>
            </w: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w w:val="97"/>
              </w:rPr>
              <w:t>Amount</w:t>
            </w:r>
          </w:p>
        </w:tc>
        <w:tc>
          <w:tcPr>
            <w:tcW w:w="7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3"/>
                <w:szCs w:val="13"/>
                <w:b w:val="1"/>
                <w:bCs w:val="1"/>
                <w:color w:val="auto"/>
                <w:w w:val="97"/>
              </w:rPr>
              <w:t>Amount</w:t>
            </w:r>
          </w:p>
        </w:tc>
        <w:tc>
          <w:tcPr>
            <w:tcW w:w="7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9"/>
        </w:trPr>
        <w:tc>
          <w:tcPr>
            <w:tcW w:w="2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gridSpan w:val="3"/>
          </w:tcPr>
          <w:p>
            <w:pPr>
              <w:ind w:left="100"/>
              <w:spacing w:after="0"/>
              <w:rPr>
                <w:sz w:val="20"/>
                <w:szCs w:val="20"/>
                <w:color w:val="auto"/>
              </w:rPr>
            </w:pPr>
            <w:r>
              <w:rPr>
                <w:rFonts w:ascii="Arial" w:cs="Arial" w:eastAsia="Arial" w:hAnsi="Arial"/>
                <w:sz w:val="13"/>
                <w:szCs w:val="13"/>
                <w:b w:val="1"/>
                <w:bCs w:val="1"/>
                <w:color w:val="auto"/>
                <w:w w:val="99"/>
              </w:rPr>
              <w:t>(Dollars in millions)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GM Financial revenue</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867</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2,243</w:t>
            </w:r>
          </w:p>
        </w:tc>
        <w:tc>
          <w:tcPr>
            <w:tcW w:w="660" w:type="dxa"/>
            <w:vAlign w:val="bottom"/>
            <w:shd w:val="clear" w:color="auto" w:fill="CCEEFF"/>
          </w:tcPr>
          <w:p>
            <w:pPr>
              <w:jc w:val="right"/>
              <w:ind w:right="43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353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811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239</w:t>
            </w:r>
          </w:p>
        </w:tc>
        <w:tc>
          <w:tcPr>
            <w:tcW w:w="70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673</w:t>
            </w:r>
          </w:p>
        </w:tc>
        <w:tc>
          <w:tcPr>
            <w:tcW w:w="660" w:type="dxa"/>
            <w:vAlign w:val="bottom"/>
          </w:tcPr>
          <w:p>
            <w:pPr>
              <w:jc w:val="right"/>
              <w:ind w:right="43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52"/>
              <w:spacing w:after="0"/>
              <w:rPr>
                <w:sz w:val="20"/>
                <w:szCs w:val="20"/>
                <w:color w:val="auto"/>
              </w:rPr>
            </w:pPr>
            <w:r>
              <w:rPr>
                <w:rFonts w:ascii="Arial" w:cs="Arial" w:eastAsia="Arial" w:hAnsi="Arial"/>
                <w:sz w:val="14"/>
                <w:szCs w:val="14"/>
                <w:color w:val="auto"/>
              </w:rPr>
              <w:t>39</w:t>
            </w:r>
          </w:p>
        </w:tc>
        <w:tc>
          <w:tcPr>
            <w:tcW w:w="70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75</w:t>
            </w:r>
          </w:p>
        </w:tc>
        <w:tc>
          <w:tcPr>
            <w:tcW w:w="70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120"/>
              <w:spacing w:after="0"/>
              <w:rPr>
                <w:sz w:val="20"/>
                <w:szCs w:val="20"/>
                <w:color w:val="auto"/>
              </w:rPr>
            </w:pPr>
            <w:r>
              <w:rPr>
                <w:rFonts w:ascii="Arial" w:cs="Arial" w:eastAsia="Arial" w:hAnsi="Arial"/>
                <w:sz w:val="13"/>
                <w:szCs w:val="13"/>
                <w:b w:val="1"/>
                <w:bCs w:val="1"/>
                <w:color w:val="auto"/>
              </w:rPr>
              <w:t>(Dollars in billions)</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Average debt outstanding</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23.2</w:t>
            </w:r>
          </w:p>
        </w:tc>
        <w:tc>
          <w:tcPr>
            <w:tcW w:w="70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18.7</w:t>
            </w:r>
          </w:p>
        </w:tc>
        <w:tc>
          <w:tcPr>
            <w:tcW w:w="660" w:type="dxa"/>
            <w:vAlign w:val="bottom"/>
          </w:tcPr>
          <w:p>
            <w:pPr>
              <w:jc w:val="right"/>
              <w:ind w:right="43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52"/>
              <w:spacing w:after="0"/>
              <w:rPr>
                <w:sz w:val="20"/>
                <w:szCs w:val="20"/>
                <w:color w:val="auto"/>
              </w:rPr>
            </w:pPr>
            <w:r>
              <w:rPr>
                <w:rFonts w:ascii="Arial" w:cs="Arial" w:eastAsia="Arial" w:hAnsi="Arial"/>
                <w:sz w:val="14"/>
                <w:szCs w:val="14"/>
                <w:color w:val="auto"/>
              </w:rPr>
              <w:t>13.4</w:t>
            </w:r>
          </w:p>
        </w:tc>
        <w:tc>
          <w:tcPr>
            <w:tcW w:w="700" w:type="dxa"/>
            <w:vAlign w:val="bottom"/>
          </w:tcPr>
          <w:p>
            <w:pPr>
              <w:jc w:val="right"/>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9.6</w:t>
            </w:r>
          </w:p>
        </w:tc>
        <w:tc>
          <w:tcPr>
            <w:tcW w:w="700" w:type="dxa"/>
            <w:vAlign w:val="bottom"/>
          </w:tcPr>
          <w:p>
            <w:pPr>
              <w:jc w:val="right"/>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Effective rate of interest paid</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6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(0.1)%</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41"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2013 GM Financial revenue increased due primarily to: (1) increased revenue of $0.2 billion due to the acquisition of Ally Financial international operations; and (2) increased lease income of $0.1 billion due to a larger lease portfolio.</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2013 GM Financial revenue increased due primarily to: (1) increased revenue of $0.5 billion due to the acquisition of Ally Financial international operations; (2) increased lease income of $0.2 billion due to a larger lease portfolio; and (3) increased finance charge income of $0.1 billion due to a larger loan portfolio balance.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September 30, 2013 Income before income taxes remained flat due primarily to: (1) increased finance income of $0.2 billion due to a larger loan portfolio as a result of the purchase of Ally Financial international operations; offset by (2) increased interest expense of $0.1 billion due to an increase in average debt outstanding as a result of the purchase of Ally Financial international operations; and (3) increased operating expenses of $0.1 billion as a result of the purchase of Ally Financial international operations.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nine months ended September 30, 2013 Income before income taxes increased due primarily to: (1) increased finance income of $0.5 billion due to a larger loan portfolio mainly as a result of the purchase of Ally Financial international operations; offset by (2) increased interest expense of $0.2 billion due to an increase in average debt outstanding as a result of the purchase of Ally Financial international operations; (3) increased operating expenses of $0.2 billion as a result of the purchase of Ally Financial international operations; and (4) increased provision for loan losses of $0.1 billion due to a larger loan portfolio.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3"/>
          </w:tcPr>
          <w:p>
            <w:pPr>
              <w:jc w:val="right"/>
              <w:ind w:right="3"/>
              <w:spacing w:after="0"/>
              <w:rPr>
                <w:sz w:val="20"/>
                <w:szCs w:val="20"/>
                <w:color w:val="auto"/>
              </w:rPr>
            </w:pPr>
            <w:r>
              <w:rPr>
                <w:rFonts w:ascii="Arial" w:cs="Arial" w:eastAsia="Arial" w:hAnsi="Arial"/>
                <w:sz w:val="13"/>
                <w:szCs w:val="13"/>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3"/>
          </w:tcPr>
          <w:p>
            <w:pPr>
              <w:jc w:val="right"/>
              <w:ind w:right="3"/>
              <w:spacing w:after="0"/>
              <w:rPr>
                <w:sz w:val="20"/>
                <w:szCs w:val="20"/>
                <w:color w:val="auto"/>
              </w:rPr>
            </w:pPr>
            <w:r>
              <w:rPr>
                <w:rFonts w:ascii="Arial" w:cs="Arial" w:eastAsia="Arial" w:hAnsi="Arial"/>
                <w:sz w:val="13"/>
                <w:szCs w:val="13"/>
                <w:b w:val="1"/>
                <w:bCs w:val="1"/>
                <w:color w:val="auto"/>
              </w:rPr>
              <w:t>Nine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2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Nine Months Ended</w:t>
            </w:r>
          </w:p>
        </w:tc>
        <w:tc>
          <w:tcPr>
            <w:tcW w:w="0" w:type="dxa"/>
            <w:vAlign w:val="bottom"/>
          </w:tcPr>
          <w:p>
            <w:pPr>
              <w:spacing w:after="0"/>
              <w:rPr>
                <w:sz w:val="1"/>
                <w:szCs w:val="1"/>
                <w:color w:val="auto"/>
              </w:rPr>
            </w:pPr>
          </w:p>
        </w:tc>
      </w:tr>
      <w:tr>
        <w:trPr>
          <w:trHeight w:val="57"/>
        </w:trPr>
        <w:tc>
          <w:tcPr>
            <w:tcW w:w="23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4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2013 vs. 2012 Change</w:t>
            </w:r>
          </w:p>
        </w:tc>
        <w:tc>
          <w:tcPr>
            <w:tcW w:w="20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4"/>
              </w:rPr>
              <w:t>2013 vs. 2012 Change</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gridSpan w:val="4"/>
            <w:vMerge w:val="continue"/>
          </w:tcPr>
          <w:p>
            <w:pPr>
              <w:spacing w:after="0"/>
              <w:rPr>
                <w:sz w:val="22"/>
                <w:szCs w:val="22"/>
                <w:color w:val="auto"/>
              </w:rPr>
            </w:pPr>
          </w:p>
        </w:tc>
        <w:tc>
          <w:tcPr>
            <w:tcW w:w="20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8"/>
              </w:rPr>
              <w:t>September 30, 2013</w:t>
            </w:r>
          </w:p>
        </w:tc>
        <w:tc>
          <w:tcPr>
            <w:tcW w:w="12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8"/>
              </w:rPr>
              <w:t>September 30, 2012</w:t>
            </w:r>
          </w:p>
        </w:tc>
        <w:tc>
          <w:tcPr>
            <w:tcW w:w="12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8"/>
              </w:rPr>
              <w:t>September 30, 2013</w:t>
            </w:r>
          </w:p>
        </w:tc>
        <w:tc>
          <w:tcPr>
            <w:tcW w:w="12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7"/>
              </w:rPr>
              <w:t>September 30, 2012</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top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w:t>
            </w:r>
          </w:p>
        </w:tc>
        <w:tc>
          <w:tcPr>
            <w:tcW w:w="980" w:type="dxa"/>
            <w:vAlign w:val="bottom"/>
            <w:tcBorders>
              <w:top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5"/>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(1,437)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2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Net Loss Attributable to Stockholders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September 30, 2013 Net loss attributable to stockholders increased due primarily to: (1) an increase in income tax expense of $0.5 billion due primarily to the inclusion of U.S. and Canada entities in our tax expense calculation resulting from the release of their valuation allowances in the year ended December 31, 2012; and (2) a $0.1 billion unfavorable net foreign currency effect.</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2013 Net loss attributable to stockholders increased due primarily to: (1) an increase in income tax expense of $1.2 billion due primarily to the inclusion of U.S. and Canada entities in our tax expense calculation resulting from the release of their valuation allowances in the year ended December 31, 2012; and (2) a loss on the extinguishment of debt of $0.2 billion due to the acquisition of the remaining balance of GM Korea's preferred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believe that our current level of cash and cash equivalents, marketable securities and availability under our secured revolving credit facilities will be sufficient to meet our liquidity needs. However we expect to have substantial cash requirements going forward which we plan to fund through total available liquidity and cash flows generated from operations. Our known material future uses of cash which may vary from time to time based on market conditions and other factors include, among other possible demands: (1) reinvestment in our business through capital expenditures of approximately $8 billion annually as well as engineering and product development activities; (2) acquiring Ally Financial international operations, as subsequently discussed, for approximately $0.9 billion; (3) payments to service debt and other long-term obligations; and (4) payments relating to our Series A Preferred Stock dividends and to purchase the remaining outstanding shares of Series A Preferred Stock with a liquidation amount of $3.9 billion once the shares become redeemable on or after December 31, 2014.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2012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monitor and evaluate opportunities to strengthen our balance sheet and competitive position. These actions may include opportunistic payments to reduce our long-term obligations while maintaining minimal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short-term.</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November 2012 GM Financial entered into agreements with Ally Financial to acquire Ally Financial's automotive finance and financial services businesses in Europe and Latin America and Ally Financial's equity interests in GMAC-SAIC for approximately $4.1 billion. GM Financial has completed the acquisitions of Ally Financial's European and Latin American automotive finance operations for $3.2 billion, of which $3.2 billion has been paid. Refer to Automotive Financing Strategy in this MD&amp;A for additional information on these acquisitions.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2013 GM Korea made a payment of $0.7 billion to acquire, prior to the mandatory redemption date, the remaining balance of GM Korea's mandatorily redeemable preferred shares that had a carrying amount of $0.5 billion. We recorded the difference of $0.2 billion as a loss on extinguishment of debt.</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September 2013 we issued $4.5 billion in aggregate principal amount of senior unsecured notes comprising $1.5 billion of 3.5% notes due in 2018, $1.5 billion of 4.875% notes due in 2023 and $1.5 billion of 6.25% notes due in 2043. We used proceeds from the issuance of these notes to purchase 120 million shares of our Series A Preferred Stock from the New VEBA for a total price of $3.2 billion, which was equal to 108.1% of their aggregate liquidation amount. The Series A Preferred Stock accrues cumulative dividends at a 9% annual rate. We recorded a loss for the difference between the carrying amount of the Series A Preferred Stock purchased of $2.4 billion and the consideration paid of $3.2 billion, which reduced Net income attributable to common stockholders by $0.8 billion.</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October 2013 we used proceeds from the issuance of the senior unsecured notes to make a payment of $1.2 billion to prepay notes issued to the Canadian Health Care Trust (HCT) which had a carrying value of $1.2 billion and were recorded in Short-term debt and current portion of long-term debt at September 30, 2013. The HCT notes accrued interest at a 7% annual rate. This transaction and the purchase of the Series A preferred Stock from the New VEBA lowered our overall cost of funding as the senior unsecured notes carry a lower interest rate than the dividends on the Series A Preferred Stock and the interest rate on the HCT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Total available liquidity includes cash, cash equivalents, current marketable securities and funds available under credit facilities. At September 30, 2013 our available liquidity was $37.3 billion, including funds available under credit facilities of $10.5 billion. The amount of available liquidity is subject to intra-month and seasonal fluctuations and includes balances held by various business units and subsidiaries worldwide that are needed to fund their operations.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85% of our available liquidity at September 30, 2013.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cash equivalents and marketable securities balances include investments in U.S. government and agency obligations, foreign government securities, time deposits and certificates of deposit and corporate debt securities, and are primarily denominated in U.S. Dollars. We expect to maintain a sufficient amount of Canadian Dollar (CAD) denominated cash investments to offset certain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CAD denominated liabilities, which primarily relate to pension and other postretirement benefits liabilities. These cash investments will incur foreign currency exchange gains or losses based on the movement of the CAD in relation to the U.S. Dollar and will therefore reduce our net CAD foreign currency exchange exposure. We held cash investments in CAD denominated securities of $3.0 billion at September 30, 2013. These funds continue to be available to fund our normal ongoing operations and are included in our available liquidity.</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investment guidelines, which we may change from time to time, prescribe certain minimum credit worthiness standards and limit our exposures to any particular sector, asset class, issuance or security type. Substantially all of our current investments in debt securities are with A/A2 or better rated issuers. We actively monitor and manage our liquidity exposure to Europe which is related primarily to short-term bank deposits and short-term debt securities of high-quality European issuers.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total size of our credit facilities was $11.3 billion and $11.4 billion at September 30, 2013 and December 31, 2012. Our primary borrowing capacity under credit facilities comes from our secured revolving credit facilities consisting of a three-year $5.5 billion facility maturing in 2015 and a five-year, $5.5 billion facility maturing in 2017. We have not borrowed against these facilities, but have amounts in use under the letter of credit sub-facility of $0.6 billion. GM Financial has not borrowed against the three-year facility.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liquidity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17,133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8,988</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26,121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11,119</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37,240</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2013 total available liquidity increased by $0.1 billion due primarily to: (1) automotive free cash flow of $2.5 billion; partially offset by (2) a capital contribution to GM Financial of $1.3 billion in support of the acquisition of Ally Financial international operations; (3) reductions in amounts available under credit facilities of $0.6 billion due to letters of credit issued under our secured revolving credit facilities and the termination of a facility in GMIO; and (4) unfavorable net foreign currency effects of $0.4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automotive cash flows from operating, investing and financing activities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22"/>
                <w:szCs w:val="22"/>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September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2013 net cash provided by operating activities decreased by $0.9 billion due primarily to: (1) lower net income excluding non-cash charges relating to depreciation, amortization and impairment charges of $1.7 billion; (2) unfavorable movements in dealer and customer allowances of $0.7 billion; (3) unfavorable daily rental car activities including customer deposits of $0.4 billion; and (4) unfavorable movements in warranty of $0.3 billion; partially offset by (5) favorable changes in working capital of $1.4 billion; and (6) other changes of $0.8 billion due primarily to deferred taxes.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2013 net cash used in investing activities increased by $2.8 billion due primarily to: (1) purchases in excess of maturities of marketable securities of $4.9 billion as we invested in securities with longer maturities as part of efforts to rebalance our investment portfolio in the normal course of business; partially offset by (2) a short-term loan of $2.0 billion made to our U.S. salaried pension plan as part of annutization actions taken in 2012; and (3) decreased capital expenditures of $0.2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2013 net cash used in financing activities decreased by $0.5 billion due primarily to: (1) proceeds from debt of $4.9 billion including $4.5 billion raised from the issuance of senior unsecured notes; and (2) net increase in short-term debt facilities with maturities less than 90 days of $0.3 billion; partially offset by (3) purchase of Series A Preferred Stock held by the New VEBA for $3.2 billion; and (4) increase in debt payments of $1.3 billion including the prepayment of GM Korea's preferred shares of $0.7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free cash flow and adjusted free cash flow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2012</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(5,993)</w:t>
            </w:r>
          </w:p>
        </w:tc>
      </w:tr>
      <w:tr>
        <w:trPr>
          <w:trHeight w:val="27"/>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3,152</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Adjustments for voluntary management actions</w:t>
            </w:r>
          </w:p>
        </w:tc>
        <w:tc>
          <w:tcPr>
            <w:tcW w:w="1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3,152</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In the nine months ended September 30, 2013 adjustments for voluntary management actions included pension contributions of $0.1 billion related to the previously announced annuitization of the U.S. salaried pension plan.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Status of Credit Ratings</w:t>
      </w:r>
    </w:p>
    <w:p>
      <w:pPr>
        <w:spacing w:after="0" w:line="225"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We receive ratings from four independent credit rating agencies: DBRS Limited, Fitch Ratings (Fitch), Moody's Investor Service (Moody's) and Standard &amp; Poor's (S&amp;P). DBRS Limited and Moody's rate our corporate credit at investment grade while Fitch and S&amp;P currently rate our corporate credit at non-investment grade. The following table summarizes our credit ratings at October 25, 2013:</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Rating Agency</w:t>
            </w:r>
          </w:p>
        </w:tc>
        <w:tc>
          <w:tcPr>
            <w:tcW w:w="120" w:type="dxa"/>
            <w:vAlign w:val="bottom"/>
            <w:vMerge w:val="restart"/>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Secured Revolving</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Senior</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Credit Facility</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Unsecured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 (low)</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Fitch</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BB+</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rPr>
              <w:t>BB+</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Positive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Baa2</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Ba1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rPr>
              <w:t>BB+</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Positive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Rating actions taken by each of the credit rating agencies from January 1, 2013 through October 25, 2013 were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Fitch: September 2013 - Assigned a senior unsecured rating of BB+. August 2013 - Upgraded their outlook to positive from stable.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Moody’s: September 2013 - Upgraded corporate rating to an investment grade rating of Baa3 from Ba1, assigned a senior unsecured rating of Ba1 and changed their outlook to stable from positive.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S&amp;P: September 2013 - Assigned a senior unsecured rating of BB+ and upgraded their outlook to positive from stable.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pursue investment grade status from all of the credit rating agencies by maintaining a balance sheet with minimal financial leverage and demonstrating continued operating performance. Achieving investment grade status will provide us with greater financial flexibility, lower our cost of borrowing and may release collateral from certain agreements including our secured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GM Financial's primary sources of cash are finance charge income, leasing income, servicing fees, net distributions from secured debt, borrowings under secured and unsecured debt, collections and recoveries on finance receivables and net proceeds from senior notes transactions. GM Financial's primary uses of cash are purchases of finance receivables and leased assets, funding of commercial finance receivables, repayment of secured and unsecured debt, funding credit enhancement requirements for secured debt and operating expenses. GM Financial continues to monitor and evaluate opportunities to optimize its liquidity position and the mix of its debt, which could include future opportunistic repayments or borrowings.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1,349</w:t>
            </w: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2,638</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increase in available liquidity is due primarily to the net increase of $1.0 billion resulting from the Ally Financial international operations acquisition, as well as the addition of commercial loan-secured credit facilities, which had $0.2 billion in borrowing capacity as of September 30, 2013.</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has the ability to borrow up to $4.0 billion against our three-year $5.5 billion secured revolving credit facility. GM Financial's borrowings under the facility are limited by our ability to borrow the entire amount available under the facility. Therefore GM Financial may be able to borrow up to $4.0 billion or may be unable to borrow depending on our borrowing activity. If GM Financial does borrow under the facility it expects such borrowings would be short-term in nature. Neither GM Financial, nor any of its subsidiaries, guarantee any obligations under this facility and none of its subsidiaries' assets secure this facility.</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connection with the acquisition of certain of Ally Financial's European and Latin American automotive finance operations except for Brazil, GM Financial received a capital contribution from us of $1.3 billion and utilized $2.6 billion of its liquidity. These acquisitions increased finance receivables by $11.0 billion and secured and unsecured debt by $8.9 billion. Subsequent to September 30, 2013 GM Financial utilized an additional $0.7 billion of its own liquidity to complete the acquisition of Ally Financial's European and Latin American operations including Brazil.</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60" w:type="dxa"/>
            <w:vAlign w:val="bottom"/>
          </w:tcPr>
          <w:p>
            <w:pPr>
              <w:spacing w:after="0"/>
              <w:rPr>
                <w:sz w:val="22"/>
                <w:szCs w:val="22"/>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September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(2,160)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2,497</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2013 net cash provided by operating activities increased by $0.6 billion due primarily to the acquisitions of Ally Financial international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2013 net cash used in investing activities increased by $3.5 billion due primarily to: (1) increased funding of commercial finance receivables of $11.1 billion and purchase of consumer finance receivables of $2.0 billion; (2) net cash payment of $2.1 billion made in the current period on the acquisitions of Ally Financial international operations; (3) increased purchase of leased vehicles of $0.9 billion; partially offset by (4) increased collections and recoveries on finance receivables of $12.8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nine months ended September 30, 2013 net cash provided by financing activities increased by $1.1 billion due primarily to the increased borrowings under secured and unsecured debt and issuance of senior notes of $8.3 billion, partially offset by the increased debt repayment of $5.8 billion and the repayment of $1.4 billion in certain debt assumed as part of the Ally Financial international operations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third party commercial loans and other obligations. The maximum potential obligation under these commitments was $16.0 billion and $23.5 billion at September 30, 2013 and December 31,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14 to our condensed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2012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Management believes EBIT-adjusted provides meaningful supplemental information regarding our automotive segments' operating results because it excludes interest income, interest expense and income taxes as well as certain additional adjustments. Such adjustments include impairment charges related to goodwill and certain investments, gains or losses on the settlement/extinguishment of obligations and gains or losses on the sale of non-core investments.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Management believes free cash flow and adjusted free cash flow provide meaningful supplemental information regarding the liquidity of our automotive operations and our ability to generate sufficient cash flow above those required in our business to sustain our operations. We measure free cash flow as cash flow from operations less capital expenditures. We measure adjusted free cash flow as free cash flow adjusted for certain voluntary management actions, primarily related to strengthening our balance sheet.</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Management believes these measures allow it to readily view operating trends, perform analytical comparisons and benchmark performance between periods and among geographic regions. We believe these non-GAAP measures are useful in allowing for greater transparency of our core operations and are therefore used by management in its financial and operational decision-making. Management does not consider the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While management believes that these non-GAAP measures provide useful information, they are not operating measures under U.S. GAAP and there are limitations associated with their use. Our calculation of these non-GAAP measures may not be completely comparable to similarly titled measures of other companies due to potential differences between companies in the method of calculation. As a result the use of these non-GAAP measures has limitations and should not be considered in isolation from, or as a substitute for, other measures such as Net income, Net income attributable to stockholders or operating cash flow. Due to these limitations, these non-GAAP measures are used as supplements to U.S. GAAP measures.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 summarizes the reconciliation of our automotive segments' EBIT-adjusted and GM Financial's income before income taxes to Net income attributable to stockholders and provide supplemental detail of the adjustments, which are presented net of noncontrolling interests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22"/>
                <w:szCs w:val="22"/>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2012</w:t>
            </w:r>
          </w:p>
        </w:tc>
        <w:tc>
          <w:tcPr>
            <w:tcW w:w="200" w:type="dxa"/>
            <w:vAlign w:val="bottom"/>
          </w:tcPr>
          <w:p>
            <w:pPr>
              <w:spacing w:after="0"/>
              <w:rPr>
                <w:sz w:val="22"/>
                <w:szCs w:val="22"/>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22"/>
                <w:szCs w:val="22"/>
                <w:color w:val="auto"/>
              </w:rPr>
            </w:pPr>
          </w:p>
        </w:tc>
        <w:tc>
          <w:tcPr>
            <w:tcW w:w="158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7"/>
              </w:rPr>
              <w:t>September 30, 2012</w:t>
            </w: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GMNA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87.5 %</w:t>
            </w:r>
          </w:p>
        </w:tc>
      </w:tr>
      <w:tr>
        <w:trPr>
          <w:trHeight w:val="243"/>
        </w:trPr>
        <w:tc>
          <w:tcPr>
            <w:tcW w:w="4020" w:type="dxa"/>
            <w:vAlign w:val="bottom"/>
          </w:tcPr>
          <w:p>
            <w:pPr>
              <w:ind w:left="200"/>
              <w:spacing w:after="0"/>
              <w:rPr>
                <w:sz w:val="20"/>
                <w:szCs w:val="20"/>
                <w:color w:val="auto"/>
              </w:rPr>
            </w:pPr>
            <w:r>
              <w:rPr>
                <w:rFonts w:ascii="Arial" w:cs="Arial" w:eastAsia="Arial" w:hAnsi="Arial"/>
                <w:sz w:val="18"/>
                <w:szCs w:val="18"/>
                <w:color w:val="auto"/>
              </w:rPr>
              <w:t>GME</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(19.6)%</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GMIO</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31.8 %</w:t>
            </w:r>
          </w:p>
        </w:tc>
      </w:tr>
      <w:tr>
        <w:trPr>
          <w:trHeight w:val="243"/>
        </w:trPr>
        <w:tc>
          <w:tcPr>
            <w:tcW w:w="4020" w:type="dxa"/>
            <w:vAlign w:val="bottom"/>
          </w:tcPr>
          <w:p>
            <w:pPr>
              <w:ind w:left="200"/>
              <w:spacing w:after="0"/>
              <w:rPr>
                <w:sz w:val="20"/>
                <w:szCs w:val="20"/>
                <w:color w:val="auto"/>
              </w:rPr>
            </w:pPr>
            <w:r>
              <w:rPr>
                <w:rFonts w:ascii="Arial" w:cs="Arial" w:eastAsia="Arial" w:hAnsi="Arial"/>
                <w:sz w:val="18"/>
                <w:szCs w:val="18"/>
                <w:color w:val="auto"/>
              </w:rPr>
              <w:t>GMSA</w:t>
            </w: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5.5 %</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8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automotive EBIT-adjusted</w:t>
            </w:r>
          </w:p>
        </w:tc>
        <w:tc>
          <w:tcPr>
            <w:tcW w:w="20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6,003</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60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Corporate interest income</w:t>
            </w: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Gain (Loss) on extinguishment of debt</w:t>
            </w: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Financing</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GM Financial income before income taxes</w:t>
            </w: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0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4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4,994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operations interest and income taxes are recorded centrally in Corporate; therefore, there are no reconciling items for our automotive operating segments between EBIT-adjusted and Net income attributable to stockholders.</w:t>
      </w:r>
    </w:p>
    <w:p>
      <w:pPr>
        <w:spacing w:after="0" w:line="14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2013 adjustments to EBIT consisted of Goodwill impairment charges of $48 million in GMIO, which is presented net of noncontrolling interests.</w:t>
      </w:r>
    </w:p>
    <w:p>
      <w:pPr>
        <w:spacing w:after="0" w:line="14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2013 adjustments to EBIT consisted of Venezuela currency devaluation of $162 million in GMSA, the acquisition of GM Korea preferred shares of $67 million and Goodwill impairment charges of $48 million in GMIO, which is presented net of noncontrolling interests, and net pension settlement charges and income related to various insurance recoveries, net, of $29 million.</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2012 adjustments to EBIT consisted of Goodwill impairment charges of $62 million in GMIO, which is presented net of noncontrolling interests.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2012 adjustments to EBIT consisted of Goodwill impairment charges of $590 million in GME and $84 million in GMIO, which is presented net of noncontrolling interests.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41"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Accounting standards not yet adopted are discussed in Note 1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GM Financial's ability to successfully integrate certain Ally Financial international operations;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 particularly Europe;</w:t>
      </w:r>
    </w:p>
    <w:p>
      <w:pPr>
        <w:spacing w:after="0" w:line="117"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right="20" w:hanging="490"/>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2012. Refer to Item 7A in our 2012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Our management, with the participation of our Chairman and CEO and Executive Vice President and CFO, evaluated the effectiveness of our disclosure controls and procedures (as defined in Rules 13a-15(e) or 15d-15(e) promulgated under the Exchange Act) at September 30, 2013. Based on this evaluation required by paragraph (b) of Rules 13a-15 or 15d-15, our CEO and CFO concluded that our disclosure controls and procedures were effective as of September 30,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September 30, 2013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Refer to our 2012 Form 10-K, as updated in our Form 10-Q for the period ended June 30, 2013. There have been no material changes in the period ending September 30, 2013 to the Legal Proceedings disclosed in our 2012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2012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for Cash</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shares of common stock were purchased in the three months ended September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non-cash purchases of common stock in each of the three months ended September 30,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 May Yet be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Purchased(a)</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2013 through July 31, 2013</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82,751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August 1, 2013 through August 31, 2013</w:t>
            </w:r>
          </w:p>
        </w:tc>
        <w:tc>
          <w:tcPr>
            <w:tcW w:w="1740" w:type="dxa"/>
            <w:vAlign w:val="bottom"/>
          </w:tcPr>
          <w:p>
            <w:pPr>
              <w:jc w:val="right"/>
              <w:ind w:right="56"/>
              <w:spacing w:after="0"/>
              <w:rPr>
                <w:sz w:val="20"/>
                <w:szCs w:val="20"/>
                <w:color w:val="auto"/>
              </w:rPr>
            </w:pPr>
            <w:r>
              <w:rPr>
                <w:rFonts w:ascii="Arial" w:cs="Arial" w:eastAsia="Arial" w:hAnsi="Arial"/>
                <w:sz w:val="18"/>
                <w:szCs w:val="18"/>
                <w:color w:val="auto"/>
              </w:rPr>
              <w:t>2,298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36.13</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through September 30, 2103</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86,200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0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6"/>
                <w:szCs w:val="16"/>
                <w:color w:val="auto"/>
              </w:rPr>
              <w:t>N/A = not applicable</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340" w:hanging="332"/>
        <w:spacing w:after="0" w:line="25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shares of common stock delivered by employees or directors back to us for the payment of taxes resulting from issuance of common stock upon the vesting of Restricted Stock Units and Restricted Stock Awards relating to compensation plans and shares of common stock retained by us for the payment of the exercise price upon the exercise of warrants. Refer to Note 19 to our condensed consolidated financial statements for additional details on employee stock incentive plans and Note 24 to our consolidated financial statements in our 2012 Form 10-K for additional details on warrants issued.</w:t>
      </w:r>
    </w:p>
    <w:p>
      <w:pPr>
        <w:spacing w:after="0" w:line="18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520" w:type="dxa"/>
            <w:vAlign w:val="bottom"/>
            <w:gridSpan w:val="3"/>
            <w:vMerge w:val="restart"/>
          </w:tcPr>
          <w:p>
            <w:pPr>
              <w:ind w:left="4060"/>
              <w:spacing w:after="0"/>
              <w:rPr>
                <w:sz w:val="20"/>
                <w:szCs w:val="20"/>
                <w:color w:val="auto"/>
              </w:rPr>
            </w:pPr>
            <w:r>
              <w:rPr>
                <w:rFonts w:ascii="Arial" w:cs="Arial" w:eastAsia="Arial" w:hAnsi="Arial"/>
                <w:sz w:val="14"/>
                <w:szCs w:val="14"/>
                <w:b w:val="1"/>
                <w:bCs w:val="1"/>
                <w:color w:val="auto"/>
              </w:rPr>
              <w:t>Exhibit Name</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8520" w:type="dxa"/>
            <w:vAlign w:val="bottom"/>
            <w:gridSpan w:val="3"/>
            <w:vMerge w:val="continue"/>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10.1</w:t>
            </w:r>
          </w:p>
        </w:tc>
        <w:tc>
          <w:tcPr>
            <w:tcW w:w="4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General Motors Company Short Term Incentive Plan, as Amended August 19, 2013</w:t>
            </w: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10.2</w:t>
            </w:r>
          </w:p>
        </w:tc>
        <w:tc>
          <w:tcPr>
            <w:tcW w:w="420" w:type="dxa"/>
            <w:vAlign w:val="bottom"/>
          </w:tcPr>
          <w:p>
            <w:pPr>
              <w:spacing w:after="0"/>
              <w:rPr>
                <w:sz w:val="19"/>
                <w:szCs w:val="19"/>
                <w:color w:val="auto"/>
              </w:rPr>
            </w:pP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General Motors Company Salary Stock Plan, as Amended June 5, 2013</w:t>
            </w:r>
          </w:p>
        </w:tc>
        <w:tc>
          <w:tcPr>
            <w:tcW w:w="1940" w:type="dxa"/>
            <w:vAlign w:val="bottom"/>
          </w:tcPr>
          <w:p>
            <w:pPr>
              <w:ind w:left="3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10.3</w:t>
            </w:r>
          </w:p>
        </w:tc>
        <w:tc>
          <w:tcPr>
            <w:tcW w:w="4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General Motors Company 2009 Long-Term Incentive Plan, as Amended August 19, 2013</w:t>
            </w: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10.4</w:t>
            </w:r>
          </w:p>
        </w:tc>
        <w:tc>
          <w:tcPr>
            <w:tcW w:w="420" w:type="dxa"/>
            <w:vAlign w:val="bottom"/>
          </w:tcPr>
          <w:p>
            <w:pPr>
              <w:spacing w:after="0"/>
              <w:rPr>
                <w:sz w:val="19"/>
                <w:szCs w:val="19"/>
                <w:color w:val="auto"/>
              </w:rPr>
            </w:pP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General Motors Company Common Stock Prospectus for Salary Stock Plan and 2009 Long-Term Incentive Plan</w:t>
            </w:r>
          </w:p>
        </w:tc>
        <w:tc>
          <w:tcPr>
            <w:tcW w:w="1940" w:type="dxa"/>
            <w:vAlign w:val="bottom"/>
          </w:tcPr>
          <w:p>
            <w:pPr>
              <w:ind w:left="3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31.1</w:t>
            </w:r>
          </w:p>
        </w:tc>
        <w:tc>
          <w:tcPr>
            <w:tcW w:w="4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Section 302 Certification of the Chief Executive Officer</w:t>
            </w: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420" w:type="dxa"/>
            <w:vAlign w:val="bottom"/>
          </w:tcPr>
          <w:p>
            <w:pPr>
              <w:spacing w:after="0"/>
              <w:rPr>
                <w:sz w:val="19"/>
                <w:szCs w:val="19"/>
                <w:color w:val="auto"/>
              </w:rPr>
            </w:pP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Section 302 Certification of the Chief Financial Officer</w:t>
            </w:r>
          </w:p>
        </w:tc>
        <w:tc>
          <w:tcPr>
            <w:tcW w:w="1940" w:type="dxa"/>
            <w:vAlign w:val="bottom"/>
          </w:tcPr>
          <w:p>
            <w:pPr>
              <w:ind w:left="3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32</w:t>
            </w:r>
          </w:p>
        </w:tc>
        <w:tc>
          <w:tcPr>
            <w:tcW w:w="4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6"/>
              </w:rPr>
              <w:t>Certification Pursuant to 18 U.S.C. Section 1350, As Adopted Pursuant to Section 906 of the Sarbanes-Oxley Act of 2002</w:t>
            </w:r>
          </w:p>
        </w:tc>
        <w:tc>
          <w:tcPr>
            <w:tcW w:w="1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c>
          <w:tcPr>
            <w:tcW w:w="1940" w:type="dxa"/>
            <w:vAlign w:val="bottom"/>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40" w:type="dxa"/>
            <w:vAlign w:val="bottom"/>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8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Schema Document</w:t>
            </w:r>
          </w:p>
        </w:tc>
        <w:tc>
          <w:tcPr>
            <w:tcW w:w="1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 Document</w:t>
            </w:r>
          </w:p>
        </w:tc>
        <w:tc>
          <w:tcPr>
            <w:tcW w:w="1940" w:type="dxa"/>
            <w:vAlign w:val="bottom"/>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40" w:type="dxa"/>
            <w:vAlign w:val="bottom"/>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8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Definition Linkbase Document</w:t>
            </w:r>
          </w:p>
        </w:tc>
        <w:tc>
          <w:tcPr>
            <w:tcW w:w="1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 Document</w:t>
            </w:r>
          </w:p>
        </w:tc>
        <w:tc>
          <w:tcPr>
            <w:tcW w:w="1940" w:type="dxa"/>
            <w:vAlign w:val="bottom"/>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40" w:type="dxa"/>
            <w:vAlign w:val="bottom"/>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8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Presentation Linkbase Document</w:t>
            </w:r>
          </w:p>
        </w:tc>
        <w:tc>
          <w:tcPr>
            <w:tcW w:w="1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w w:val="84"/>
              </w:rPr>
              <w:t>________</w:t>
            </w:r>
          </w:p>
        </w:tc>
        <w:tc>
          <w:tcPr>
            <w:tcW w:w="4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57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S. Timko, Vice President, Controller and Chief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30, 2013</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341"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10.1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 SHORT TERM INCENTIVE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amended August 19, 2013</w:t>
      </w:r>
    </w:p>
    <w:p>
      <w:pPr>
        <w:spacing w:after="0" w:line="56" w:lineRule="exact"/>
        <w:rPr>
          <w:sz w:val="20"/>
          <w:szCs w:val="20"/>
          <w:color w:val="auto"/>
        </w:rPr>
      </w:pPr>
    </w:p>
    <w:p>
      <w:pPr>
        <w:jc w:val="both"/>
        <w:ind w:right="600" w:firstLine="332"/>
        <w:spacing w:after="0" w:line="253" w:lineRule="auto"/>
        <w:tabs>
          <w:tab w:leader="none" w:pos="5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purposes of the Plan are to reward performance and to incentivize Employees who contribute to the success of the business by making them participants in that success. Capitalized terms used in the Plan shall have the definitions set forth in Section 17 of the Plan.</w:t>
      </w:r>
    </w:p>
    <w:p>
      <w:pPr>
        <w:spacing w:after="0" w:line="294" w:lineRule="exact"/>
        <w:rPr>
          <w:sz w:val="20"/>
          <w:szCs w:val="20"/>
          <w:color w:val="auto"/>
        </w:rPr>
      </w:pPr>
    </w:p>
    <w:p>
      <w:pPr>
        <w:ind w:right="20" w:firstLine="324"/>
        <w:spacing w:after="0" w:line="288" w:lineRule="auto"/>
        <w:rPr>
          <w:sz w:val="20"/>
          <w:szCs w:val="20"/>
          <w:color w:val="auto"/>
        </w:rPr>
      </w:pPr>
      <w:r>
        <w:rPr>
          <w:rFonts w:ascii="Arial" w:cs="Arial" w:eastAsia="Arial" w:hAnsi="Arial"/>
          <w:sz w:val="19"/>
          <w:szCs w:val="19"/>
          <w:color w:val="auto"/>
        </w:rPr>
        <w:t>2(a) The Committee, as from time to time constituted pursuant to the Bylaws of the Company, may authorize Target Awards to Employees of the Company, Subsidiary or any other subsidiary or affiliate designated by the Committee. The Committee, in its sole discretion, shall establish targeted performance levels at which Target Awards may be earned. The Committee will establish minimum performance levels below which no award will be earned and will also establish corresponding maximum performance level(s) for which Target Awards may be adjusted upwards. The percentage of each Target Award that becomes a Final Award will be determined on the basis of the performance goals established and the performance achieved as well as the level of the Employee's individual performance during the period. The Committee shall establish the individual Target Awards and Final Awards for the Executive Operations Committee and any Executive Officers of the Company who are not Executive Operations Committee members. The Committee may delegate to an appropriate Executive Officer of the Company responsibility for determining, within the limits established by the Committee, individual Target Awards and Final Awards for Employees who are not Executive Operations Committee members or Executive Officers of the Company.</w:t>
      </w:r>
    </w:p>
    <w:p>
      <w:pPr>
        <w:spacing w:after="0" w:line="47" w:lineRule="exact"/>
        <w:rPr>
          <w:sz w:val="20"/>
          <w:szCs w:val="20"/>
          <w:color w:val="auto"/>
        </w:rPr>
      </w:pPr>
    </w:p>
    <w:p>
      <w:pPr>
        <w:ind w:right="20" w:firstLine="324"/>
        <w:spacing w:after="0" w:line="260" w:lineRule="auto"/>
        <w:rPr>
          <w:sz w:val="20"/>
          <w:szCs w:val="20"/>
          <w:color w:val="auto"/>
        </w:rPr>
      </w:pPr>
      <w:r>
        <w:rPr>
          <w:rFonts w:ascii="Arial" w:cs="Arial" w:eastAsia="Arial" w:hAnsi="Arial"/>
          <w:sz w:val="21"/>
          <w:szCs w:val="21"/>
          <w:color w:val="auto"/>
        </w:rPr>
        <w:t>Final Awards will be payable in cash as determined by the Committee, or if applicable, alternative payment arrangements may be approved to comply with the provisions of the Interim Final Rule and any determinations by the Special Master for TARP Executive Compensation and Section 409A of the Internal Revenue Code. If such arrangements require all or any portion of a Final Award to be delivered in shares of stock, such shares will be granted under the authorization conferred in Section 3(c) of the General Motors Company Long-Term Incentive Plan and shall not exceed the number of shares available under the approved Share reserve available to the Salary Stock Plan as amended June 5, 2013 and the General Motors Company 2009 Long-Term Incentive Plan as amended August 19, 2013.</w:t>
      </w:r>
    </w:p>
    <w:p>
      <w:pPr>
        <w:spacing w:after="0" w:line="73" w:lineRule="exact"/>
        <w:rPr>
          <w:sz w:val="20"/>
          <w:szCs w:val="20"/>
          <w:color w:val="auto"/>
        </w:rPr>
      </w:pPr>
    </w:p>
    <w:p>
      <w:pPr>
        <w:ind w:right="80" w:firstLine="324"/>
        <w:spacing w:after="0" w:line="290" w:lineRule="auto"/>
        <w:rPr>
          <w:sz w:val="20"/>
          <w:szCs w:val="20"/>
          <w:color w:val="auto"/>
        </w:rPr>
      </w:pPr>
      <w:r>
        <w:rPr>
          <w:rFonts w:ascii="Arial" w:cs="Arial" w:eastAsia="Arial" w:hAnsi="Arial"/>
          <w:sz w:val="19"/>
          <w:szCs w:val="19"/>
          <w:color w:val="auto"/>
        </w:rPr>
        <w:t>2(b) With respect to the performance levels to be established pursuant to paragraph 2(a), the specific measures shall be established by the Committee. In creating these measures, the Committee may establish the specific goals based upon or relating to one or more of the following business criteria: asset turnover, cash flow, contribution margin, cost objectives, cost reduction, earnings before interest and taxes (EBIT), earnings before interest, taxes, depreciation and amortization (EBITDA), earnings per share, economic value added, free cash flow, increase in customer base, initial public offering, inventory turnover, liquidity, market share, net income, net income margin, operating cash flow, operating profit margin, pre-tax income, productivity, profit margin, quality, return on assets, return on net assets, return on capital, return on equity, revenue, revenue growth, and/or warranty. Each business criterion may be expressed in absolute terms or relative to the performance of other companies or to an index.</w:t>
      </w:r>
    </w:p>
    <w:p>
      <w:pPr>
        <w:spacing w:after="0" w:line="49" w:lineRule="exact"/>
        <w:rPr>
          <w:sz w:val="20"/>
          <w:szCs w:val="20"/>
          <w:color w:val="auto"/>
        </w:rPr>
      </w:pPr>
    </w:p>
    <w:p>
      <w:pPr>
        <w:ind w:right="40" w:firstLine="324"/>
        <w:spacing w:after="0" w:line="271" w:lineRule="auto"/>
        <w:rPr>
          <w:sz w:val="20"/>
          <w:szCs w:val="20"/>
          <w:color w:val="auto"/>
        </w:rPr>
      </w:pPr>
      <w:r>
        <w:rPr>
          <w:rFonts w:ascii="Arial" w:cs="Arial" w:eastAsia="Arial" w:hAnsi="Arial"/>
          <w:sz w:val="21"/>
          <w:szCs w:val="21"/>
          <w:color w:val="auto"/>
        </w:rPr>
        <w:t>2(c) If any event occurs during a performance period which, in the sole discretion of the Committee, requires changes to preserve the incentive features of this Plan, the Committee may make appropriate adjustments. Such events may include changes in accounting principles, extraordinary items or changes in tax laws affecting net income.</w:t>
      </w:r>
    </w:p>
    <w:p>
      <w:pPr>
        <w:spacing w:after="0" w:line="60"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2(d) Except as otherwise provided in paragraph 6, the percentage of each Target Award to be distributed to an Employee as a Final Award shall be determined by the Committee on the basis of the performance levels established for such award and the performance of the applicable enterprise or specified portion thereof, as the case may be, during the performance period. Following determination of</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PERCOMPC\Plan Language\Short Term Incentive Plan-as amended 8-19-13 FINAL</w:t>
      </w:r>
    </w:p>
    <w:p>
      <w:pPr>
        <w:sectPr>
          <w:pgSz w:w="11900" w:h="16838" w:orient="portrait"/>
          <w:cols w:equalWidth="0" w:num="1">
            <w:col w:w="11420"/>
          </w:cols>
          <w:pgMar w:left="240" w:top="630" w:right="239" w:bottom="1440" w:gutter="0" w:footer="0" w:header="0"/>
        </w:sectPr>
      </w:pPr>
    </w:p>
    <w:bookmarkStart w:id="63" w:name="page64"/>
    <w:bookmarkEnd w:id="63"/>
    <w:p>
      <w:pPr>
        <w:ind w:right="100"/>
        <w:spacing w:after="0" w:line="261" w:lineRule="auto"/>
        <w:rPr>
          <w:sz w:val="20"/>
          <w:szCs w:val="20"/>
          <w:color w:val="auto"/>
        </w:rPr>
      </w:pPr>
      <w:r>
        <w:rPr>
          <w:rFonts w:ascii="Arial" w:cs="Arial" w:eastAsia="Arial" w:hAnsi="Arial"/>
          <w:sz w:val="21"/>
          <w:szCs w:val="21"/>
          <w:color w:val="auto"/>
        </w:rPr>
        <w:t>the payout percentage to be applied to the Target Award, the Committee may, upon the recommendation of the Chief Executive Officer, make further adjustments to awards for Officers of the Company to reflect individual performance during such period, which for Covered Officers will involve only negative discretion. Adjustments to Target Awards to Employees who are not Covered Officers of the Company may be adjusted upward or downward to reflect individual performance not to exceed the maximum funding approved by the Committee. Any Target Award, as determined and adjusted pursuant to this paragraph 2(d) and paragraph 6, is herein referred to as a “Final Award.”</w:t>
      </w:r>
    </w:p>
    <w:p>
      <w:pPr>
        <w:spacing w:after="0" w:line="72" w:lineRule="exact"/>
        <w:rPr>
          <w:sz w:val="20"/>
          <w:szCs w:val="20"/>
          <w:color w:val="auto"/>
        </w:rPr>
      </w:pPr>
    </w:p>
    <w:p>
      <w:pPr>
        <w:ind w:right="220" w:firstLine="324"/>
        <w:spacing w:after="0" w:line="253" w:lineRule="auto"/>
        <w:rPr>
          <w:sz w:val="20"/>
          <w:szCs w:val="20"/>
          <w:color w:val="auto"/>
        </w:rPr>
      </w:pPr>
      <w:r>
        <w:rPr>
          <w:rFonts w:ascii="Arial" w:cs="Arial" w:eastAsia="Arial" w:hAnsi="Arial"/>
          <w:sz w:val="22"/>
          <w:szCs w:val="22"/>
          <w:color w:val="auto"/>
        </w:rPr>
        <w:t>2(e) For purposes of qualifying performance based compensation under Section 162m of the Code, the Plan limits the maximum individual Final Award under the Plan to $7.5 million for any individual Participant. The Committee shall certify Final Awards earned by Covered Officers in writing prior to any award payments.</w:t>
      </w:r>
    </w:p>
    <w:p>
      <w:pPr>
        <w:spacing w:after="0" w:line="78" w:lineRule="exact"/>
        <w:rPr>
          <w:sz w:val="20"/>
          <w:szCs w:val="20"/>
          <w:color w:val="auto"/>
        </w:rPr>
      </w:pPr>
    </w:p>
    <w:p>
      <w:pPr>
        <w:ind w:firstLine="332"/>
        <w:spacing w:after="0" w:line="312"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Committee shall, among other things, determine when and to what extent individuals otherwise eligible for consideration shall become or cease to be, as the case may be, Employees for purposes of this Plan and shall determine when, and under what circumstances, any individual shall be considered to have terminated employment for purposes of this Plan.</w:t>
      </w:r>
    </w:p>
    <w:p>
      <w:pPr>
        <w:spacing w:after="0" w:line="2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9"/>
          <w:szCs w:val="19"/>
          <w:color w:val="auto"/>
        </w:rPr>
        <w:t>4(a) Final Awards shall be paid as determined by the Committee under Section 2(a). Target Awards may become Final Awards, as determined by the Committee, in the year following the year Target Awards are granted. Final Awards shall vest and be paid in such following year, unless subject to a vesting schedule established by the Committee. Except as otherwise provided in this Plan, no Final Award (or portion thereof subject to a vesting schedule) shall be paid prior to vesting and the unpaid portion of any Final Award shall be subject to the provisions of paragraph 6. The Committee shall have the authority to modify a vesting schedule as may be necessary or appropriate in order to implement the purposes of this Plan. As a condition to the vesting of all or any portion of a Final Award the Committee may, among other things, require an Employee to enter into such agreements as the Committee considers appropriate and in the best interests of the Company.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4(b) No Employee shall have any rights to be granted a Target Award.</w:t>
      </w:r>
    </w:p>
    <w:p>
      <w:pPr>
        <w:spacing w:after="0" w:line="112" w:lineRule="exact"/>
        <w:rPr>
          <w:sz w:val="20"/>
          <w:szCs w:val="20"/>
          <w:color w:val="auto"/>
        </w:rPr>
      </w:pPr>
    </w:p>
    <w:p>
      <w:pPr>
        <w:ind w:right="440" w:firstLine="324"/>
        <w:spacing w:after="0" w:line="263" w:lineRule="auto"/>
        <w:rPr>
          <w:sz w:val="20"/>
          <w:szCs w:val="20"/>
          <w:color w:val="auto"/>
        </w:rPr>
      </w:pPr>
      <w:r>
        <w:rPr>
          <w:rFonts w:ascii="Arial" w:cs="Arial" w:eastAsia="Arial" w:hAnsi="Arial"/>
          <w:sz w:val="22"/>
          <w:szCs w:val="22"/>
          <w:color w:val="auto"/>
        </w:rPr>
        <w:t>5(a) An Employee shall be eligible for consideration for a Target Award based on such criteria as the Committee shall from time to time determine.</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21"/>
          <w:szCs w:val="21"/>
          <w:color w:val="auto"/>
        </w:rPr>
        <w:t>5(b) No Target Award shall be granted to any Director of the Company who is not an Employee at the date of grant.</w:t>
      </w:r>
    </w:p>
    <w:p>
      <w:pPr>
        <w:spacing w:after="0" w:line="123" w:lineRule="exact"/>
        <w:rPr>
          <w:sz w:val="20"/>
          <w:szCs w:val="20"/>
          <w:color w:val="auto"/>
        </w:rPr>
      </w:pPr>
    </w:p>
    <w:p>
      <w:pPr>
        <w:ind w:right="60" w:firstLine="324"/>
        <w:spacing w:after="0" w:line="286" w:lineRule="auto"/>
        <w:rPr>
          <w:sz w:val="20"/>
          <w:szCs w:val="20"/>
          <w:color w:val="auto"/>
        </w:rPr>
      </w:pPr>
      <w:r>
        <w:rPr>
          <w:rFonts w:ascii="Arial" w:cs="Arial" w:eastAsia="Arial" w:hAnsi="Arial"/>
          <w:sz w:val="19"/>
          <w:szCs w:val="19"/>
          <w:color w:val="auto"/>
        </w:rPr>
        <w:t>6(a) Payment of any Final Award (or portion thereof) to a Participant shall be subject to the satisfaction of the conditions precedent that such Participant: (i) continue to render services as an Employee (except as provided in Sections 6(c), 6(d) or 6(e) or to the extent this condition is waived by the Committee), (ii) refrain from engaging in any activity which, in the opinion of the Chief Executive Officer or Senior Vice President, Global Human Resources, is in any manner inimical or in any way contrary to the best interests of the Company (For purposes of this provision, the determination of whether an action will cause damage to the Company, or is inimical or in any way contrary to the best interests of the Company shall be made in the sole discretion of the Chief Executive Officer or Senior Vice President, Global Human Resources), (iii) will not, for a period of 12 months following any voluntary termination of employment, directly or indirectly, knowingly induce any Employee or employee of an affiliate of the Company to leave their employment for participation, directly or indirectly, with any existing or future business venture associated with such individual, and (iv) furnish to the Company such information with respect to the satisfaction of the foregoing conditions precedent as the Committee shall reasonably request. Except as otherwise provided under this Section 6, the failure by any Participant to satisfy such conditions precedent shall result in the immediate cancellation of the unvested portion of any Final Award previously made to such Participant and such Participant shall not be entitled to receive any consideration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99"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in respect of such cancellation.</w:t>
      </w:r>
    </w:p>
    <w:p>
      <w:pPr>
        <w:spacing w:after="0" w:line="112"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6(b) If any Participant's employment terminates prior to age 55 or older with ten or more years of service or age 62 for any reason except in the event of death other than as provided below in this Section 6 all awards previously made to such Participant that are not vested shall be cancelled as of the date of such termination of employment, and such Employee shall not be entitled to receive any consideration in respect of such cancellation.</w:t>
      </w:r>
    </w:p>
    <w:p>
      <w:pPr>
        <w:spacing w:after="0" w:line="8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6(c) If employment of an Employee is terminated due to his or her death, Target Awards will be subject to adjustment for final Corporate and individual performance and payable in cash immediately following determination of the Final Award. If employment is terminated due to his or her death after determination of the Final Award, Final Awards not currently vested will vest and become immediately payable/deliverable to the decedent's beneficiary(s).</w:t>
      </w:r>
    </w:p>
    <w:p>
      <w:pPr>
        <w:spacing w:after="0" w:line="80" w:lineRule="exact"/>
        <w:rPr>
          <w:sz w:val="20"/>
          <w:szCs w:val="20"/>
          <w:color w:val="auto"/>
        </w:rPr>
      </w:pPr>
    </w:p>
    <w:p>
      <w:pPr>
        <w:jc w:val="center"/>
        <w:spacing w:after="0" w:line="341" w:lineRule="auto"/>
        <w:rPr>
          <w:sz w:val="20"/>
          <w:szCs w:val="20"/>
          <w:color w:val="auto"/>
        </w:rPr>
      </w:pPr>
      <w:r>
        <w:rPr>
          <w:rFonts w:ascii="Arial" w:cs="Arial" w:eastAsia="Arial" w:hAnsi="Arial"/>
          <w:sz w:val="19"/>
          <w:szCs w:val="19"/>
          <w:color w:val="auto"/>
        </w:rPr>
        <w:t>6(d) A qualifying leave of absence will not constitute a termination of employment. A Participant's absence or leave shall be deemed to be a qualifying leave of absence if approved by the Committee in its sole discretion. Target Awards will continue to vest.</w:t>
      </w:r>
    </w:p>
    <w:p>
      <w:pPr>
        <w:ind w:right="180" w:firstLine="324"/>
        <w:spacing w:after="0" w:line="261" w:lineRule="auto"/>
        <w:rPr>
          <w:sz w:val="20"/>
          <w:szCs w:val="20"/>
          <w:color w:val="auto"/>
        </w:rPr>
      </w:pPr>
      <w:r>
        <w:rPr>
          <w:rFonts w:ascii="Arial" w:cs="Arial" w:eastAsia="Arial" w:hAnsi="Arial"/>
          <w:sz w:val="21"/>
          <w:szCs w:val="21"/>
          <w:color w:val="auto"/>
        </w:rPr>
        <w:t>6(e) If a Participant voluntarily terminates employment at age 55 or older with ten or more years of service or age 62 or older during the performance period, the Target Award will be prorated to date of termination based on months in active service during the performance period and be subject to adjustment for final Corporate and individual performance and Final Awards will be payable on the originally scheduled payment/delivery date. The condition precedent of continuing service (6(a)(i)) will be waived and vesting of all undelivered portions of the Participant's Final Award will be accelerated and payment will be made on the originally scheduled payment/delivery date.</w:t>
      </w:r>
    </w:p>
    <w:p>
      <w:pPr>
        <w:spacing w:after="0" w:line="72" w:lineRule="exact"/>
        <w:rPr>
          <w:sz w:val="20"/>
          <w:szCs w:val="20"/>
          <w:color w:val="auto"/>
        </w:rPr>
      </w:pPr>
    </w:p>
    <w:p>
      <w:pPr>
        <w:ind w:right="60" w:firstLine="332"/>
        <w:spacing w:after="0" w:line="297"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Subject to paragraph 6, all Final Awards which have vested in accordance with the provisions of this Plan shall be paid in accordance with Section 2(a). If the Company shall have any unpaid claims against a Participant arising out of or in connection with the Participant's employment with the Company, prior to payment of a Final Award, the Company, at its discretion, may offset against a Final Award up to $5,000 per year of any unpaid claims. Upon payment of a Final Award under Section 2(a) such claims may be offset in total. Such claims may include, but are not limited to, unpaid taxes or corporate business credit card charges.</w:t>
      </w:r>
    </w:p>
    <w:p>
      <w:pPr>
        <w:spacing w:after="0" w:line="39" w:lineRule="exact"/>
        <w:rPr>
          <w:rFonts w:ascii="Arial" w:cs="Arial" w:eastAsia="Arial" w:hAnsi="Arial"/>
          <w:sz w:val="19"/>
          <w:szCs w:val="19"/>
          <w:color w:val="auto"/>
        </w:rPr>
      </w:pPr>
    </w:p>
    <w:p>
      <w:pPr>
        <w:ind w:right="20" w:firstLine="332"/>
        <w:spacing w:after="0" w:line="248" w:lineRule="auto"/>
        <w:tabs>
          <w:tab w:leader="none" w:pos="5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the extent that any Participant acquires a right to receive payments or distributions under this Plan, such right shall be no greater than the right of a general unsecured creditor of the Company. All payments and distributions to be made hereunder shall be paid from the general assets of the Company. Nothing contained in this Plan, and no action taken pursuant to its provisions, shall create or be construed to create a trust of any kind or a fiduciary relationship between the Company and Participant or any other person.</w:t>
      </w:r>
    </w:p>
    <w:p>
      <w:pPr>
        <w:spacing w:after="0" w:line="84" w:lineRule="exact"/>
        <w:rPr>
          <w:rFonts w:ascii="Arial" w:cs="Arial" w:eastAsia="Arial" w:hAnsi="Arial"/>
          <w:sz w:val="22"/>
          <w:szCs w:val="22"/>
          <w:color w:val="auto"/>
        </w:rPr>
      </w:pPr>
    </w:p>
    <w:p>
      <w:pPr>
        <w:ind w:left="540" w:hanging="208"/>
        <w:spacing w:after="0"/>
        <w:tabs>
          <w:tab w:leader="none" w:pos="5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expenses of administering this Plan shall be borne by the Company.</w:t>
      </w:r>
    </w:p>
    <w:p>
      <w:pPr>
        <w:spacing w:after="0" w:line="111" w:lineRule="exact"/>
        <w:rPr>
          <w:rFonts w:ascii="Arial" w:cs="Arial" w:eastAsia="Arial" w:hAnsi="Arial"/>
          <w:sz w:val="22"/>
          <w:szCs w:val="22"/>
          <w:color w:val="auto"/>
        </w:rPr>
      </w:pPr>
    </w:p>
    <w:p>
      <w:pPr>
        <w:ind w:right="20" w:firstLine="332"/>
        <w:spacing w:after="0" w:line="289" w:lineRule="auto"/>
        <w:tabs>
          <w:tab w:leader="none" w:pos="648"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Except as otherwise determined by the Committee, with the exception of transfer by will or the laws of descent and distribution, no Target or Final Award shall be assignable or transferable and, during the lifetime of the Participant, any payment in respect of any Final Award shall be made only to the Participant. A Participant shall designate a beneficiary or beneficiaries in a manner prescribed by the Company to receive all or part of the amounts to be distributed to the Participant under this Plan in case of death. A designation of beneficiary may be replaced by a new designation or may be revoked by the Participant at any time. In case of the Participant's death, the amounts distributable to the Participant under this Plan with respect to which a designation of beneficiary has been made (to the extent it is valid and enforceable under applicable law) shall be distributed in accordance with this Plan to the designated beneficiary or beneficiaries. The amount distributable to a Participant upon death and not subject to such a designation shall be distributed to the Participant's estate or legal representative. If there is any question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99" w:right="259" w:bottom="1440" w:gutter="0" w:footer="0" w:header="0"/>
        </w:sectPr>
      </w:pPr>
    </w:p>
    <w:bookmarkStart w:id="65" w:name="page66"/>
    <w:bookmarkEnd w:id="65"/>
    <w:p>
      <w:pPr>
        <w:ind w:right="20"/>
        <w:spacing w:after="0" w:line="341" w:lineRule="auto"/>
        <w:rPr>
          <w:sz w:val="20"/>
          <w:szCs w:val="20"/>
          <w:color w:val="auto"/>
        </w:rPr>
      </w:pPr>
      <w:r>
        <w:rPr>
          <w:rFonts w:ascii="Arial" w:cs="Arial" w:eastAsia="Arial" w:hAnsi="Arial"/>
          <w:sz w:val="19"/>
          <w:szCs w:val="19"/>
          <w:color w:val="auto"/>
        </w:rPr>
        <w:t>to the legal right of any beneficiary to receive a distribution under this Plan, the amount in question may be paid to the estate of the Participant, in which event the Company shall have no further liability to any party with respect to such amount.</w:t>
      </w:r>
    </w:p>
    <w:p>
      <w:pPr>
        <w:ind w:right="60" w:firstLine="332"/>
        <w:spacing w:after="0" w:line="246" w:lineRule="auto"/>
        <w:tabs>
          <w:tab w:leader="none" w:pos="6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Full power and authority to construe and interpret this Plan shall be vested in the Committee. To the extent determined by the Committee, administration of this Plan, including, but not limited to the selection of Participants in this Plan may be delegated to the Chief Executive Officer; provided, however, the Committee shall not delegate to the Chief Executive Officer any powers, determinations, or responsibilities with respect to Executive Officers of the Company. Any person who accepts any award hereunder agrees to accept as final, conclusive, and binding all determinations of the Committee. The Committee shall have the right, in the case of Participants not employed in the United States, to vary from the provisions of this Plan in order to preserve the incentive features of this Plan.</w:t>
      </w:r>
    </w:p>
    <w:p>
      <w:pPr>
        <w:spacing w:after="0" w:line="89" w:lineRule="exact"/>
        <w:rPr>
          <w:rFonts w:ascii="Arial" w:cs="Arial" w:eastAsia="Arial" w:hAnsi="Arial"/>
          <w:sz w:val="22"/>
          <w:szCs w:val="22"/>
          <w:color w:val="auto"/>
        </w:rPr>
      </w:pPr>
    </w:p>
    <w:p>
      <w:pPr>
        <w:ind w:firstLine="332"/>
        <w:spacing w:after="0" w:line="248" w:lineRule="auto"/>
        <w:tabs>
          <w:tab w:leader="none" w:pos="648"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Notwithstanding any provision of this Plan, no Plan elections, modifications or distributions will be allowed or implemented if they would cause the Participant to be subject to tax (including interest and penalties) under Section 409A of the Code. The settlement of Awards hereunder may be delayed up to six months following a Participant's termination of employment if the Participant is a “specified employee” for purposes of Section 409A and such delay is necessary to avoid the imposition of tax (including interest and penalties) under Section 409A.</w:t>
      </w:r>
    </w:p>
    <w:p>
      <w:pPr>
        <w:spacing w:after="0" w:line="84" w:lineRule="exact"/>
        <w:rPr>
          <w:rFonts w:ascii="Arial" w:cs="Arial" w:eastAsia="Arial" w:hAnsi="Arial"/>
          <w:sz w:val="22"/>
          <w:szCs w:val="22"/>
          <w:color w:val="auto"/>
        </w:rPr>
      </w:pPr>
    </w:p>
    <w:p>
      <w:pPr>
        <w:ind w:right="100" w:firstLine="332"/>
        <w:spacing w:after="0" w:line="247" w:lineRule="auto"/>
        <w:tabs>
          <w:tab w:leader="none" w:pos="648"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Notwithstanding anything in this Plan to the contrary, any award made to a Participant under this Plan is subject to being called for repayment to the Company in any situation where the Board of Directors or a committee thereof determines that the Company's Policy on Recoupment of Compensation requires such repayment, or that repayment is otherwise required by the rules of any national securities exchange on which the stock of the Company may be listed. The determination regarding repayment under this provision shall be within the sole discretion of the Committee and shall be final and binding on the Participant and the Company.</w:t>
      </w:r>
    </w:p>
    <w:p>
      <w:pPr>
        <w:spacing w:after="0" w:line="85" w:lineRule="exact"/>
        <w:rPr>
          <w:rFonts w:ascii="Arial" w:cs="Arial" w:eastAsia="Arial" w:hAnsi="Arial"/>
          <w:sz w:val="22"/>
          <w:szCs w:val="22"/>
          <w:color w:val="auto"/>
        </w:rPr>
      </w:pPr>
    </w:p>
    <w:p>
      <w:pPr>
        <w:ind w:firstLine="332"/>
        <w:spacing w:after="0" w:line="294" w:lineRule="auto"/>
        <w:tabs>
          <w:tab w:leader="none" w:pos="6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Committee, in its sole discretion, may, at any time, amend, modify, suspend, or terminate this Plan provided that no such action shall (a) adversely affect the rights of an Employee with respect to previous Target Awards or Final Awards under this Plan (except as otherwise permitted under paragraphs 2(d), 4, or 6), and this Plan, as constituted prior to such action, shall continue to apply with respect to Target Awards previously granted and for which Final Awards have not been paid, or (b) without the approval of the stockholders, (i) increase the limit on the maximum amount of Final Awards provided in paragraph 2(e), or (ii) render any Director of the Company who is not an Employee at the date of grant eligible to be granted a Target Award.</w:t>
      </w:r>
    </w:p>
    <w:p>
      <w:pPr>
        <w:spacing w:after="0" w:line="41" w:lineRule="exact"/>
        <w:rPr>
          <w:rFonts w:ascii="Arial" w:cs="Arial" w:eastAsia="Arial" w:hAnsi="Arial"/>
          <w:sz w:val="19"/>
          <w:szCs w:val="19"/>
          <w:color w:val="auto"/>
        </w:rPr>
      </w:pPr>
    </w:p>
    <w:p>
      <w:pPr>
        <w:ind w:right="40" w:firstLine="332"/>
        <w:spacing w:after="0" w:line="289" w:lineRule="auto"/>
        <w:tabs>
          <w:tab w:leader="none" w:pos="6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Every right of action by, or on behalf of, the Company or by any stockholder against any past, present, or future member of the Board of Directors, officer, or Employee of the Company or its subsidiaries arising out of or in connection with this Plan shall, irrespective of the place where action may be brought and irrespective of the place of residence of any such Director, Officer, or Employee, cease and be barred by the expiration of three years from the date of the act or omission in respect of which such right of action arises. Any and all right of action by any Employee (past, present, or future) against the Company arising out of or in connection with this Plan shall, irrespective of the place where an action may be brought, cease and be barred by the expiration of three years from the date of the act or omission in respect of which such right of action arises. This Plan and all determinations made and actions taken pursuant hereto shall be governed by the laws of the State of Delaware, without regard to the conflicts of law provisions thereof, and construed accordingly.</w:t>
      </w:r>
    </w:p>
    <w:p>
      <w:pPr>
        <w:spacing w:after="0" w:line="49" w:lineRule="exact"/>
        <w:rPr>
          <w:rFonts w:ascii="Arial" w:cs="Arial" w:eastAsia="Arial" w:hAnsi="Arial"/>
          <w:sz w:val="19"/>
          <w:szCs w:val="19"/>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This Plan shall be effective as of January 1, 2010.</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Definitions. As used in the Plan, the following terms shall have the meanings set forth below:</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60"/>
          </w:cols>
          <w:pgMar w:left="240" w:top="699" w:right="299" w:bottom="1440" w:gutter="0" w:footer="0" w:header="0"/>
        </w:sectPr>
      </w:pPr>
    </w:p>
    <w:bookmarkStart w:id="66" w:name="page67"/>
    <w:bookmarkEnd w:id="66"/>
    <w:p>
      <w:pPr>
        <w:ind w:left="328" w:hanging="328"/>
        <w:spacing w:after="0"/>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1" w:lineRule="exact"/>
        <w:rPr>
          <w:rFonts w:ascii="Arial" w:cs="Arial" w:eastAsia="Arial" w:hAnsi="Arial"/>
          <w:sz w:val="22"/>
          <w:szCs w:val="22"/>
          <w:color w:val="auto"/>
        </w:rPr>
      </w:pPr>
    </w:p>
    <w:p>
      <w:pPr>
        <w:ind w:left="328" w:hanging="328"/>
        <w:spacing w:after="0"/>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“Chief Executive Officer” shall mean the Chief Executive Officer of the Company.</w:t>
      </w:r>
    </w:p>
    <w:p>
      <w:pPr>
        <w:spacing w:after="0" w:line="242" w:lineRule="exact"/>
        <w:rPr>
          <w:rFonts w:ascii="Arial" w:cs="Arial" w:eastAsia="Arial" w:hAnsi="Arial"/>
          <w:sz w:val="22"/>
          <w:szCs w:val="22"/>
          <w:color w:val="auto"/>
        </w:rPr>
      </w:pPr>
    </w:p>
    <w:p>
      <w:pPr>
        <w:ind w:left="328" w:right="200" w:hanging="328"/>
        <w:spacing w:after="0" w:line="263" w:lineRule="auto"/>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 and any successor thereto, and any reference to any section of the Code shall also include any successor provision thereto.</w:t>
      </w:r>
    </w:p>
    <w:p>
      <w:pPr>
        <w:spacing w:after="0" w:line="215" w:lineRule="exact"/>
        <w:rPr>
          <w:rFonts w:ascii="Arial" w:cs="Arial" w:eastAsia="Arial" w:hAnsi="Arial"/>
          <w:sz w:val="22"/>
          <w:szCs w:val="22"/>
          <w:color w:val="auto"/>
        </w:rPr>
      </w:pPr>
    </w:p>
    <w:p>
      <w:pPr>
        <w:ind w:left="328" w:right="140" w:hanging="328"/>
        <w:spacing w:after="0" w:line="263" w:lineRule="auto"/>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“Committee” shall mean the Executive Compensation Committee of the Board, its named successor, or such other persons or committee to whom the Board has delegated any authority, as may be appropriate.</w:t>
      </w:r>
    </w:p>
    <w:p>
      <w:pPr>
        <w:spacing w:after="0" w:line="215" w:lineRule="exact"/>
        <w:rPr>
          <w:rFonts w:ascii="Arial" w:cs="Arial" w:eastAsia="Arial" w:hAnsi="Arial"/>
          <w:sz w:val="22"/>
          <w:szCs w:val="22"/>
          <w:color w:val="auto"/>
        </w:rPr>
      </w:pPr>
    </w:p>
    <w:p>
      <w:pPr>
        <w:ind w:left="328" w:hanging="328"/>
        <w:spacing w:after="0"/>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“Company” shall mean General Motors Company, a Delaware Company, or its successor.</w:t>
      </w:r>
    </w:p>
    <w:p>
      <w:pPr>
        <w:spacing w:after="0" w:line="260" w:lineRule="exact"/>
        <w:rPr>
          <w:rFonts w:ascii="Arial" w:cs="Arial" w:eastAsia="Arial" w:hAnsi="Arial"/>
          <w:sz w:val="22"/>
          <w:szCs w:val="22"/>
          <w:color w:val="auto"/>
        </w:rPr>
      </w:pPr>
    </w:p>
    <w:p>
      <w:pPr>
        <w:jc w:val="both"/>
        <w:ind w:left="328" w:right="260" w:hanging="328"/>
        <w:spacing w:after="0" w:line="312" w:lineRule="auto"/>
        <w:tabs>
          <w:tab w:leader="none" w:pos="328"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“Covered Officer” shall mean any individual whose compensation in the year of expected payment of an award, or in the year in which the Company will claim a tax deduction in respect of such individual's award thereunder, will be subject to the provisions of Section 162(m) of the Internal Revenue Code, as amended, as determined by the Committee.</w:t>
      </w:r>
    </w:p>
    <w:p>
      <w:pPr>
        <w:spacing w:after="0" w:line="174" w:lineRule="exact"/>
        <w:rPr>
          <w:rFonts w:ascii="Arial" w:cs="Arial" w:eastAsia="Arial" w:hAnsi="Arial"/>
          <w:sz w:val="19"/>
          <w:szCs w:val="19"/>
          <w:color w:val="auto"/>
        </w:rPr>
      </w:pPr>
    </w:p>
    <w:p>
      <w:pPr>
        <w:ind w:left="328" w:hanging="328"/>
        <w:spacing w:after="0"/>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“Director” shall mean a member of the Board of Directors of the Company</w:t>
      </w:r>
    </w:p>
    <w:p>
      <w:pPr>
        <w:spacing w:after="0" w:line="260" w:lineRule="exact"/>
        <w:rPr>
          <w:rFonts w:ascii="Arial" w:cs="Arial" w:eastAsia="Arial" w:hAnsi="Arial"/>
          <w:sz w:val="22"/>
          <w:szCs w:val="22"/>
          <w:color w:val="auto"/>
        </w:rPr>
      </w:pPr>
    </w:p>
    <w:p>
      <w:pPr>
        <w:ind w:left="328" w:right="140" w:hanging="328"/>
        <w:spacing w:after="0" w:line="253" w:lineRule="auto"/>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“Disability” shall mean the Participant is unable to engage in any gainful activity by reason of any medically determinable physical or mental impairment that can be expected to result in death or can be expected to last for a continuous period of not less than 12 months.</w:t>
      </w:r>
    </w:p>
    <w:p>
      <w:pPr>
        <w:spacing w:after="0" w:line="226" w:lineRule="exact"/>
        <w:rPr>
          <w:rFonts w:ascii="Arial" w:cs="Arial" w:eastAsia="Arial" w:hAnsi="Arial"/>
          <w:sz w:val="22"/>
          <w:szCs w:val="22"/>
          <w:color w:val="auto"/>
        </w:rPr>
      </w:pPr>
    </w:p>
    <w:p>
      <w:pPr>
        <w:ind w:left="328" w:hanging="328"/>
        <w:spacing w:after="0"/>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“Employee” shall mean any individual who is employed by the Company or any Subsidiary.</w:t>
      </w:r>
    </w:p>
    <w:p>
      <w:pPr>
        <w:spacing w:after="0" w:line="260" w:lineRule="exact"/>
        <w:rPr>
          <w:rFonts w:ascii="Arial" w:cs="Arial" w:eastAsia="Arial" w:hAnsi="Arial"/>
          <w:sz w:val="22"/>
          <w:szCs w:val="22"/>
          <w:color w:val="auto"/>
        </w:rPr>
      </w:pPr>
    </w:p>
    <w:p>
      <w:pPr>
        <w:ind w:left="328" w:right="460" w:hanging="328"/>
        <w:spacing w:after="0" w:line="263" w:lineRule="auto"/>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“Executive Operations Committee” shall mean the Executive Committee or comparable management leadership group appointed by the Board or the Chief Executive Officer of the Company.</w:t>
      </w:r>
    </w:p>
    <w:p>
      <w:pPr>
        <w:spacing w:after="0" w:line="215" w:lineRule="exact"/>
        <w:rPr>
          <w:rFonts w:ascii="Arial" w:cs="Arial" w:eastAsia="Arial" w:hAnsi="Arial"/>
          <w:sz w:val="22"/>
          <w:szCs w:val="22"/>
          <w:color w:val="auto"/>
        </w:rPr>
      </w:pPr>
    </w:p>
    <w:p>
      <w:pPr>
        <w:ind w:left="328" w:hanging="328"/>
        <w:spacing w:after="0" w:line="343" w:lineRule="auto"/>
        <w:tabs>
          <w:tab w:leader="none" w:pos="328"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“Executive Officer” shall mean any Participant required to provide periodic statements of beneficial ownership of Company equity securities as an executive officer of the Company under Section 16(a) of the Securities Exchange Act of 1934.</w:t>
      </w:r>
    </w:p>
    <w:p>
      <w:pPr>
        <w:spacing w:after="0" w:line="145" w:lineRule="exact"/>
        <w:rPr>
          <w:rFonts w:ascii="Arial" w:cs="Arial" w:eastAsia="Arial" w:hAnsi="Arial"/>
          <w:sz w:val="19"/>
          <w:szCs w:val="19"/>
          <w:color w:val="auto"/>
        </w:rPr>
      </w:pPr>
    </w:p>
    <w:p>
      <w:pPr>
        <w:ind w:left="328" w:right="480" w:hanging="328"/>
        <w:spacing w:after="0" w:line="343" w:lineRule="auto"/>
        <w:tabs>
          <w:tab w:leader="none" w:pos="328" w:val="left"/>
        </w:tabs>
        <w:numPr>
          <w:ilvl w:val="0"/>
          <w:numId w:val="28"/>
        </w:numPr>
        <w:rPr>
          <w:rFonts w:ascii="Arial" w:cs="Arial" w:eastAsia="Arial" w:hAnsi="Arial"/>
          <w:sz w:val="19"/>
          <w:szCs w:val="19"/>
          <w:color w:val="auto"/>
        </w:rPr>
      </w:pPr>
      <w:r>
        <w:rPr>
          <w:rFonts w:ascii="Arial" w:cs="Arial" w:eastAsia="Arial" w:hAnsi="Arial"/>
          <w:sz w:val="19"/>
          <w:szCs w:val="19"/>
          <w:color w:val="auto"/>
        </w:rPr>
        <w:t>“Final Award” shall mean the amount approved by the Committee for payment to the Participant which shall mean the individual Target Award as adjusted for Corporate performance and, if applicable, individual performance.</w:t>
      </w:r>
    </w:p>
    <w:p>
      <w:pPr>
        <w:spacing w:after="0" w:line="145" w:lineRule="exact"/>
        <w:rPr>
          <w:rFonts w:ascii="Arial" w:cs="Arial" w:eastAsia="Arial" w:hAnsi="Arial"/>
          <w:sz w:val="19"/>
          <w:szCs w:val="19"/>
          <w:color w:val="auto"/>
        </w:rPr>
      </w:pPr>
    </w:p>
    <w:p>
      <w:pPr>
        <w:ind w:left="328" w:hanging="328"/>
        <w:spacing w:after="0"/>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“Participant” shall mean an Employee who receives a Target Award under the Plan.</w:t>
      </w:r>
    </w:p>
    <w:p>
      <w:pPr>
        <w:spacing w:after="0" w:line="260" w:lineRule="exact"/>
        <w:rPr>
          <w:rFonts w:ascii="Arial" w:cs="Arial" w:eastAsia="Arial" w:hAnsi="Arial"/>
          <w:sz w:val="22"/>
          <w:szCs w:val="22"/>
          <w:color w:val="auto"/>
        </w:rPr>
      </w:pPr>
    </w:p>
    <w:p>
      <w:pPr>
        <w:ind w:left="328" w:hanging="328"/>
        <w:spacing w:after="0"/>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“Plan” shall mean this General Motors Company Short Term Incentive Plan</w:t>
      </w:r>
    </w:p>
    <w:p>
      <w:pPr>
        <w:spacing w:after="0" w:line="260" w:lineRule="exact"/>
        <w:rPr>
          <w:rFonts w:ascii="Arial" w:cs="Arial" w:eastAsia="Arial" w:hAnsi="Arial"/>
          <w:sz w:val="22"/>
          <w:szCs w:val="22"/>
          <w:color w:val="auto"/>
        </w:rPr>
      </w:pPr>
    </w:p>
    <w:p>
      <w:pPr>
        <w:ind w:left="328" w:right="60" w:hanging="328"/>
        <w:spacing w:after="0" w:line="250" w:lineRule="auto"/>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“Subsidiary” shall mean (i) a company of which capital stock having ordinary voting power to elect a majority of the board of directors of such company is owned, directly or indirectly, by the Company, or (ii) any limited liability company or unincorporated entity in respect of which the Company can exercise, directly or indirectly, comparable control to that described in clause (i)</w:t>
      </w:r>
    </w:p>
    <w:p>
      <w:pPr>
        <w:spacing w:after="0" w:line="200" w:lineRule="exact"/>
        <w:rPr>
          <w:sz w:val="20"/>
          <w:szCs w:val="20"/>
          <w:color w:val="auto"/>
        </w:rPr>
      </w:pPr>
    </w:p>
    <w:p>
      <w:pPr>
        <w:spacing w:after="0" w:line="272"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48"/>
          </w:cols>
          <w:pgMar w:left="572" w:top="591" w:right="279" w:bottom="1440" w:gutter="0" w:footer="0" w:header="0"/>
        </w:sectPr>
      </w:pPr>
    </w:p>
    <w:bookmarkStart w:id="67" w:name="page68"/>
    <w:bookmarkEnd w:id="67"/>
    <w:p>
      <w:pPr>
        <w:ind w:left="328" w:hanging="328"/>
        <w:spacing w:after="0" w:line="263" w:lineRule="auto"/>
        <w:tabs>
          <w:tab w:leader="none" w:pos="328" w:val="left"/>
        </w:tabs>
        <w:numPr>
          <w:ilvl w:val="0"/>
          <w:numId w:val="29"/>
        </w:numPr>
        <w:rPr>
          <w:rFonts w:ascii="Arial" w:cs="Arial" w:eastAsia="Arial" w:hAnsi="Arial"/>
          <w:sz w:val="21"/>
          <w:szCs w:val="21"/>
          <w:color w:val="auto"/>
        </w:rPr>
      </w:pPr>
      <w:r>
        <w:rPr>
          <w:rFonts w:ascii="Arial" w:cs="Arial" w:eastAsia="Arial" w:hAnsi="Arial"/>
          <w:sz w:val="21"/>
          <w:szCs w:val="21"/>
          <w:color w:val="auto"/>
        </w:rPr>
        <w:t>“Target Award” shall be an individual amount that the Participant may earn if targeted performance levels against approved metrics are achieved and individual performance is such that the amount may become a Final Award.</w:t>
      </w:r>
    </w:p>
    <w:p>
      <w:pPr>
        <w:spacing w:after="0" w:line="1" w:lineRule="exact"/>
        <w:rPr>
          <w:rFonts w:ascii="Arial" w:cs="Arial" w:eastAsia="Arial" w:hAnsi="Arial"/>
          <w:sz w:val="21"/>
          <w:szCs w:val="21"/>
          <w:color w:val="auto"/>
        </w:rPr>
      </w:pPr>
    </w:p>
    <w:p>
      <w:pPr>
        <w:ind w:left="328" w:right="160" w:hanging="328"/>
        <w:spacing w:after="0" w:line="246" w:lineRule="auto"/>
        <w:tabs>
          <w:tab w:leader="none" w:pos="3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“Senior Vice President, Global Human Resources” shall mean the Senior Vice President, Global Human Resources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88"/>
          </w:cols>
          <w:pgMar w:left="572" w:top="5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SALARY STOCK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As amended June 5, 2013</w:t>
      </w:r>
    </w:p>
    <w:p>
      <w:pPr>
        <w:spacing w:after="0" w:line="242" w:lineRule="exact"/>
        <w:rPr>
          <w:sz w:val="20"/>
          <w:szCs w:val="20"/>
          <w:color w:val="auto"/>
        </w:rPr>
      </w:pPr>
    </w:p>
    <w:p>
      <w:pPr>
        <w:ind w:right="120" w:firstLine="810"/>
        <w:spacing w:after="0" w:line="31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Purpose.</w:t>
      </w:r>
      <w:r>
        <w:rPr>
          <w:rFonts w:ascii="Arial" w:cs="Arial" w:eastAsia="Arial" w:hAnsi="Arial"/>
          <w:sz w:val="19"/>
          <w:szCs w:val="19"/>
          <w:color w:val="auto"/>
        </w:rPr>
        <w:t xml:space="preserve"> The purpose of the General Motors Company Salary Stock Plan is to compensate participating Employees in a manner that is consistent with the Company's obligations under the ARRA and under the terms of the Treasury Agreement. Capitalized terms used in the Plan shall have the definitions set forth in Section 9 of the Plan.</w:t>
      </w:r>
    </w:p>
    <w:p>
      <w:pPr>
        <w:spacing w:after="0" w:line="174" w:lineRule="exact"/>
        <w:rPr>
          <w:sz w:val="20"/>
          <w:szCs w:val="20"/>
          <w:color w:val="auto"/>
        </w:rPr>
      </w:pPr>
    </w:p>
    <w:p>
      <w:pPr>
        <w:ind w:right="20" w:firstLine="810"/>
        <w:spacing w:after="0" w:line="25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i w:val="1"/>
          <w:iCs w:val="1"/>
          <w:color w:val="auto"/>
        </w:rPr>
        <w:t>Administration.</w:t>
      </w:r>
      <w:r>
        <w:rPr>
          <w:rFonts w:ascii="Arial" w:cs="Arial" w:eastAsia="Arial" w:hAnsi="Arial"/>
          <w:sz w:val="21"/>
          <w:szCs w:val="21"/>
          <w:color w:val="auto"/>
        </w:rPr>
        <w:t xml:space="preserve"> The Plan shall be administered by the Committee. The Committee shall have full discretionary power and authority, subject to such orders or resolutions not inconsistent with the provisions of the Plan as may from time to time be adopted by the Board, to (i) select the Employees to whom Awards may be granted hereunder; (ii) determine the amount of base salary and other compensation to be delivered in the form of an Award hereunder; (iii) determine whether, to what extent and under what circumstances Awards may be settled in cash, Shares or other property, and (iv) interpret and administer the Plan, and establish such rules and regulations and appoint such agents as it shall deem appropriate for the proper administration of the Plan. The Committee may delegate to an appropriate Executive Officer of the Company responsibility for determining, within the limits established by the Committee, individual Awards for Employees who are not Executive Committee members or Executive Officers of the Company.</w:t>
      </w:r>
    </w:p>
    <w:p>
      <w:pPr>
        <w:spacing w:after="0" w:line="221"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i w:val="1"/>
          <w:iCs w:val="1"/>
          <w:color w:val="auto"/>
        </w:rPr>
        <w:t>Shares Subject to the Plan.</w:t>
      </w:r>
    </w:p>
    <w:p>
      <w:pPr>
        <w:spacing w:after="0" w:line="260" w:lineRule="exact"/>
        <w:rPr>
          <w:sz w:val="20"/>
          <w:szCs w:val="20"/>
          <w:color w:val="auto"/>
        </w:rPr>
      </w:pPr>
    </w:p>
    <w:p>
      <w:pPr>
        <w:ind w:right="180" w:firstLine="832"/>
        <w:spacing w:after="0" w:line="250" w:lineRule="auto"/>
        <w:tabs>
          <w:tab w:leader="none" w:pos="1523"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Subject to the provisions of Section 3(c) below, the aggregate number of Shares with respect to which Awards may be granted under this Plan shall not exceed 75,000,000 Shares minus the number of Shares granted under the Short Term Incentive Plan and the Long-Term Incentive Plan. Awards granted under the Plan that are settled in cash will not count against the approved Share reserve.</w:t>
      </w:r>
    </w:p>
    <w:p>
      <w:pPr>
        <w:spacing w:after="0" w:line="228" w:lineRule="exact"/>
        <w:rPr>
          <w:rFonts w:ascii="Arial" w:cs="Arial" w:eastAsia="Arial" w:hAnsi="Arial"/>
          <w:sz w:val="22"/>
          <w:szCs w:val="22"/>
          <w:color w:val="auto"/>
        </w:rPr>
      </w:pPr>
    </w:p>
    <w:p>
      <w:pPr>
        <w:ind w:right="580" w:firstLine="832"/>
        <w:spacing w:after="0" w:line="263" w:lineRule="auto"/>
        <w:tabs>
          <w:tab w:leader="none" w:pos="1535"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Shares delivered in settlement of Awards hereunder may consist, in whole or in part, of authorized and unissued Shares, treasury Shares or Shares purchased in the open market or otherwise.</w:t>
      </w:r>
    </w:p>
    <w:p>
      <w:pPr>
        <w:spacing w:after="0" w:line="215" w:lineRule="exact"/>
        <w:rPr>
          <w:rFonts w:ascii="Arial" w:cs="Arial" w:eastAsia="Arial" w:hAnsi="Arial"/>
          <w:sz w:val="22"/>
          <w:szCs w:val="22"/>
          <w:color w:val="auto"/>
        </w:rPr>
      </w:pPr>
    </w:p>
    <w:p>
      <w:pPr>
        <w:ind w:firstLine="832"/>
        <w:spacing w:after="0" w:line="294" w:lineRule="auto"/>
        <w:tabs>
          <w:tab w:leader="none" w:pos="1523"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this Plan and the number of Shares subject to Awards granted under this Plan (provided the number of Shares subject to any Award shall always be a whole number), as may be determined to be appropriate by the Committee in order to prevent unintended enhancement or diminution of the benefits or potential benefits intended to be conferred on Participants pursuant to Awards granted hereunder.</w:t>
      </w:r>
    </w:p>
    <w:p>
      <w:pPr>
        <w:spacing w:after="0" w:line="190" w:lineRule="exact"/>
        <w:rPr>
          <w:rFonts w:ascii="Arial" w:cs="Arial" w:eastAsia="Arial" w:hAnsi="Arial"/>
          <w:sz w:val="19"/>
          <w:szCs w:val="19"/>
          <w:color w:val="auto"/>
        </w:rPr>
      </w:pPr>
    </w:p>
    <w:p>
      <w:pPr>
        <w:ind w:right="300" w:firstLine="832"/>
        <w:spacing w:after="0" w:line="287" w:lineRule="auto"/>
        <w:tabs>
          <w:tab w:leader="none" w:pos="1535" w:val="left"/>
        </w:tabs>
        <w:numPr>
          <w:ilvl w:val="0"/>
          <w:numId w:val="30"/>
        </w:numPr>
        <w:rPr>
          <w:rFonts w:ascii="Arial" w:cs="Arial" w:eastAsia="Arial" w:hAnsi="Arial"/>
          <w:sz w:val="21"/>
          <w:szCs w:val="21"/>
          <w:color w:val="auto"/>
        </w:rPr>
      </w:pPr>
      <w:r>
        <w:rPr>
          <w:rFonts w:ascii="Arial" w:cs="Arial" w:eastAsia="Arial" w:hAnsi="Arial"/>
          <w:sz w:val="21"/>
          <w:szCs w:val="21"/>
          <w:color w:val="auto"/>
        </w:rPr>
        <w:t>For avoidance of doubt, Shares which are tendered or withheld to pay tax withholding obligations arising from the grant, or settlement of an Award will not again become available for grant under the terms of this Plan.</w:t>
      </w:r>
    </w:p>
    <w:p>
      <w:pPr>
        <w:spacing w:after="0" w:line="192"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 xml:space="preserve">Eligibility. </w:t>
      </w:r>
      <w:r>
        <w:rPr>
          <w:rFonts w:ascii="Arial" w:cs="Arial" w:eastAsia="Arial" w:hAnsi="Arial"/>
          <w:sz w:val="19"/>
          <w:szCs w:val="19"/>
          <w:color w:val="auto"/>
        </w:rPr>
        <w:t>Any Employee shall be eligible to be selected as a Participant.</w:t>
      </w:r>
    </w:p>
    <w:p>
      <w:pPr>
        <w:spacing w:after="0" w:line="260"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i w:val="1"/>
          <w:iCs w:val="1"/>
          <w:color w:val="auto"/>
        </w:rPr>
        <w:t>Restricted Stock Units.</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PERCOMPC\LMG\10-10-12 ECC\Salary Stock Plan as Amended 6-5-13.doc</w:t>
      </w:r>
    </w:p>
    <w:p>
      <w:pPr>
        <w:sectPr>
          <w:pgSz w:w="11900" w:h="16838" w:orient="portrait"/>
          <w:cols w:equalWidth="0" w:num="1">
            <w:col w:w="11420"/>
          </w:cols>
          <w:pgMar w:left="240" w:top="585" w:right="239" w:bottom="1440" w:gutter="0" w:footer="0" w:header="0"/>
        </w:sectPr>
      </w:pPr>
    </w:p>
    <w:bookmarkStart w:id="69" w:name="page70"/>
    <w:bookmarkEnd w:id="69"/>
    <w:p>
      <w:pPr>
        <w:jc w:val="both"/>
        <w:ind w:right="100" w:firstLine="832"/>
        <w:spacing w:after="0" w:line="253" w:lineRule="auto"/>
        <w:tabs>
          <w:tab w:leader="none" w:pos="1523"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Salary Stock</w:t>
      </w:r>
      <w:r>
        <w:rPr>
          <w:rFonts w:ascii="Arial" w:cs="Arial" w:eastAsia="Arial" w:hAnsi="Arial"/>
          <w:sz w:val="22"/>
          <w:szCs w:val="22"/>
          <w:color w:val="auto"/>
        </w:rPr>
        <w:t>. The Committee has the power to grant Restricted Stock Unit Awards to Participants on each Issue</w:t>
      </w:r>
      <w:r>
        <w:rPr>
          <w:rFonts w:ascii="Arial" w:cs="Arial" w:eastAsia="Arial" w:hAnsi="Arial"/>
          <w:sz w:val="22"/>
          <w:szCs w:val="22"/>
          <w:i w:val="1"/>
          <w:iCs w:val="1"/>
          <w:color w:val="auto"/>
        </w:rPr>
        <w:t xml:space="preserve"> </w:t>
      </w:r>
      <w:r>
        <w:rPr>
          <w:rFonts w:ascii="Arial" w:cs="Arial" w:eastAsia="Arial" w:hAnsi="Arial"/>
          <w:sz w:val="22"/>
          <w:szCs w:val="22"/>
          <w:color w:val="auto"/>
        </w:rPr>
        <w:t>Date. Units are valued by reference to a designated number of Shares. An RSU Award shall be subject to the terms and conditions set forth in this Plan.</w:t>
      </w:r>
    </w:p>
    <w:p>
      <w:pPr>
        <w:spacing w:after="0" w:line="226" w:lineRule="exact"/>
        <w:rPr>
          <w:rFonts w:ascii="Arial" w:cs="Arial" w:eastAsia="Arial" w:hAnsi="Arial"/>
          <w:sz w:val="22"/>
          <w:szCs w:val="22"/>
          <w:color w:val="auto"/>
        </w:rPr>
      </w:pPr>
    </w:p>
    <w:p>
      <w:pPr>
        <w:ind w:right="100" w:firstLine="832"/>
        <w:spacing w:after="0" w:line="263" w:lineRule="auto"/>
        <w:tabs>
          <w:tab w:leader="none" w:pos="1535"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Vesting</w:t>
      </w:r>
      <w:r>
        <w:rPr>
          <w:rFonts w:ascii="Arial" w:cs="Arial" w:eastAsia="Arial" w:hAnsi="Arial"/>
          <w:sz w:val="22"/>
          <w:szCs w:val="22"/>
          <w:color w:val="auto"/>
        </w:rPr>
        <w:t>. All Awards granted hereunder shall be vested and nonforfeitable upon grant thereof except as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for in this Plan.</w:t>
      </w:r>
    </w:p>
    <w:p>
      <w:pPr>
        <w:spacing w:after="0" w:line="215" w:lineRule="exact"/>
        <w:rPr>
          <w:rFonts w:ascii="Arial" w:cs="Arial" w:eastAsia="Arial" w:hAnsi="Arial"/>
          <w:sz w:val="22"/>
          <w:szCs w:val="22"/>
          <w:color w:val="auto"/>
        </w:rPr>
      </w:pPr>
    </w:p>
    <w:p>
      <w:pPr>
        <w:ind w:right="660" w:firstLine="832"/>
        <w:spacing w:after="0" w:line="263" w:lineRule="auto"/>
        <w:tabs>
          <w:tab w:leader="none" w:pos="1523"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Form of Settlement</w:t>
      </w:r>
      <w:r>
        <w:rPr>
          <w:rFonts w:ascii="Arial" w:cs="Arial" w:eastAsia="Arial" w:hAnsi="Arial"/>
          <w:sz w:val="22"/>
          <w:szCs w:val="22"/>
          <w:color w:val="auto"/>
        </w:rPr>
        <w:t>. Each RSU shall be settled by delivery of the Fair Market Value of one Share as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anniversary date of grant in cash or one share of stock.</w:t>
      </w:r>
    </w:p>
    <w:p>
      <w:pPr>
        <w:spacing w:after="0" w:line="215" w:lineRule="exact"/>
        <w:rPr>
          <w:rFonts w:ascii="Arial" w:cs="Arial" w:eastAsia="Arial" w:hAnsi="Arial"/>
          <w:sz w:val="22"/>
          <w:szCs w:val="22"/>
          <w:color w:val="auto"/>
        </w:rPr>
      </w:pPr>
    </w:p>
    <w:p>
      <w:pPr>
        <w:ind w:right="160" w:firstLine="832"/>
        <w:spacing w:after="0" w:line="343" w:lineRule="auto"/>
        <w:tabs>
          <w:tab w:leader="none" w:pos="1535"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Settlement</w:t>
      </w:r>
      <w:r>
        <w:rPr>
          <w:rFonts w:ascii="Arial" w:cs="Arial" w:eastAsia="Arial" w:hAnsi="Arial"/>
          <w:sz w:val="19"/>
          <w:szCs w:val="19"/>
          <w:color w:val="auto"/>
        </w:rPr>
        <w:t>. (i) Except as set forth in Section 5(d)(iii), one third of the RSUs granted on any Issue Date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settled on each of the first, second and third anniversaries of the Issue Date thereof, if permitted under Section 409A of the Code.</w:t>
      </w:r>
    </w:p>
    <w:p>
      <w:pPr>
        <w:spacing w:after="0" w:line="145" w:lineRule="exact"/>
        <w:rPr>
          <w:rFonts w:ascii="Arial" w:cs="Arial" w:eastAsia="Arial" w:hAnsi="Arial"/>
          <w:sz w:val="19"/>
          <w:szCs w:val="19"/>
          <w:color w:val="auto"/>
        </w:rPr>
      </w:pPr>
    </w:p>
    <w:p>
      <w:pPr>
        <w:jc w:val="both"/>
        <w:ind w:left="820" w:right="280" w:firstLine="971"/>
        <w:spacing w:after="0" w:line="312" w:lineRule="auto"/>
        <w:tabs>
          <w:tab w:leader="none" w:pos="2867"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a Participant's employment terminates as a result of his or her death or Disability prior to the settlement date(s) applicable to his or her Award, all Awards then held by such Participant will be settled as soon as is practicable after the date of termination of employment. The form of settlement shall be as provided in Section 5(c).</w:t>
      </w:r>
    </w:p>
    <w:p>
      <w:pPr>
        <w:spacing w:after="0" w:line="174" w:lineRule="exact"/>
        <w:rPr>
          <w:rFonts w:ascii="Arial" w:cs="Arial" w:eastAsia="Arial" w:hAnsi="Arial"/>
          <w:sz w:val="19"/>
          <w:szCs w:val="19"/>
          <w:color w:val="auto"/>
        </w:rPr>
      </w:pPr>
    </w:p>
    <w:p>
      <w:pPr>
        <w:ind w:left="820" w:firstLine="971"/>
        <w:spacing w:after="0" w:line="253" w:lineRule="auto"/>
        <w:tabs>
          <w:tab w:leader="none" w:pos="2927" w:val="left"/>
        </w:tabs>
        <w:numPr>
          <w:ilvl w:val="1"/>
          <w:numId w:val="31"/>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the Committee may grant Awards hereunder with different settlement schedules, as long as such different schedules do not contravene the instructions of the Special Master and do not violate ARRA.</w:t>
      </w:r>
    </w:p>
    <w:p>
      <w:pPr>
        <w:spacing w:after="0" w:line="226" w:lineRule="exact"/>
        <w:rPr>
          <w:rFonts w:ascii="Arial" w:cs="Arial" w:eastAsia="Arial" w:hAnsi="Arial"/>
          <w:sz w:val="22"/>
          <w:szCs w:val="22"/>
          <w:color w:val="auto"/>
        </w:rPr>
      </w:pPr>
    </w:p>
    <w:p>
      <w:pPr>
        <w:ind w:right="280" w:firstLine="832"/>
        <w:spacing w:after="0" w:line="287" w:lineRule="auto"/>
        <w:tabs>
          <w:tab w:leader="none" w:pos="1523" w:val="left"/>
        </w:tabs>
        <w:numPr>
          <w:ilvl w:val="0"/>
          <w:numId w:val="31"/>
        </w:numPr>
        <w:rPr>
          <w:rFonts w:ascii="Arial" w:cs="Arial" w:eastAsia="Arial" w:hAnsi="Arial"/>
          <w:sz w:val="21"/>
          <w:szCs w:val="21"/>
          <w:color w:val="auto"/>
        </w:rPr>
      </w:pPr>
      <w:r>
        <w:rPr>
          <w:rFonts w:ascii="Arial" w:cs="Arial" w:eastAsia="Arial" w:hAnsi="Arial"/>
          <w:sz w:val="21"/>
          <w:szCs w:val="21"/>
          <w:i w:val="1"/>
          <w:iCs w:val="1"/>
          <w:color w:val="auto"/>
        </w:rPr>
        <w:t>No Rights of a Shareholder</w:t>
      </w:r>
      <w:r>
        <w:rPr>
          <w:rFonts w:ascii="Arial" w:cs="Arial" w:eastAsia="Arial" w:hAnsi="Arial"/>
          <w:sz w:val="21"/>
          <w:szCs w:val="21"/>
          <w:color w:val="auto"/>
        </w:rPr>
        <w:t>. No holder of any Award shall have any rights to dividends or any other rights of a</w:t>
      </w:r>
      <w:r>
        <w:rPr>
          <w:rFonts w:ascii="Arial" w:cs="Arial" w:eastAsia="Arial" w:hAnsi="Arial"/>
          <w:sz w:val="21"/>
          <w:szCs w:val="21"/>
          <w:i w:val="1"/>
          <w:iCs w:val="1"/>
          <w:color w:val="auto"/>
        </w:rPr>
        <w:t xml:space="preserve"> </w:t>
      </w:r>
      <w:r>
        <w:rPr>
          <w:rFonts w:ascii="Arial" w:cs="Arial" w:eastAsia="Arial" w:hAnsi="Arial"/>
          <w:sz w:val="21"/>
          <w:szCs w:val="21"/>
          <w:color w:val="auto"/>
        </w:rPr>
        <w:t>stockholder with respect to Shares subject to the Award prior to becoming the record owner of such Shares.</w:t>
      </w:r>
    </w:p>
    <w:p>
      <w:pPr>
        <w:spacing w:after="0" w:line="192"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i w:val="1"/>
          <w:iCs w:val="1"/>
          <w:color w:val="auto"/>
        </w:rPr>
        <w:t>Amendments, Termination and Recoupment.</w:t>
      </w:r>
    </w:p>
    <w:p>
      <w:pPr>
        <w:spacing w:after="0" w:line="260" w:lineRule="exact"/>
        <w:rPr>
          <w:sz w:val="20"/>
          <w:szCs w:val="20"/>
          <w:color w:val="auto"/>
        </w:rPr>
      </w:pPr>
    </w:p>
    <w:p>
      <w:pPr>
        <w:ind w:right="80" w:firstLine="832"/>
        <w:spacing w:after="0" w:line="260" w:lineRule="auto"/>
        <w:tabs>
          <w:tab w:leader="none" w:pos="1523"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the rules of the New York Stock Exchange or such other exchange as may constitute from time to time the principal trading market for the Company's Shares, and (ii) the consent of the affected Participant, if such action would materially impair the rights of such Participant under any outstanding Award. The Board has delegated to the Vice President, Global Human Resources authority to approve non-material amendments necessary or advisable with the advice of the Company's Legal Staff.</w:t>
      </w:r>
    </w:p>
    <w:p>
      <w:pPr>
        <w:spacing w:after="0" w:line="221" w:lineRule="exact"/>
        <w:rPr>
          <w:rFonts w:ascii="Arial" w:cs="Arial" w:eastAsia="Arial" w:hAnsi="Arial"/>
          <w:sz w:val="21"/>
          <w:szCs w:val="21"/>
          <w:color w:val="auto"/>
        </w:rPr>
      </w:pPr>
    </w:p>
    <w:p>
      <w:pPr>
        <w:ind w:right="20" w:firstLine="832"/>
        <w:spacing w:after="0" w:line="247" w:lineRule="auto"/>
        <w:tabs>
          <w:tab w:leader="none" w:pos="1535"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Committee has the authority to take any action consistent with the terms of the Plan, either before or after an Award has been granted, that it deems necessary or advisable to comply with any government laws or regulatory requirements of a foreign country, including, but not limited to, modifying or amending the terms and conditions governing any Awards, or establishing any local country plans as sub-plans to this Plan. In addition, under all circumstances, the Committee or Officer of the Company may make non-substantive administrative changes to the Plan so as to conform with or take advantage of governmental requirements, statutes or regulations.</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\\6-5-13 ECC (HUM026)\Salary Stock Plan as Amended 6-5-13.doc</w:t>
      </w:r>
    </w:p>
    <w:p>
      <w:pPr>
        <w:sectPr>
          <w:pgSz w:w="11900" w:h="16838" w:orient="portrait"/>
          <w:cols w:equalWidth="0" w:num="1">
            <w:col w:w="11340"/>
          </w:cols>
          <w:pgMar w:left="240" w:top="847" w:right="319" w:bottom="1440" w:gutter="0" w:footer="0" w:header="0"/>
        </w:sectPr>
      </w:pPr>
    </w:p>
    <w:bookmarkStart w:id="70" w:name="page71"/>
    <w:bookmarkEnd w:id="70"/>
    <w:p>
      <w:pPr>
        <w:ind w:right="420" w:firstLine="832"/>
        <w:spacing w:after="0" w:line="287" w:lineRule="auto"/>
        <w:tabs>
          <w:tab w:leader="none" w:pos="1523"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Committee may amend the terms of any Award theretofore granted, prospectively or retroactively, but no such amendment shall materially impair the rights of any Participant without his or her consent.</w:t>
      </w:r>
    </w:p>
    <w:p>
      <w:pPr>
        <w:spacing w:after="0" w:line="192" w:lineRule="exact"/>
        <w:rPr>
          <w:rFonts w:ascii="Arial" w:cs="Arial" w:eastAsia="Arial" w:hAnsi="Arial"/>
          <w:sz w:val="21"/>
          <w:szCs w:val="21"/>
          <w:color w:val="auto"/>
        </w:rPr>
      </w:pPr>
    </w:p>
    <w:p>
      <w:pPr>
        <w:jc w:val="both"/>
        <w:ind w:right="160" w:firstLine="832"/>
        <w:spacing w:after="0" w:line="265" w:lineRule="auto"/>
        <w:tabs>
          <w:tab w:leader="none" w:pos="1535" w:val="left"/>
        </w:tabs>
        <w:numPr>
          <w:ilvl w:val="0"/>
          <w:numId w:val="33"/>
        </w:numPr>
        <w:rPr>
          <w:rFonts w:ascii="Arial" w:cs="Arial" w:eastAsia="Arial" w:hAnsi="Arial"/>
          <w:sz w:val="21"/>
          <w:szCs w:val="21"/>
          <w:color w:val="auto"/>
        </w:rPr>
      </w:pPr>
      <w:r>
        <w:rPr>
          <w:rFonts w:ascii="Arial" w:cs="Arial" w:eastAsia="Arial" w:hAnsi="Arial"/>
          <w:sz w:val="21"/>
          <w:szCs w:val="21"/>
          <w:color w:val="auto"/>
        </w:rPr>
        <w:t>If any provision of the Plan or any Award is invalid or unenforceable in any jurisdiction, (i) such provision shall be modified or eliminated, but only to the extent necessary to 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Plan or any Award.</w:t>
      </w:r>
    </w:p>
    <w:p>
      <w:pPr>
        <w:spacing w:after="0" w:line="216" w:lineRule="exact"/>
        <w:rPr>
          <w:rFonts w:ascii="Arial" w:cs="Arial" w:eastAsia="Arial" w:hAnsi="Arial"/>
          <w:sz w:val="21"/>
          <w:szCs w:val="21"/>
          <w:color w:val="auto"/>
        </w:rPr>
      </w:pPr>
    </w:p>
    <w:p>
      <w:pPr>
        <w:ind w:firstLine="832"/>
        <w:spacing w:after="0" w:line="290" w:lineRule="auto"/>
        <w:tabs>
          <w:tab w:leader="none" w:pos="1523"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any provision of this Plan to the contrary, any RSUs accrued or granted and undelivered hereunder, are subject to forfeiture as may be determined by the Chief Executive Officer or Vice President, Global Human Resources, (i) if the Participant accruing or granted such Award engages or has engaged or indicates an intention to engage in an act (or omission to act) that causes or has the potential to cause tangible or intangible damage or injury to the Company in a non-trivial manner or to a non-trivial degree, or (ii) engages in any activity which is in any manner inimical or in any way contrary to the best interests of the Company, or (iii) as may be directed by the Special Master. For purposes of this provision, the determination of whether an action will cause damage to the Company, or is inimical or in any way contrary to the best interest of the Company shall be made in the sole discretion of the Chief Executive Officer or Vice President, Human Resources of the Company.</w:t>
      </w:r>
    </w:p>
    <w:p>
      <w:pPr>
        <w:spacing w:after="0" w:line="197"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i w:val="1"/>
          <w:iCs w:val="1"/>
          <w:color w:val="auto"/>
        </w:rPr>
        <w:t>General Provisions.</w:t>
      </w:r>
    </w:p>
    <w:p>
      <w:pPr>
        <w:spacing w:after="0" w:line="260" w:lineRule="exact"/>
        <w:rPr>
          <w:sz w:val="20"/>
          <w:szCs w:val="20"/>
          <w:color w:val="auto"/>
        </w:rPr>
      </w:pPr>
    </w:p>
    <w:p>
      <w:pPr>
        <w:ind w:right="40" w:firstLine="832"/>
        <w:spacing w:after="0" w:line="343" w:lineRule="auto"/>
        <w:tabs>
          <w:tab w:leader="none" w:pos="1523"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 Award may not be sold, exercised, pledged, assigned, hypothecated, transferred, or disposed of in any manner. For the avoidance of doubt, upon settlement of any Award, the cash or Shares delivered will not be subject to this restriction.</w:t>
      </w:r>
    </w:p>
    <w:p>
      <w:pPr>
        <w:spacing w:after="0" w:line="145" w:lineRule="exact"/>
        <w:rPr>
          <w:rFonts w:ascii="Arial" w:cs="Arial" w:eastAsia="Arial" w:hAnsi="Arial"/>
          <w:sz w:val="19"/>
          <w:szCs w:val="19"/>
          <w:color w:val="auto"/>
        </w:rPr>
      </w:pPr>
    </w:p>
    <w:p>
      <w:pPr>
        <w:jc w:val="both"/>
        <w:ind w:right="200" w:firstLine="832"/>
        <w:spacing w:after="0" w:line="265" w:lineRule="auto"/>
        <w:tabs>
          <w:tab w:leader="none" w:pos="1535" w:val="left"/>
        </w:tabs>
        <w:numPr>
          <w:ilvl w:val="0"/>
          <w:numId w:val="34"/>
        </w:numPr>
        <w:rPr>
          <w:rFonts w:ascii="Arial" w:cs="Arial" w:eastAsia="Arial" w:hAnsi="Arial"/>
          <w:sz w:val="21"/>
          <w:szCs w:val="21"/>
          <w:color w:val="auto"/>
        </w:rPr>
      </w:pPr>
      <w:r>
        <w:rPr>
          <w:rFonts w:ascii="Arial" w:cs="Arial" w:eastAsia="Arial" w:hAnsi="Arial"/>
          <w:sz w:val="21"/>
          <w:szCs w:val="21"/>
          <w:color w:val="auto"/>
        </w:rPr>
        <w:t>Neither the Award nor any benefits arising out of this Plan shall constitute part of a Participant's employment or service contract with the Company or any Subsidiary and, accordingly, except as provided in Section 6(a) and (c) above, this Plan and the benefits hereunder may be terminated at any time in the sole discretion of the Company without giving rise to liability on the part of the Company or any Subsidiary for severance payments.</w:t>
      </w:r>
    </w:p>
    <w:p>
      <w:pPr>
        <w:spacing w:after="0" w:line="216" w:lineRule="exact"/>
        <w:rPr>
          <w:rFonts w:ascii="Arial" w:cs="Arial" w:eastAsia="Arial" w:hAnsi="Arial"/>
          <w:sz w:val="21"/>
          <w:szCs w:val="21"/>
          <w:color w:val="auto"/>
        </w:rPr>
      </w:pPr>
    </w:p>
    <w:p>
      <w:pPr>
        <w:ind w:right="780" w:firstLine="832"/>
        <w:spacing w:after="0" w:line="263" w:lineRule="auto"/>
        <w:tabs>
          <w:tab w:leader="none" w:pos="1523"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 Employee shall have any claim to be granted any Award under the Plan, and there is no obligation for uniformity of treatment of Participants under the Plan.</w:t>
      </w:r>
    </w:p>
    <w:p>
      <w:pPr>
        <w:spacing w:after="0" w:line="215" w:lineRule="exact"/>
        <w:rPr>
          <w:rFonts w:ascii="Arial" w:cs="Arial" w:eastAsia="Arial" w:hAnsi="Arial"/>
          <w:sz w:val="22"/>
          <w:szCs w:val="22"/>
          <w:color w:val="auto"/>
        </w:rPr>
      </w:pPr>
    </w:p>
    <w:p>
      <w:pPr>
        <w:ind w:right="100" w:firstLine="832"/>
        <w:spacing w:after="0" w:line="302" w:lineRule="auto"/>
        <w:tabs>
          <w:tab w:leader="none" w:pos="1535"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83" w:lineRule="exact"/>
        <w:rPr>
          <w:rFonts w:ascii="Arial" w:cs="Arial" w:eastAsia="Arial" w:hAnsi="Arial"/>
          <w:sz w:val="19"/>
          <w:szCs w:val="19"/>
          <w:color w:val="auto"/>
        </w:rPr>
      </w:pPr>
    </w:p>
    <w:p>
      <w:pPr>
        <w:ind w:right="20" w:firstLine="832"/>
        <w:spacing w:after="0" w:line="248" w:lineRule="auto"/>
        <w:tabs>
          <w:tab w:leader="none" w:pos="1523" w:val="left"/>
        </w:tabs>
        <w:numPr>
          <w:ilvl w:val="0"/>
          <w:numId w:val="34"/>
        </w:numPr>
        <w:rPr>
          <w:rFonts w:ascii="Arial" w:cs="Arial" w:eastAsia="Arial" w:hAnsi="Arial"/>
          <w:sz w:val="22"/>
          <w:szCs w:val="22"/>
          <w:color w:val="auto"/>
        </w:rPr>
      </w:pPr>
      <w:r>
        <w:rPr>
          <w:rFonts w:ascii="Arial" w:cs="Arial" w:eastAsia="Arial" w:hAnsi="Arial"/>
          <w:sz w:val="22"/>
          <w:szCs w:val="22"/>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may be then listed, and any applicable federal or state securities law, and the Committee may cause a legend or legends to be put on any certificates or other indicia of ownership of such Shares to make appropriate reference to such restrictions.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\\6-5-13 ECC (HUM026)\Salary Stock Plan as Amended 6-5-13.doc</w:t>
      </w:r>
    </w:p>
    <w:p>
      <w:pPr>
        <w:sectPr>
          <w:pgSz w:w="11900" w:h="16838" w:orient="portrait"/>
          <w:cols w:equalWidth="0" w:num="1">
            <w:col w:w="11420"/>
          </w:cols>
          <w:pgMar w:left="240" w:top="591" w:right="239" w:bottom="1440" w:gutter="0" w:footer="0" w:header="0"/>
        </w:sectPr>
      </w:pPr>
    </w:p>
    <w:bookmarkStart w:id="71" w:name="page72"/>
    <w:bookmarkEnd w:id="71"/>
    <w:p>
      <w:pPr>
        <w:ind w:right="100" w:firstLine="832"/>
        <w:spacing w:after="0" w:line="250" w:lineRule="auto"/>
        <w:tabs>
          <w:tab w:leader="none" w:pos="1499"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 Award granted hereunder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228" w:lineRule="exact"/>
        <w:rPr>
          <w:rFonts w:ascii="Arial" w:cs="Arial" w:eastAsia="Arial" w:hAnsi="Arial"/>
          <w:sz w:val="22"/>
          <w:szCs w:val="22"/>
          <w:color w:val="auto"/>
        </w:rPr>
      </w:pPr>
    </w:p>
    <w:p>
      <w:pPr>
        <w:ind w:right="20" w:firstLine="832"/>
        <w:spacing w:after="0" w:line="290" w:lineRule="auto"/>
        <w:tabs>
          <w:tab w:leader="none" w:pos="1535"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and its Subsidiaries shall be authorized to withhold from any Award granted or payment due under the Plan the amount of withholding taxes due in respect of an Award or payment hereunder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 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 minimum required tax withholding rate to the extent such limitation is necessary to avoid a charge to the Company for financial reporting purposes) otherwise deliverable in connection with the Award.</w:t>
      </w:r>
    </w:p>
    <w:p>
      <w:pPr>
        <w:spacing w:after="0" w:line="197" w:lineRule="exact"/>
        <w:rPr>
          <w:rFonts w:ascii="Arial" w:cs="Arial" w:eastAsia="Arial" w:hAnsi="Arial"/>
          <w:sz w:val="19"/>
          <w:szCs w:val="19"/>
          <w:color w:val="auto"/>
        </w:rPr>
      </w:pPr>
    </w:p>
    <w:p>
      <w:pPr>
        <w:ind w:right="780" w:firstLine="832"/>
        <w:spacing w:after="0" w:line="253" w:lineRule="auto"/>
        <w:tabs>
          <w:tab w:leader="none" w:pos="1535"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226" w:lineRule="exact"/>
        <w:rPr>
          <w:rFonts w:ascii="Arial" w:cs="Arial" w:eastAsia="Arial" w:hAnsi="Arial"/>
          <w:sz w:val="22"/>
          <w:szCs w:val="22"/>
          <w:color w:val="auto"/>
        </w:rPr>
      </w:pPr>
    </w:p>
    <w:p>
      <w:pPr>
        <w:ind w:right="100" w:firstLine="832"/>
        <w:spacing w:after="0" w:line="343" w:lineRule="auto"/>
        <w:tabs>
          <w:tab w:leader="none" w:pos="148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spacing w:after="0" w:line="145" w:lineRule="exact"/>
        <w:rPr>
          <w:rFonts w:ascii="Arial" w:cs="Arial" w:eastAsia="Arial" w:hAnsi="Arial"/>
          <w:sz w:val="19"/>
          <w:szCs w:val="19"/>
          <w:color w:val="auto"/>
        </w:rPr>
      </w:pPr>
    </w:p>
    <w:p>
      <w:pPr>
        <w:ind w:right="20" w:firstLine="832"/>
        <w:spacing w:after="0" w:line="246" w:lineRule="auto"/>
        <w:tabs>
          <w:tab w:leader="none" w:pos="1487" w:val="left"/>
        </w:tabs>
        <w:numPr>
          <w:ilvl w:val="0"/>
          <w:numId w:val="35"/>
        </w:numPr>
        <w:rPr>
          <w:rFonts w:ascii="Arial" w:cs="Arial" w:eastAsia="Arial" w:hAnsi="Arial"/>
          <w:sz w:val="22"/>
          <w:szCs w:val="22"/>
          <w:color w:val="auto"/>
        </w:rPr>
      </w:pPr>
      <w:r>
        <w:rPr>
          <w:rFonts w:ascii="Arial" w:cs="Arial" w:eastAsia="Arial" w:hAnsi="Arial"/>
          <w:sz w:val="22"/>
          <w:szCs w:val="22"/>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7(j) may not be made without stockholder approval or Participant approval, if such approval is required by Section 6. The Committee also may impose conditions on the exercise or vesting of Awards in order to minimize the Company's obligation with respect to tax equalization for Employees on assignments outside their home country.</w:t>
      </w:r>
    </w:p>
    <w:p>
      <w:pPr>
        <w:spacing w:after="0" w:line="237" w:lineRule="exact"/>
        <w:rPr>
          <w:rFonts w:ascii="Arial" w:cs="Arial" w:eastAsia="Arial" w:hAnsi="Arial"/>
          <w:sz w:val="22"/>
          <w:szCs w:val="22"/>
          <w:color w:val="auto"/>
        </w:rPr>
      </w:pPr>
    </w:p>
    <w:p>
      <w:pPr>
        <w:ind w:right="180" w:firstLine="832"/>
        <w:spacing w:after="0" w:line="253" w:lineRule="auto"/>
        <w:tabs>
          <w:tab w:leader="none" w:pos="1535"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the Company shall have any unpaid claim against the Participant arising out of or in connection with such Participant's employment with the Company, such claim may be offset against Awards delivered under this Plan. Such claim may include, but is not limited to, unpaid taxes or corporate business credit card charges.</w:t>
      </w:r>
    </w:p>
    <w:p>
      <w:pPr>
        <w:spacing w:after="0" w:line="226" w:lineRule="exact"/>
        <w:rPr>
          <w:rFonts w:ascii="Arial" w:cs="Arial" w:eastAsia="Arial" w:hAnsi="Arial"/>
          <w:sz w:val="22"/>
          <w:szCs w:val="22"/>
          <w:color w:val="auto"/>
        </w:rPr>
      </w:pPr>
    </w:p>
    <w:p>
      <w:pPr>
        <w:jc w:val="both"/>
        <w:ind w:firstLine="832"/>
        <w:spacing w:after="0" w:line="263" w:lineRule="auto"/>
        <w:tabs>
          <w:tab w:leader="none" w:pos="1487" w:val="left"/>
        </w:tabs>
        <w:numPr>
          <w:ilvl w:val="0"/>
          <w:numId w:val="35"/>
        </w:numPr>
        <w:rPr>
          <w:rFonts w:ascii="Arial" w:cs="Arial" w:eastAsia="Arial" w:hAnsi="Arial"/>
          <w:sz w:val="21"/>
          <w:szCs w:val="21"/>
          <w:color w:val="auto"/>
        </w:rPr>
      </w:pPr>
      <w:r>
        <w:rPr>
          <w:rFonts w:ascii="Arial" w:cs="Arial" w:eastAsia="Arial" w:hAnsi="Arial"/>
          <w:sz w:val="21"/>
          <w:szCs w:val="21"/>
          <w:color w:val="auto"/>
        </w:rPr>
        <w:t>Notwithstanding any provision of this Plan, no Plan elections, modifications or distributions will be allowed or implemented if they would cause the Participant to be subject to tax (including interest and penalties) under Section 409A of the Code. The settlement of Awards hereunder may be delayed up to six months following a Participant's termination of employment if the Participant is a “specified employee” for purposes of such Section 409A, and such delay is necessary to avoid the imposition of tax (including interest and penalties) under Section 409A.</w:t>
      </w:r>
    </w:p>
    <w:p>
      <w:pPr>
        <w:spacing w:after="0" w:line="216" w:lineRule="exact"/>
        <w:rPr>
          <w:sz w:val="20"/>
          <w:szCs w:val="20"/>
          <w:color w:val="auto"/>
        </w:rPr>
      </w:pPr>
    </w:p>
    <w:p>
      <w:pPr>
        <w:ind w:right="340" w:firstLine="810"/>
        <w:spacing w:after="0" w:line="287"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i w:val="1"/>
          <w:iCs w:val="1"/>
          <w:color w:val="auto"/>
        </w:rPr>
        <w:t>Term of Plan.</w:t>
      </w:r>
      <w:r>
        <w:rPr>
          <w:rFonts w:ascii="Arial" w:cs="Arial" w:eastAsia="Arial" w:hAnsi="Arial"/>
          <w:sz w:val="21"/>
          <w:szCs w:val="21"/>
          <w:color w:val="auto"/>
        </w:rPr>
        <w:t xml:space="preserve"> The Plan shall terminate on the day after the date when all Awards hereunder are settled in accordance with the terms of the Plan, unless sooner terminated by the Board pursuant to Section 6.</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\\6-5-13 ECC (HUM026)\Salary Stock Plan as Amended 6-5-13.doc</w:t>
      </w:r>
    </w:p>
    <w:p>
      <w:pPr>
        <w:sectPr>
          <w:pgSz w:w="11900" w:h="16838" w:orient="portrait"/>
          <w:cols w:equalWidth="0" w:num="1">
            <w:col w:w="11360"/>
          </w:cols>
          <w:pgMar w:left="240" w:top="591" w:right="299" w:bottom="1440" w:gutter="0" w:footer="0" w:header="0"/>
        </w:sectPr>
      </w:pPr>
    </w:p>
    <w:bookmarkStart w:id="72" w:name="page73"/>
    <w:bookmarkEnd w:id="72"/>
    <w:p>
      <w:pPr>
        <w:ind w:left="820"/>
        <w:spacing w:after="0"/>
        <w:tabs>
          <w:tab w:leader="none" w:pos="28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i w:val="1"/>
          <w:iCs w:val="1"/>
          <w:color w:val="auto"/>
        </w:rPr>
        <w:t xml:space="preserve">Definitions. </w:t>
      </w:r>
      <w:r>
        <w:rPr>
          <w:rFonts w:ascii="Arial" w:cs="Arial" w:eastAsia="Arial" w:hAnsi="Arial"/>
          <w:sz w:val="19"/>
          <w:szCs w:val="19"/>
          <w:color w:val="auto"/>
        </w:rPr>
        <w:t>As used in the Plan, the following terms shall have the meanings set forth below:</w:t>
      </w:r>
    </w:p>
    <w:p>
      <w:pPr>
        <w:spacing w:after="0" w:line="260" w:lineRule="exact"/>
        <w:rPr>
          <w:sz w:val="20"/>
          <w:szCs w:val="20"/>
          <w:color w:val="auto"/>
        </w:rPr>
      </w:pPr>
    </w:p>
    <w:p>
      <w:pPr>
        <w:ind w:left="1540" w:hanging="708"/>
        <w:spacing w:after="0"/>
        <w:tabs>
          <w:tab w:leader="none" w:pos="15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“ARRA” shall mean the American Recovery and Reinvestment Act of 2009.</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“Award” shall mean an award hereunder of Restricted Stock Units.</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“Chief Executive Officer” shall mean the Chief Executive Officer of the Company.</w:t>
      </w:r>
    </w:p>
    <w:p>
      <w:pPr>
        <w:spacing w:after="0" w:line="260" w:lineRule="exact"/>
        <w:rPr>
          <w:rFonts w:ascii="Arial" w:cs="Arial" w:eastAsia="Arial" w:hAnsi="Arial"/>
          <w:sz w:val="22"/>
          <w:szCs w:val="22"/>
          <w:color w:val="auto"/>
        </w:rPr>
      </w:pPr>
    </w:p>
    <w:p>
      <w:pPr>
        <w:ind w:right="60" w:firstLine="832"/>
        <w:spacing w:after="0" w:line="263" w:lineRule="auto"/>
        <w:tabs>
          <w:tab w:leader="none" w:pos="1523"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 and any successor thereto, and any reference to any section of the Code shall also include any successor provision thereto.</w:t>
      </w:r>
    </w:p>
    <w:p>
      <w:pPr>
        <w:spacing w:after="0" w:line="215" w:lineRule="exact"/>
        <w:rPr>
          <w:rFonts w:ascii="Arial" w:cs="Arial" w:eastAsia="Arial" w:hAnsi="Arial"/>
          <w:sz w:val="22"/>
          <w:szCs w:val="22"/>
          <w:color w:val="auto"/>
        </w:rPr>
      </w:pPr>
    </w:p>
    <w:p>
      <w:pPr>
        <w:ind w:firstLine="832"/>
        <w:spacing w:after="0" w:line="263" w:lineRule="auto"/>
        <w:tabs>
          <w:tab w:leader="none" w:pos="1499"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“Committee” shall mean the Executive Compensation Committee of the Board, its named successor, or such other persons or committee to whom the Board has delegated any authority, as may be appropriate.</w:t>
      </w:r>
    </w:p>
    <w:p>
      <w:pPr>
        <w:spacing w:after="0" w:line="215" w:lineRule="exact"/>
        <w:rPr>
          <w:rFonts w:ascii="Arial" w:cs="Arial" w:eastAsia="Arial" w:hAnsi="Arial"/>
          <w:sz w:val="22"/>
          <w:szCs w:val="22"/>
          <w:color w:val="auto"/>
        </w:rPr>
      </w:pPr>
    </w:p>
    <w:p>
      <w:pPr>
        <w:ind w:left="1540" w:hanging="708"/>
        <w:spacing w:after="0"/>
        <w:tabs>
          <w:tab w:leader="none" w:pos="15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“Company” shall mean General Motors Company, a Delaware Company, or its successor.</w:t>
      </w:r>
    </w:p>
    <w:p>
      <w:pPr>
        <w:spacing w:after="0" w:line="260" w:lineRule="exact"/>
        <w:rPr>
          <w:rFonts w:ascii="Arial" w:cs="Arial" w:eastAsia="Arial" w:hAnsi="Arial"/>
          <w:sz w:val="22"/>
          <w:szCs w:val="22"/>
          <w:color w:val="auto"/>
        </w:rPr>
      </w:pPr>
    </w:p>
    <w:p>
      <w:pPr>
        <w:ind w:right="440" w:firstLine="832"/>
        <w:spacing w:after="0" w:line="253" w:lineRule="auto"/>
        <w:tabs>
          <w:tab w:leader="none" w:pos="1535" w:val="left"/>
        </w:tabs>
        <w:numPr>
          <w:ilvl w:val="0"/>
          <w:numId w:val="36"/>
        </w:numPr>
        <w:rPr>
          <w:rFonts w:ascii="Arial" w:cs="Arial" w:eastAsia="Arial" w:hAnsi="Arial"/>
          <w:sz w:val="22"/>
          <w:szCs w:val="22"/>
          <w:color w:val="auto"/>
        </w:rPr>
      </w:pPr>
      <w:r>
        <w:rPr>
          <w:rFonts w:ascii="Arial" w:cs="Arial" w:eastAsia="Arial" w:hAnsi="Arial"/>
          <w:sz w:val="22"/>
          <w:szCs w:val="22"/>
          <w:color w:val="auto"/>
        </w:rPr>
        <w:t>“Disability” shall mean the Participant is unable to engage in any gainful activity by reason of any medically determinable physical or mental impairment that can be expected to result in death or can be expected to last for a continuous period of not less than 12 months</w:t>
      </w:r>
    </w:p>
    <w:p>
      <w:pPr>
        <w:spacing w:after="0" w:line="226" w:lineRule="exact"/>
        <w:rPr>
          <w:rFonts w:ascii="Arial" w:cs="Arial" w:eastAsia="Arial" w:hAnsi="Arial"/>
          <w:sz w:val="22"/>
          <w:szCs w:val="22"/>
          <w:color w:val="auto"/>
        </w:rPr>
      </w:pPr>
    </w:p>
    <w:p>
      <w:pPr>
        <w:ind w:right="120" w:firstLine="832"/>
        <w:spacing w:after="0" w:line="253" w:lineRule="auto"/>
        <w:tabs>
          <w:tab w:leader="none" w:pos="1541" w:val="left"/>
        </w:tabs>
        <w:numPr>
          <w:ilvl w:val="0"/>
          <w:numId w:val="36"/>
        </w:numPr>
        <w:rPr>
          <w:rFonts w:ascii="Arial" w:cs="Arial" w:eastAsia="Arial" w:hAnsi="Arial"/>
          <w:sz w:val="22"/>
          <w:szCs w:val="22"/>
          <w:color w:val="auto"/>
        </w:rPr>
      </w:pPr>
      <w:r>
        <w:rPr>
          <w:rFonts w:ascii="Arial" w:cs="Arial" w:eastAsia="Arial" w:hAnsi="Arial"/>
          <w:sz w:val="22"/>
          <w:szCs w:val="22"/>
          <w:color w:val="auto"/>
        </w:rPr>
        <w:t>“Employee” shall mean any individual who is employed by the Company or any Subsidiary who is classified by the Company as an executive or who is in the group of employees whose compensation structure or compensation is subject to approval by the Special Master.</w:t>
      </w:r>
    </w:p>
    <w:p>
      <w:pPr>
        <w:spacing w:after="0" w:line="226" w:lineRule="exact"/>
        <w:rPr>
          <w:rFonts w:ascii="Arial" w:cs="Arial" w:eastAsia="Arial" w:hAnsi="Arial"/>
          <w:sz w:val="22"/>
          <w:szCs w:val="22"/>
          <w:color w:val="auto"/>
        </w:rPr>
      </w:pPr>
    </w:p>
    <w:p>
      <w:pPr>
        <w:ind w:right="40" w:firstLine="832"/>
        <w:spacing w:after="0" w:line="343" w:lineRule="auto"/>
        <w:tabs>
          <w:tab w:leader="none" w:pos="1487"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“Executive Officer” shall mean any Participant required to provide periodic statements of beneficial ownership of Company equity securities as an executive officer of the Company under Section 16(a) of the Securities Exchange Act of 1934.</w:t>
      </w:r>
    </w:p>
    <w:p>
      <w:pPr>
        <w:spacing w:after="0" w:line="145" w:lineRule="exact"/>
        <w:rPr>
          <w:rFonts w:ascii="Arial" w:cs="Arial" w:eastAsia="Arial" w:hAnsi="Arial"/>
          <w:sz w:val="19"/>
          <w:szCs w:val="19"/>
          <w:color w:val="auto"/>
        </w:rPr>
      </w:pPr>
    </w:p>
    <w:p>
      <w:pPr>
        <w:ind w:right="160" w:firstLine="832"/>
        <w:spacing w:after="0" w:line="261" w:lineRule="auto"/>
        <w:tabs>
          <w:tab w:leader="none" w:pos="1535" w:val="left"/>
        </w:tabs>
        <w:numPr>
          <w:ilvl w:val="0"/>
          <w:numId w:val="36"/>
        </w:numPr>
        <w:rPr>
          <w:rFonts w:ascii="Arial" w:cs="Arial" w:eastAsia="Arial" w:hAnsi="Arial"/>
          <w:sz w:val="21"/>
          <w:szCs w:val="21"/>
          <w:color w:val="auto"/>
        </w:rPr>
      </w:pPr>
      <w:r>
        <w:rPr>
          <w:rFonts w:ascii="Arial" w:cs="Arial" w:eastAsia="Arial" w:hAnsi="Arial"/>
          <w:sz w:val="21"/>
          <w:szCs w:val="21"/>
          <w:color w:val="auto"/>
        </w:rPr>
        <w:t>“Fair Market Value” shall mean the value of a Share, determined as follows: prior to the establishment of when-issued trading of the Shares on a national securities exchange, as determined by the Committee in its discretion; and after the establishment of when-issued trading of the Shares on a national securities exchange, the average of the high and low trading (or when-issued trading) prices for the Shares as reported on such national securities exchange for the applicable date or, if no such prices are reported for that date, the average of the high and low trading (or when-issued trading) prices on the immediately preceding date for which such prices were reported.</w:t>
      </w:r>
    </w:p>
    <w:p>
      <w:pPr>
        <w:spacing w:after="0" w:line="220" w:lineRule="exact"/>
        <w:rPr>
          <w:rFonts w:ascii="Arial" w:cs="Arial" w:eastAsia="Arial" w:hAnsi="Arial"/>
          <w:sz w:val="21"/>
          <w:szCs w:val="21"/>
          <w:color w:val="auto"/>
        </w:rPr>
      </w:pPr>
    </w:p>
    <w:p>
      <w:pPr>
        <w:ind w:right="360" w:firstLine="832"/>
        <w:spacing w:after="0" w:line="263" w:lineRule="auto"/>
        <w:tabs>
          <w:tab w:leader="none" w:pos="1487" w:val="left"/>
        </w:tabs>
        <w:numPr>
          <w:ilvl w:val="0"/>
          <w:numId w:val="36"/>
        </w:numPr>
        <w:rPr>
          <w:rFonts w:ascii="Arial" w:cs="Arial" w:eastAsia="Arial" w:hAnsi="Arial"/>
          <w:sz w:val="22"/>
          <w:szCs w:val="22"/>
          <w:color w:val="auto"/>
        </w:rPr>
      </w:pPr>
      <w:r>
        <w:rPr>
          <w:rFonts w:ascii="Arial" w:cs="Arial" w:eastAsia="Arial" w:hAnsi="Arial"/>
          <w:sz w:val="22"/>
          <w:szCs w:val="22"/>
          <w:color w:val="auto"/>
        </w:rPr>
        <w:t>“Issue Date” shall mean the last business day of each calendar quarter or any other date designated as an Issue Date by the Committee.</w:t>
      </w:r>
    </w:p>
    <w:p>
      <w:pPr>
        <w:spacing w:after="0" w:line="215" w:lineRule="exact"/>
        <w:rPr>
          <w:rFonts w:ascii="Arial" w:cs="Arial" w:eastAsia="Arial" w:hAnsi="Arial"/>
          <w:sz w:val="22"/>
          <w:szCs w:val="22"/>
          <w:color w:val="auto"/>
        </w:rPr>
      </w:pPr>
    </w:p>
    <w:p>
      <w:pPr>
        <w:ind w:left="1600" w:hanging="768"/>
        <w:spacing w:after="0"/>
        <w:tabs>
          <w:tab w:leader="none" w:pos="16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“Participant” shall mean an Employee who is selected by the Committee to receive an Award under the Plan.</w:t>
      </w:r>
    </w:p>
    <w:p>
      <w:pPr>
        <w:spacing w:after="0" w:line="294" w:lineRule="exact"/>
        <w:rPr>
          <w:rFonts w:ascii="Arial" w:cs="Arial" w:eastAsia="Arial" w:hAnsi="Arial"/>
          <w:sz w:val="19"/>
          <w:szCs w:val="19"/>
          <w:color w:val="auto"/>
        </w:rPr>
      </w:pPr>
    </w:p>
    <w:p>
      <w:pPr>
        <w:ind w:left="1540" w:hanging="708"/>
        <w:spacing w:after="0"/>
        <w:tabs>
          <w:tab w:leader="none" w:pos="15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“Plan” shall mean this General Motors Company Salary Stock Plan.</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\\6-5-13 ECC (HUM026)\Salary Stock Plan as Amended 6-5-13.doc</w:t>
      </w:r>
    </w:p>
    <w:p>
      <w:pPr>
        <w:sectPr>
          <w:pgSz w:w="11900" w:h="16838" w:orient="portrait"/>
          <w:cols w:equalWidth="0" w:num="1">
            <w:col w:w="11380"/>
          </w:cols>
          <w:pgMar w:left="240" w:top="591" w:right="279" w:bottom="1440" w:gutter="0" w:footer="0" w:header="0"/>
        </w:sectPr>
      </w:pPr>
    </w:p>
    <w:bookmarkStart w:id="73" w:name="page74"/>
    <w:bookmarkEnd w:id="73"/>
    <w:p>
      <w:pPr>
        <w:ind w:left="1540" w:hanging="708"/>
        <w:spacing w:after="0"/>
        <w:tabs>
          <w:tab w:leader="none" w:pos="15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“Restricted Stock Unit” or “RSU” shall mean any unit granted pursuant to and described in Section 6.</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“Shares” shall mean shares of the common stock of the Company, $0.01 par value.</w:t>
      </w:r>
    </w:p>
    <w:p>
      <w:pPr>
        <w:spacing w:after="0" w:line="260" w:lineRule="exact"/>
        <w:rPr>
          <w:rFonts w:ascii="Arial" w:cs="Arial" w:eastAsia="Arial" w:hAnsi="Arial"/>
          <w:sz w:val="22"/>
          <w:szCs w:val="22"/>
          <w:color w:val="auto"/>
        </w:rPr>
      </w:pPr>
    </w:p>
    <w:p>
      <w:pPr>
        <w:ind w:right="60" w:firstLine="832"/>
        <w:spacing w:after="0" w:line="343" w:lineRule="auto"/>
        <w:tabs>
          <w:tab w:leader="none" w:pos="1535" w:val="left"/>
        </w:tabs>
        <w:numPr>
          <w:ilvl w:val="0"/>
          <w:numId w:val="37"/>
        </w:numPr>
        <w:rPr>
          <w:rFonts w:ascii="Arial" w:cs="Arial" w:eastAsia="Arial" w:hAnsi="Arial"/>
          <w:sz w:val="19"/>
          <w:szCs w:val="19"/>
          <w:color w:val="auto"/>
        </w:rPr>
      </w:pPr>
      <w:r>
        <w:rPr>
          <w:rFonts w:ascii="Arial" w:cs="Arial" w:eastAsia="Arial" w:hAnsi="Arial"/>
          <w:sz w:val="19"/>
          <w:szCs w:val="19"/>
          <w:color w:val="auto"/>
        </w:rPr>
        <w:t>“Special Master” shall mean the Office of the Special Master for TARP Executive Compensation, established by the Secretary of the U.S. Treasury under the ARRA or any other office or agency which succeeds to the powers thereof.</w:t>
      </w:r>
    </w:p>
    <w:p>
      <w:pPr>
        <w:spacing w:after="0" w:line="145" w:lineRule="exact"/>
        <w:rPr>
          <w:rFonts w:ascii="Arial" w:cs="Arial" w:eastAsia="Arial" w:hAnsi="Arial"/>
          <w:sz w:val="19"/>
          <w:szCs w:val="19"/>
          <w:color w:val="auto"/>
        </w:rPr>
      </w:pPr>
    </w:p>
    <w:p>
      <w:pPr>
        <w:jc w:val="both"/>
        <w:ind w:firstLine="832"/>
        <w:spacing w:after="0" w:line="312" w:lineRule="auto"/>
        <w:tabs>
          <w:tab w:leader="none" w:pos="1499" w:val="left"/>
        </w:tabs>
        <w:numPr>
          <w:ilvl w:val="0"/>
          <w:numId w:val="37"/>
        </w:numPr>
        <w:rPr>
          <w:rFonts w:ascii="Arial" w:cs="Arial" w:eastAsia="Arial" w:hAnsi="Arial"/>
          <w:sz w:val="19"/>
          <w:szCs w:val="19"/>
          <w:color w:val="auto"/>
        </w:rPr>
      </w:pPr>
      <w:r>
        <w:rPr>
          <w:rFonts w:ascii="Arial" w:cs="Arial" w:eastAsia="Arial" w:hAnsi="Arial"/>
          <w:sz w:val="19"/>
          <w:szCs w:val="19"/>
          <w:color w:val="auto"/>
        </w:rPr>
        <w:t>“Subsidiary” shall mean (i) a company of which capital stock having ordinary voting power to elect a majority of the board of directors of such company is owned, directly or indirectly, by the Company or (ii) any unincorporated entity in respect of which the Company can exercise, directly or indirectly, comparable control to that described in clause (i).</w:t>
      </w:r>
    </w:p>
    <w:p>
      <w:pPr>
        <w:spacing w:after="0" w:line="174" w:lineRule="exact"/>
        <w:rPr>
          <w:rFonts w:ascii="Arial" w:cs="Arial" w:eastAsia="Arial" w:hAnsi="Arial"/>
          <w:sz w:val="19"/>
          <w:szCs w:val="19"/>
          <w:color w:val="auto"/>
        </w:rPr>
      </w:pPr>
    </w:p>
    <w:p>
      <w:pPr>
        <w:ind w:firstLine="832"/>
        <w:spacing w:after="0" w:line="263" w:lineRule="auto"/>
        <w:tabs>
          <w:tab w:leader="none" w:pos="1511" w:val="left"/>
        </w:tabs>
        <w:numPr>
          <w:ilvl w:val="0"/>
          <w:numId w:val="37"/>
        </w:numPr>
        <w:rPr>
          <w:rFonts w:ascii="Arial" w:cs="Arial" w:eastAsia="Arial" w:hAnsi="Arial"/>
          <w:sz w:val="22"/>
          <w:szCs w:val="22"/>
          <w:color w:val="auto"/>
        </w:rPr>
      </w:pPr>
      <w:r>
        <w:rPr>
          <w:rFonts w:ascii="Arial" w:cs="Arial" w:eastAsia="Arial" w:hAnsi="Arial"/>
          <w:sz w:val="22"/>
          <w:szCs w:val="22"/>
          <w:color w:val="auto"/>
        </w:rPr>
        <w:t>“Treasury Agreement” shall mean the Secured Credit Agreement among the Company, the U.S. Treasury, and the guarantors named therein dated July 10, 2009 as it may be subsequently restated or amended.</w:t>
      </w:r>
    </w:p>
    <w:p>
      <w:pPr>
        <w:spacing w:after="0" w:line="215" w:lineRule="exact"/>
        <w:rPr>
          <w:rFonts w:ascii="Arial" w:cs="Arial" w:eastAsia="Arial" w:hAnsi="Arial"/>
          <w:sz w:val="22"/>
          <w:szCs w:val="22"/>
          <w:color w:val="auto"/>
        </w:rPr>
      </w:pPr>
    </w:p>
    <w:p>
      <w:pPr>
        <w:ind w:left="1540" w:hanging="708"/>
        <w:spacing w:after="0"/>
        <w:tabs>
          <w:tab w:leader="none" w:pos="15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“Unit” shall mean a Restricted Stock Unit or RSU.</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“U.S. Treasury” shall mean the United States Department of the Treasury.</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Vice President, Global Human Resources shall mean the Vice President, Global Human Resources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\\6-5-13 ECC (HUM026)\Salary Stock Plan as Amended 6-5-13.doc</w:t>
      </w:r>
    </w:p>
    <w:p>
      <w:pPr>
        <w:sectPr>
          <w:pgSz w:w="11900" w:h="16838" w:orient="portrait"/>
          <w:cols w:equalWidth="0" w:num="1">
            <w:col w:w="11340"/>
          </w:cols>
          <w:pgMar w:left="240" w:top="591"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 2009 LONG-TERM INCENTIVE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As Amended August 19, 2013</w:t>
      </w:r>
    </w:p>
    <w:p>
      <w:pPr>
        <w:spacing w:after="0" w:line="220"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9"/>
          <w:szCs w:val="19"/>
          <w:i w:val="1"/>
          <w:iCs w:val="1"/>
          <w:color w:val="auto"/>
        </w:rPr>
        <w:t xml:space="preserve">SECTION 1. Purpose. </w:t>
      </w:r>
      <w:r>
        <w:rPr>
          <w:rFonts w:ascii="Arial" w:cs="Arial" w:eastAsia="Arial" w:hAnsi="Arial"/>
          <w:sz w:val="19"/>
          <w:szCs w:val="19"/>
          <w:color w:val="auto"/>
        </w:rPr>
        <w:t>The purpose of the General Motors Company 2009 Long-Term Incentive Plan is to</w:t>
      </w:r>
      <w:r>
        <w:rPr>
          <w:rFonts w:ascii="Arial" w:cs="Arial" w:eastAsia="Arial" w:hAnsi="Arial"/>
          <w:sz w:val="19"/>
          <w:szCs w:val="19"/>
          <w:i w:val="1"/>
          <w:iCs w:val="1"/>
          <w:color w:val="auto"/>
        </w:rPr>
        <w:t xml:space="preserve"> </w:t>
      </w:r>
      <w:r>
        <w:rPr>
          <w:rFonts w:ascii="Arial" w:cs="Arial" w:eastAsia="Arial" w:hAnsi="Arial"/>
          <w:sz w:val="19"/>
          <w:szCs w:val="19"/>
          <w:color w:val="auto"/>
        </w:rPr>
        <w:t>motivate and reward participating Employees toward the long-term success of the business by making them participants in that success. Capitalized terms used in the Plan shall have the definitions set forth in Section 11 of the Plan.</w:t>
      </w:r>
    </w:p>
    <w:p>
      <w:pPr>
        <w:spacing w:after="0" w:line="174"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i w:val="1"/>
          <w:iCs w:val="1"/>
          <w:color w:val="auto"/>
        </w:rPr>
        <w:t xml:space="preserve">SECTION 2. Administration. </w:t>
      </w:r>
      <w:r>
        <w:rPr>
          <w:rFonts w:ascii="Arial" w:cs="Arial" w:eastAsia="Arial" w:hAnsi="Arial"/>
          <w:sz w:val="19"/>
          <w:szCs w:val="19"/>
          <w:color w:val="auto"/>
        </w:rPr>
        <w:t>The Plan shall be administered by the Committee. The Committee shall have</w:t>
      </w:r>
      <w:r>
        <w:rPr>
          <w:rFonts w:ascii="Arial" w:cs="Arial" w:eastAsia="Arial" w:hAnsi="Arial"/>
          <w:sz w:val="19"/>
          <w:szCs w:val="19"/>
          <w:i w:val="1"/>
          <w:iCs w:val="1"/>
          <w:color w:val="auto"/>
        </w:rPr>
        <w:t xml:space="preserve"> </w:t>
      </w:r>
      <w:r>
        <w:rPr>
          <w:rFonts w:ascii="Arial" w:cs="Arial" w:eastAsia="Arial" w:hAnsi="Arial"/>
          <w:sz w:val="19"/>
          <w:szCs w:val="19"/>
          <w:color w:val="auto"/>
        </w:rPr>
        <w:t>full discretionary power and authority, subject to such orders or resolutions not inconsistent with the provisions of the Plan as may from time to time be adopted by the Board, to (i) select the Employees of the Company and its Subsidiaries to whom Awards may be granted hereunder; (ii) determine the number of Shares to be covered by each Award granted hereunder; (iii) determine whether, to what extent and under what circumstances Awards may be settled in cash, Shares or other property, or canceled, and (iv) interpret and administer the Plan and any Award Agreement, and establish such rules and regulations and appoint such agents as it shall deem appropriate for the proper administration of the Plan. The Committee may delegate to an appropriate Executive Officer of the Company responsibility for determining, within the limits established by the Committee, individual Awards for Employees who are not Executive Operations Committee members or Executive Officers of the Company.</w:t>
      </w:r>
    </w:p>
    <w:p>
      <w:pPr>
        <w:spacing w:after="0" w:line="198" w:lineRule="exact"/>
        <w:rPr>
          <w:sz w:val="20"/>
          <w:szCs w:val="20"/>
          <w:color w:val="auto"/>
        </w:rPr>
      </w:pPr>
    </w:p>
    <w:p>
      <w:pPr>
        <w:jc w:val="both"/>
        <w:ind w:right="760" w:firstLine="648"/>
        <w:spacing w:after="0" w:line="253" w:lineRule="auto"/>
        <w:rPr>
          <w:sz w:val="20"/>
          <w:szCs w:val="20"/>
          <w:color w:val="auto"/>
        </w:rPr>
      </w:pPr>
      <w:r>
        <w:rPr>
          <w:rFonts w:ascii="Arial" w:cs="Arial" w:eastAsia="Arial" w:hAnsi="Arial"/>
          <w:sz w:val="22"/>
          <w:szCs w:val="22"/>
          <w:color w:val="auto"/>
        </w:rPr>
        <w:t>Terms of Awards granted to Employees subject to compliance with the provisions of the Interim Final Rule and any determinations by the Special Master for TARP Executive Compensation will be determined by the Committee and will be included in the Award Agreements for those Employees.</w:t>
      </w:r>
    </w:p>
    <w:p>
      <w:pPr>
        <w:spacing w:after="0" w:line="186"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3.</w:t>
      </w:r>
      <w:r>
        <w:rPr>
          <w:sz w:val="20"/>
          <w:szCs w:val="20"/>
          <w:color w:val="auto"/>
        </w:rPr>
        <w:tab/>
      </w:r>
      <w:r>
        <w:rPr>
          <w:rFonts w:ascii="Arial" w:cs="Arial" w:eastAsia="Arial" w:hAnsi="Arial"/>
          <w:sz w:val="19"/>
          <w:szCs w:val="19"/>
          <w:i w:val="1"/>
          <w:iCs w:val="1"/>
          <w:color w:val="auto"/>
        </w:rPr>
        <w:t>Shares Subject to the Plan.</w:t>
      </w:r>
    </w:p>
    <w:p>
      <w:pPr>
        <w:spacing w:after="0" w:line="260" w:lineRule="exact"/>
        <w:rPr>
          <w:sz w:val="20"/>
          <w:szCs w:val="20"/>
          <w:color w:val="auto"/>
        </w:rPr>
      </w:pPr>
    </w:p>
    <w:p>
      <w:pPr>
        <w:ind w:right="40" w:firstLine="832"/>
        <w:spacing w:after="0" w:line="289" w:lineRule="auto"/>
        <w:tabs>
          <w:tab w:leader="none" w:pos="1523" w:val="left"/>
        </w:tabs>
        <w:numPr>
          <w:ilvl w:val="0"/>
          <w:numId w:val="38"/>
        </w:numPr>
        <w:rPr>
          <w:rFonts w:ascii="Arial" w:cs="Arial" w:eastAsia="Arial" w:hAnsi="Arial"/>
          <w:sz w:val="19"/>
          <w:szCs w:val="19"/>
          <w:color w:val="auto"/>
        </w:rPr>
      </w:pPr>
      <w:r>
        <w:rPr>
          <w:rFonts w:ascii="Arial" w:cs="Arial" w:eastAsia="Arial" w:hAnsi="Arial"/>
          <w:sz w:val="19"/>
          <w:szCs w:val="19"/>
          <w:color w:val="auto"/>
        </w:rPr>
        <w:t>Subject to the provisions of Section 3(f) below, the aggregate number of Shares with respect to which Awards may be granted under this Plan shall not exceed 75,000,000 Shares. Shares subject to awards granted under the General Motors Company Salary Stock Plan and the General Motors Company Short-Term Incentive Plan shall reduce the number of Shares with respect to which Awards may be granted under this Plan. Each share subject to a Stock Option or Stock Appreciation Right will reduce the number of shares available for issuance under the Plan by one share, and each share subject to a Restricted Stock Unit or Stock Award will reduce the number of shares available for issuance by two and one-half shares. Subject to the provisions of Section 3(f), for awards that are intended to constitute qualified performance based compensation under Section 162m of the Code, grants of Options or Stock Appreciation Rights in any calendar year may not cover more than 1,000,000 shares and grants of RSUs or Stock Awards in any calendar year may not cover more than 250,000 shares.</w:t>
      </w:r>
    </w:p>
    <w:p>
      <w:pPr>
        <w:spacing w:after="0" w:line="198" w:lineRule="exact"/>
        <w:rPr>
          <w:rFonts w:ascii="Arial" w:cs="Arial" w:eastAsia="Arial" w:hAnsi="Arial"/>
          <w:sz w:val="19"/>
          <w:szCs w:val="19"/>
          <w:color w:val="auto"/>
        </w:rPr>
      </w:pPr>
    </w:p>
    <w:p>
      <w:pPr>
        <w:ind w:right="140" w:firstLine="832"/>
        <w:spacing w:after="0" w:line="250" w:lineRule="auto"/>
        <w:tabs>
          <w:tab w:leader="none" w:pos="1535" w:val="left"/>
        </w:tabs>
        <w:numPr>
          <w:ilvl w:val="0"/>
          <w:numId w:val="38"/>
        </w:numPr>
        <w:rPr>
          <w:rFonts w:ascii="Arial" w:cs="Arial" w:eastAsia="Arial" w:hAnsi="Arial"/>
          <w:sz w:val="22"/>
          <w:szCs w:val="22"/>
          <w:color w:val="auto"/>
        </w:rPr>
      </w:pPr>
      <w:r>
        <w:rPr>
          <w:rFonts w:ascii="Arial" w:cs="Arial" w:eastAsia="Arial" w:hAnsi="Arial"/>
          <w:sz w:val="22"/>
          <w:szCs w:val="22"/>
          <w:color w:val="auto"/>
        </w:rPr>
        <w:t>Awards granted under the Plan that are settled in cash will not count against the approved share reserve. Awards, other than Substitute Awards, that are forfeited or otherwise terminate without the issuance of Shares will no longer be charged against the maximum share limitation and will again be available for future grants. These Shares will return to the available share pool at the same ratio at which they were granted.</w:t>
      </w:r>
    </w:p>
    <w:p>
      <w:pPr>
        <w:spacing w:after="0" w:line="228" w:lineRule="exact"/>
        <w:rPr>
          <w:rFonts w:ascii="Arial" w:cs="Arial" w:eastAsia="Arial" w:hAnsi="Arial"/>
          <w:sz w:val="22"/>
          <w:szCs w:val="22"/>
          <w:color w:val="auto"/>
        </w:rPr>
      </w:pPr>
    </w:p>
    <w:p>
      <w:pPr>
        <w:ind w:right="500" w:firstLine="832"/>
        <w:spacing w:after="0" w:line="263" w:lineRule="auto"/>
        <w:tabs>
          <w:tab w:leader="none" w:pos="1523" w:val="left"/>
        </w:tabs>
        <w:numPr>
          <w:ilvl w:val="0"/>
          <w:numId w:val="38"/>
        </w:numPr>
        <w:rPr>
          <w:rFonts w:ascii="Arial" w:cs="Arial" w:eastAsia="Arial" w:hAnsi="Arial"/>
          <w:sz w:val="22"/>
          <w:szCs w:val="22"/>
          <w:color w:val="auto"/>
        </w:rPr>
      </w:pPr>
      <w:r>
        <w:rPr>
          <w:rFonts w:ascii="Arial" w:cs="Arial" w:eastAsia="Arial" w:hAnsi="Arial"/>
          <w:sz w:val="22"/>
          <w:szCs w:val="22"/>
          <w:color w:val="auto"/>
        </w:rPr>
        <w:t>Shares withheld by or delivered to the Company to satisfy the exercise or conversion price of an Award or in payment of taxes will not again be available for future grants.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420"/>
          </w:cols>
          <w:pgMar w:left="240" w:top="585" w:right="239" w:bottom="1440" w:gutter="0" w:footer="0" w:header="0"/>
        </w:sectPr>
      </w:pPr>
    </w:p>
    <w:bookmarkStart w:id="75" w:name="page76"/>
    <w:bookmarkEnd w:id="75"/>
    <w:p>
      <w:pPr>
        <w:ind w:left="1540" w:hanging="708"/>
        <w:spacing w:after="0"/>
        <w:tabs>
          <w:tab w:leader="none" w:pos="15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Substitute Awards will not reduce the number of Shares authorized for grant hereunder.</w:t>
      </w:r>
    </w:p>
    <w:p>
      <w:pPr>
        <w:spacing w:after="0" w:line="260" w:lineRule="exact"/>
        <w:rPr>
          <w:rFonts w:ascii="Arial" w:cs="Arial" w:eastAsia="Arial" w:hAnsi="Arial"/>
          <w:sz w:val="22"/>
          <w:szCs w:val="22"/>
          <w:color w:val="auto"/>
        </w:rPr>
      </w:pPr>
    </w:p>
    <w:p>
      <w:pPr>
        <w:ind w:right="580" w:firstLine="832"/>
        <w:spacing w:after="0" w:line="263" w:lineRule="auto"/>
        <w:tabs>
          <w:tab w:leader="none" w:pos="1523"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Shares delivered in settlement of Awards hereunder may consist, in whole or in part, of authorized and unissued Shares, treasury Shares or Shares purchased in the open market or otherwise.</w:t>
      </w:r>
    </w:p>
    <w:p>
      <w:pPr>
        <w:spacing w:after="0" w:line="215" w:lineRule="exact"/>
        <w:rPr>
          <w:rFonts w:ascii="Arial" w:cs="Arial" w:eastAsia="Arial" w:hAnsi="Arial"/>
          <w:sz w:val="22"/>
          <w:szCs w:val="22"/>
          <w:color w:val="auto"/>
        </w:rPr>
      </w:pPr>
    </w:p>
    <w:p>
      <w:pPr>
        <w:ind w:right="80" w:firstLine="832"/>
        <w:spacing w:after="0" w:line="294" w:lineRule="auto"/>
        <w:tabs>
          <w:tab w:leader="none" w:pos="1499"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this Plan and the number of Shares subject to Awards granted under this Plan (provided the number of Shares subject to any Award shall always be a whole number), as may be determined to be appropriate by the Committee in its sole discretion in order to prevent unintended enhancement or diminution of the benefits or potential benefits intended to be conferred on Participants pursuant to Awards granted hereunder.</w:t>
      </w:r>
    </w:p>
    <w:p>
      <w:pPr>
        <w:spacing w:after="0" w:line="190"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4.</w:t>
      </w:r>
      <w:r>
        <w:rPr>
          <w:sz w:val="20"/>
          <w:szCs w:val="20"/>
          <w:color w:val="auto"/>
        </w:rPr>
        <w:tab/>
      </w:r>
      <w:r>
        <w:rPr>
          <w:rFonts w:ascii="Arial" w:cs="Arial" w:eastAsia="Arial" w:hAnsi="Arial"/>
          <w:sz w:val="22"/>
          <w:szCs w:val="22"/>
          <w:i w:val="1"/>
          <w:iCs w:val="1"/>
          <w:color w:val="auto"/>
        </w:rPr>
        <w:t>Eligibility.</w:t>
      </w:r>
    </w:p>
    <w:p>
      <w:pPr>
        <w:spacing w:after="0" w:line="260" w:lineRule="exact"/>
        <w:rPr>
          <w:sz w:val="20"/>
          <w:szCs w:val="20"/>
          <w:color w:val="auto"/>
        </w:rPr>
      </w:pPr>
    </w:p>
    <w:p>
      <w:pPr>
        <w:ind w:left="960" w:hanging="304"/>
        <w:spacing w:after="0"/>
        <w:tabs>
          <w:tab w:leader="none" w:pos="960" w:val="left"/>
        </w:tabs>
        <w:numPr>
          <w:ilvl w:val="0"/>
          <w:numId w:val="40"/>
        </w:numPr>
        <w:rPr>
          <w:rFonts w:ascii="Arial" w:cs="Arial" w:eastAsia="Arial" w:hAnsi="Arial"/>
          <w:sz w:val="22"/>
          <w:szCs w:val="22"/>
          <w:i w:val="1"/>
          <w:iCs w:val="1"/>
          <w:color w:val="auto"/>
        </w:rPr>
      </w:pPr>
      <w:r>
        <w:rPr>
          <w:rFonts w:ascii="Arial" w:cs="Arial" w:eastAsia="Arial" w:hAnsi="Arial"/>
          <w:sz w:val="22"/>
          <w:szCs w:val="22"/>
          <w:color w:val="auto"/>
        </w:rPr>
        <w:t>Any Employee shall be eligible to be selected as a Participant.</w:t>
      </w:r>
    </w:p>
    <w:p>
      <w:pPr>
        <w:spacing w:after="0" w:line="219" w:lineRule="exact"/>
        <w:rPr>
          <w:rFonts w:ascii="Arial" w:cs="Arial" w:eastAsia="Arial" w:hAnsi="Arial"/>
          <w:sz w:val="22"/>
          <w:szCs w:val="22"/>
          <w:i w:val="1"/>
          <w:iCs w:val="1"/>
          <w:color w:val="auto"/>
        </w:rPr>
      </w:pPr>
    </w:p>
    <w:p>
      <w:pPr>
        <w:ind w:left="960" w:hanging="304"/>
        <w:spacing w:after="0"/>
        <w:tabs>
          <w:tab w:leader="none" w:pos="960" w:val="left"/>
        </w:tabs>
        <w:numPr>
          <w:ilvl w:val="0"/>
          <w:numId w:val="4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Conditions Precedent. </w:t>
      </w:r>
      <w:r>
        <w:rPr>
          <w:rFonts w:ascii="Arial" w:cs="Arial" w:eastAsia="Arial" w:hAnsi="Arial"/>
          <w:sz w:val="19"/>
          <w:szCs w:val="19"/>
          <w:color w:val="auto"/>
        </w:rPr>
        <w:t>As a condition precedent to the vesting and settlement of any portion of an Award, Participants</w:t>
      </w:r>
    </w:p>
    <w:p>
      <w:pPr>
        <w:spacing w:after="0" w:line="56" w:lineRule="exact"/>
        <w:rPr>
          <w:rFonts w:ascii="Arial" w:cs="Arial" w:eastAsia="Arial" w:hAnsi="Arial"/>
          <w:sz w:val="19"/>
          <w:szCs w:val="19"/>
          <w:i w:val="1"/>
          <w:iCs w:val="1"/>
          <w:color w:val="auto"/>
        </w:rPr>
      </w:pPr>
    </w:p>
    <w:p>
      <w:pPr>
        <w:ind w:right="40"/>
        <w:spacing w:after="0" w:line="285" w:lineRule="auto"/>
        <w:rPr>
          <w:rFonts w:ascii="Arial" w:cs="Arial" w:eastAsia="Arial" w:hAnsi="Arial"/>
          <w:sz w:val="19"/>
          <w:szCs w:val="19"/>
          <w:i w:val="1"/>
          <w:iCs w:val="1"/>
          <w:color w:val="auto"/>
        </w:rPr>
      </w:pPr>
      <w:r>
        <w:rPr>
          <w:rFonts w:ascii="Arial" w:cs="Arial" w:eastAsia="Arial" w:hAnsi="Arial"/>
          <w:sz w:val="19"/>
          <w:szCs w:val="19"/>
          <w:color w:val="auto"/>
        </w:rPr>
        <w:t>shall: (i) continue to render services as an Employee (except as provided in Section 6(d) or to the extent this condition is waived by the Committee), (ii) refrain from engaging in any activity which, in the opinion of the Chief Executive Officer or Senior Vice President, Global Human Resources, is in any manner inimical or in any way contrary to the best interests of the Company. (For purposes of this provision, the determination of whether an action will cause damage to the Company, or is inimical or in any way contrary to the best interests of the Company shall be made in the sole discretion of the Chief Executive Officer or Senior Vice President, Global Human Resources of the Company.), (iii) not for a period of 12 months following any voluntary termination of employment, directly or indirectly, knowingly induce any Employee or employee of an affiliate of the Company to leave their employment for participation, directly or indirectly, with any existing or future business venture associated with such individual, and (iv) furnish to the Company such information with respect to the satisfaction of the foregoing conditions precedent as the Committee shall reasonably request. The failure by any Participant to satisfy any of the conditions precedent shall result in the immediate cancellation of the unvested portion of any Award previously made to such Participant and such Participant shall not be entitled to receive any consideration with respect to such cancellation.</w:t>
      </w:r>
    </w:p>
    <w:p>
      <w:pPr>
        <w:spacing w:after="0" w:line="164"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i w:val="1"/>
          <w:iCs w:val="1"/>
          <w:color w:val="auto"/>
        </w:rPr>
        <w:t xml:space="preserve">SECTION 5. </w:t>
      </w:r>
      <w:r>
        <w:rPr>
          <w:rFonts w:ascii="Arial" w:cs="Arial" w:eastAsia="Arial" w:hAnsi="Arial"/>
          <w:sz w:val="22"/>
          <w:szCs w:val="22"/>
          <w:color w:val="auto"/>
        </w:rPr>
        <w:t>The Committee may require a Participant to enter into such agreements as the Committee in its</w:t>
      </w:r>
      <w:r>
        <w:rPr>
          <w:rFonts w:ascii="Arial" w:cs="Arial" w:eastAsia="Arial" w:hAnsi="Arial"/>
          <w:sz w:val="22"/>
          <w:szCs w:val="22"/>
          <w:i w:val="1"/>
          <w:iCs w:val="1"/>
          <w:color w:val="auto"/>
        </w:rPr>
        <w:t xml:space="preserve"> </w:t>
      </w:r>
      <w:r>
        <w:rPr>
          <w:rFonts w:ascii="Arial" w:cs="Arial" w:eastAsia="Arial" w:hAnsi="Arial"/>
          <w:sz w:val="22"/>
          <w:szCs w:val="22"/>
          <w:color w:val="auto"/>
        </w:rPr>
        <w:t>sole discretion considers appropriate and in the best interests of the Company.</w:t>
      </w:r>
    </w:p>
    <w:p>
      <w:pPr>
        <w:spacing w:after="0" w:line="215"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6.</w:t>
      </w:r>
      <w:r>
        <w:rPr>
          <w:sz w:val="20"/>
          <w:szCs w:val="20"/>
          <w:color w:val="auto"/>
        </w:rPr>
        <w:tab/>
      </w:r>
      <w:r>
        <w:rPr>
          <w:rFonts w:ascii="Arial" w:cs="Arial" w:eastAsia="Arial" w:hAnsi="Arial"/>
          <w:sz w:val="19"/>
          <w:szCs w:val="19"/>
          <w:i w:val="1"/>
          <w:iCs w:val="1"/>
          <w:color w:val="auto"/>
        </w:rPr>
        <w:t>Stock Awards and Restricted Stock Units.</w:t>
      </w:r>
    </w:p>
    <w:p>
      <w:pPr>
        <w:spacing w:after="0" w:line="260" w:lineRule="exact"/>
        <w:rPr>
          <w:sz w:val="20"/>
          <w:szCs w:val="20"/>
          <w:color w:val="auto"/>
        </w:rPr>
      </w:pPr>
    </w:p>
    <w:p>
      <w:pPr>
        <w:ind w:left="660" w:right="80" w:firstLine="820"/>
        <w:spacing w:after="0" w:line="248" w:lineRule="auto"/>
        <w:tabs>
          <w:tab w:leader="none" w:pos="2183"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Grant and Performance Conditions</w:t>
      </w:r>
      <w:r>
        <w:rPr>
          <w:rFonts w:ascii="Arial" w:cs="Arial" w:eastAsia="Arial" w:hAnsi="Arial"/>
          <w:sz w:val="22"/>
          <w:szCs w:val="22"/>
          <w:color w:val="auto"/>
        </w:rPr>
        <w:t>. The Committee may grant Restricted Stock Unit Awards or Stock</w:t>
      </w:r>
      <w:r>
        <w:rPr>
          <w:rFonts w:ascii="Arial" w:cs="Arial" w:eastAsia="Arial" w:hAnsi="Arial"/>
          <w:sz w:val="22"/>
          <w:szCs w:val="22"/>
          <w:i w:val="1"/>
          <w:iCs w:val="1"/>
          <w:color w:val="auto"/>
        </w:rPr>
        <w:t xml:space="preserve"> </w:t>
      </w:r>
      <w:r>
        <w:rPr>
          <w:rFonts w:ascii="Arial" w:cs="Arial" w:eastAsia="Arial" w:hAnsi="Arial"/>
          <w:sz w:val="22"/>
          <w:szCs w:val="22"/>
          <w:color w:val="auto"/>
        </w:rPr>
        <w:t>Awards to Participants, from time to time. Such Awards shall be valued by reference to a designated number of Shares. A Stock Award or RSU Award shall be subject to the terms and conditions set forth in this Section 6 and the terms set forth in the applicable Award Agreement. In the case of a discrepancy between the Plan and the RSU Award Agreement, the terms of the RSU Award Agreement will control.</w:t>
      </w:r>
    </w:p>
    <w:p>
      <w:pPr>
        <w:spacing w:after="0" w:line="232" w:lineRule="exact"/>
        <w:rPr>
          <w:rFonts w:ascii="Arial" w:cs="Arial" w:eastAsia="Arial" w:hAnsi="Arial"/>
          <w:sz w:val="22"/>
          <w:szCs w:val="22"/>
          <w:color w:val="auto"/>
        </w:rPr>
      </w:pPr>
    </w:p>
    <w:p>
      <w:pPr>
        <w:ind w:left="660" w:firstLine="820"/>
        <w:spacing w:after="0" w:line="263" w:lineRule="auto"/>
        <w:tabs>
          <w:tab w:leader="none" w:pos="2195"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Nonforfeitability</w:t>
      </w:r>
      <w:r>
        <w:rPr>
          <w:rFonts w:ascii="Arial" w:cs="Arial" w:eastAsia="Arial" w:hAnsi="Arial"/>
          <w:sz w:val="22"/>
          <w:szCs w:val="22"/>
          <w:color w:val="auto"/>
        </w:rPr>
        <w:t>. No portion of a Stock Award or RSU Award shall become nonforfeitable or transferable,</w:t>
      </w:r>
      <w:r>
        <w:rPr>
          <w:rFonts w:ascii="Arial" w:cs="Arial" w:eastAsia="Arial" w:hAnsi="Arial"/>
          <w:sz w:val="22"/>
          <w:szCs w:val="22"/>
          <w:i w:val="1"/>
          <w:iCs w:val="1"/>
          <w:color w:val="auto"/>
        </w:rPr>
        <w:t xml:space="preserve"> </w:t>
      </w:r>
      <w:r>
        <w:rPr>
          <w:rFonts w:ascii="Arial" w:cs="Arial" w:eastAsia="Arial" w:hAnsi="Arial"/>
          <w:sz w:val="22"/>
          <w:szCs w:val="22"/>
          <w:color w:val="auto"/>
        </w:rPr>
        <w:t>as applicable, prior to a date specified by the Committee in the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400"/>
          </w:cols>
          <w:pgMar w:left="240" w:top="591" w:right="259" w:bottom="1440" w:gutter="0" w:footer="0" w:header="0"/>
        </w:sectPr>
      </w:pPr>
    </w:p>
    <w:bookmarkStart w:id="76" w:name="page77"/>
    <w:bookmarkEnd w:id="76"/>
    <w:p>
      <w:pPr>
        <w:jc w:val="both"/>
        <w:ind w:left="660" w:right="40"/>
        <w:spacing w:after="0" w:line="312" w:lineRule="auto"/>
        <w:rPr>
          <w:sz w:val="20"/>
          <w:szCs w:val="20"/>
          <w:color w:val="auto"/>
        </w:rPr>
      </w:pPr>
      <w:r>
        <w:rPr>
          <w:rFonts w:ascii="Arial" w:cs="Arial" w:eastAsia="Arial" w:hAnsi="Arial"/>
          <w:sz w:val="19"/>
          <w:szCs w:val="19"/>
          <w:color w:val="auto"/>
        </w:rPr>
        <w:t>Award Agreement except as set forth in Section 6(d). A Participant must remain continuously employed by the Company or a Subsidiary through the nonforfeitability date specified in the Award Agreement except as set forth in Section 6(d). Awards shall be conditioned upon the achievement of Performance Conditions, if applicable, as specified in the Award Agreement.</w:t>
      </w:r>
    </w:p>
    <w:p>
      <w:pPr>
        <w:spacing w:after="0" w:line="174" w:lineRule="exact"/>
        <w:rPr>
          <w:sz w:val="20"/>
          <w:szCs w:val="20"/>
          <w:color w:val="auto"/>
        </w:rPr>
      </w:pPr>
    </w:p>
    <w:p>
      <w:pPr>
        <w:ind w:left="660" w:right="500" w:firstLine="820"/>
        <w:spacing w:after="0" w:line="263" w:lineRule="auto"/>
        <w:tabs>
          <w:tab w:leader="none" w:pos="2183"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Payment and Delivery</w:t>
      </w:r>
      <w:r>
        <w:rPr>
          <w:rFonts w:ascii="Arial" w:cs="Arial" w:eastAsia="Arial" w:hAnsi="Arial"/>
          <w:sz w:val="22"/>
          <w:szCs w:val="22"/>
          <w:color w:val="auto"/>
        </w:rPr>
        <w:t>. No RSU Award shall be paid or settled prior to the first applicable Settlement</w:t>
      </w:r>
      <w:r>
        <w:rPr>
          <w:rFonts w:ascii="Arial" w:cs="Arial" w:eastAsia="Arial" w:hAnsi="Arial"/>
          <w:sz w:val="22"/>
          <w:szCs w:val="22"/>
          <w:i w:val="1"/>
          <w:iCs w:val="1"/>
          <w:color w:val="auto"/>
        </w:rPr>
        <w:t xml:space="preserve"> </w:t>
      </w:r>
      <w:r>
        <w:rPr>
          <w:rFonts w:ascii="Arial" w:cs="Arial" w:eastAsia="Arial" w:hAnsi="Arial"/>
          <w:sz w:val="22"/>
          <w:szCs w:val="22"/>
          <w:color w:val="auto"/>
        </w:rPr>
        <w:t>Date, except as provided in Section 6(d)(i) .</w:t>
      </w:r>
    </w:p>
    <w:p>
      <w:pPr>
        <w:spacing w:after="0" w:line="215" w:lineRule="exact"/>
        <w:rPr>
          <w:rFonts w:ascii="Arial" w:cs="Arial" w:eastAsia="Arial" w:hAnsi="Arial"/>
          <w:sz w:val="22"/>
          <w:szCs w:val="22"/>
          <w:color w:val="auto"/>
        </w:rPr>
      </w:pPr>
    </w:p>
    <w:p>
      <w:pPr>
        <w:ind w:left="660" w:right="80" w:firstLine="820"/>
        <w:spacing w:after="0" w:line="253" w:lineRule="auto"/>
        <w:tabs>
          <w:tab w:leader="none" w:pos="2195"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Termination of Employment</w:t>
      </w:r>
      <w:r>
        <w:rPr>
          <w:rFonts w:ascii="Arial" w:cs="Arial" w:eastAsia="Arial" w:hAnsi="Arial"/>
          <w:sz w:val="22"/>
          <w:szCs w:val="22"/>
          <w:color w:val="auto"/>
        </w:rPr>
        <w:t>. Except as set forth in this subsection, upon the termination of a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employment, any Award (or portion thereof) held by such Participant that has not become nonforfeitable at the time of such termination shall be forfeited.</w:t>
      </w:r>
    </w:p>
    <w:p>
      <w:pPr>
        <w:spacing w:after="0" w:line="226" w:lineRule="exact"/>
        <w:rPr>
          <w:rFonts w:ascii="Arial" w:cs="Arial" w:eastAsia="Arial" w:hAnsi="Arial"/>
          <w:sz w:val="22"/>
          <w:szCs w:val="22"/>
          <w:color w:val="auto"/>
        </w:rPr>
      </w:pPr>
    </w:p>
    <w:p>
      <w:pPr>
        <w:ind w:left="660" w:right="60" w:firstLine="969"/>
        <w:spacing w:after="0" w:line="288" w:lineRule="auto"/>
        <w:tabs>
          <w:tab w:leader="none" w:pos="2160" w:val="left"/>
        </w:tabs>
        <w:numPr>
          <w:ilvl w:val="1"/>
          <w:numId w:val="42"/>
        </w:numPr>
        <w:rPr>
          <w:rFonts w:ascii="Arial" w:cs="Arial" w:eastAsia="Arial" w:hAnsi="Arial"/>
          <w:sz w:val="19"/>
          <w:szCs w:val="19"/>
          <w:color w:val="auto"/>
        </w:rPr>
      </w:pPr>
      <w:r>
        <w:rPr>
          <w:rFonts w:ascii="Arial" w:cs="Arial" w:eastAsia="Arial" w:hAnsi="Arial"/>
          <w:sz w:val="19"/>
          <w:szCs w:val="19"/>
          <w:color w:val="auto"/>
        </w:rPr>
        <w:t>In the event that the Participant's employment terminates as a result of his or her death, all Awards held by such Participant shall be fully retained and become nonforfeitable, provided, however, that if the relevant Award was granted to a Participant at a time when the Participant was among the 75 employees for whom the structure of applicable compensation was subject to regulatory approval under the TARP regulations, then only a pro rata portion of all Awards held by such Participant shall be retained and become nonforfeitable. For Awards subject to proration, the retained portion shall be determined by multiplying the number of shares comprising or underlying the Award by a fraction, the numerator of which is the number of full and partial calendar months elapsed from the Proration Date to the date of death and the denominator of which is the number of months from the Grant Date to the date on which such Award would have become nonforfeitable in accordance with Section 6(b). In no event will such fraction exceed 1.0. Any retained Award, or portion of Award, will be settled in the form provided in Section 6(e) and the Settlement Date for such Awards will occur as soon as practicable after the date of death.</w:t>
      </w:r>
    </w:p>
    <w:p>
      <w:pPr>
        <w:spacing w:after="0" w:line="195" w:lineRule="exact"/>
        <w:rPr>
          <w:rFonts w:ascii="Arial" w:cs="Arial" w:eastAsia="Arial" w:hAnsi="Arial"/>
          <w:sz w:val="19"/>
          <w:szCs w:val="19"/>
          <w:color w:val="auto"/>
        </w:rPr>
      </w:pPr>
    </w:p>
    <w:p>
      <w:pPr>
        <w:ind w:left="660" w:firstLine="969"/>
        <w:spacing w:after="0" w:line="271" w:lineRule="auto"/>
        <w:tabs>
          <w:tab w:leader="none" w:pos="2221" w:val="left"/>
        </w:tabs>
        <w:numPr>
          <w:ilvl w:val="1"/>
          <w:numId w:val="42"/>
        </w:numPr>
        <w:rPr>
          <w:rFonts w:ascii="Arial" w:cs="Arial" w:eastAsia="Arial" w:hAnsi="Arial"/>
          <w:sz w:val="21"/>
          <w:szCs w:val="21"/>
          <w:color w:val="auto"/>
        </w:rPr>
      </w:pPr>
      <w:r>
        <w:rPr>
          <w:rFonts w:ascii="Arial" w:cs="Arial" w:eastAsia="Arial" w:hAnsi="Arial"/>
          <w:sz w:val="21"/>
          <w:szCs w:val="21"/>
          <w:color w:val="auto"/>
        </w:rPr>
        <w:t>In the event of the Participant's Disability, all Awards (or portions thereof) held by such Participant will be continue to vest and any awards will be subject to the payment and delivery provisions set forth in Section 6(c). The retained Award (or portion thereof) will be settled in the form provided in Section 6(e).</w:t>
      </w:r>
    </w:p>
    <w:p>
      <w:pPr>
        <w:spacing w:after="0" w:line="208" w:lineRule="exact"/>
        <w:rPr>
          <w:rFonts w:ascii="Arial" w:cs="Arial" w:eastAsia="Arial" w:hAnsi="Arial"/>
          <w:sz w:val="21"/>
          <w:szCs w:val="21"/>
          <w:color w:val="auto"/>
        </w:rPr>
      </w:pPr>
    </w:p>
    <w:p>
      <w:pPr>
        <w:ind w:left="660" w:right="40" w:firstLine="969"/>
        <w:spacing w:after="0" w:line="286" w:lineRule="auto"/>
        <w:tabs>
          <w:tab w:leader="none" w:pos="2335" w:val="left"/>
        </w:tabs>
        <w:numPr>
          <w:ilvl w:val="1"/>
          <w:numId w:val="42"/>
        </w:numPr>
        <w:rPr>
          <w:rFonts w:ascii="Arial" w:cs="Arial" w:eastAsia="Arial" w:hAnsi="Arial"/>
          <w:sz w:val="19"/>
          <w:szCs w:val="19"/>
          <w:color w:val="auto"/>
        </w:rPr>
      </w:pPr>
      <w:r>
        <w:rPr>
          <w:rFonts w:ascii="Arial" w:cs="Arial" w:eastAsia="Arial" w:hAnsi="Arial"/>
          <w:sz w:val="19"/>
          <w:szCs w:val="19"/>
          <w:color w:val="auto"/>
        </w:rPr>
        <w:t>In the case of any Award which is not a TARP Award, in the event that the Participant voluntarily terminates from the Company at age 55 or older with ten or more years of service or at age 62 or older, and in either case prior to the first anniversary of the Grant Date of an Award, subject to other terms and conditions of the Plan, a pro rata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voluntary separation and the denominator of which is the number of months from the Grant Date to the date on which such Award would have become completely nonforfeitable in accordance with Section 6(b). In no event will such fraction exceed 1.0. In the event such Participant voluntarily terminates from the Company at age 55 or older with ten or more years of service or at age 62 or older, and in either case after the first anniversary of the Grant Date of an Award, such Award shall continue to vest and be settled on the scheduled Settlement Date(s) in the form provided in Section 6(e). For purposes of this subsection 6(d)(iii), if a Participant has an outstanding Award granted at a time when the Participant was among the 75 employees for whom the structure of applicable compensation was subject to regulatory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420"/>
          </w:cols>
          <w:pgMar w:left="240" w:top="591" w:right="239" w:bottom="1440" w:gutter="0" w:footer="0" w:header="0"/>
        </w:sectPr>
      </w:pPr>
    </w:p>
    <w:bookmarkStart w:id="77" w:name="page78"/>
    <w:bookmarkEnd w:id="77"/>
    <w:p>
      <w:pPr>
        <w:ind w:left="660" w:right="280"/>
        <w:spacing w:after="0" w:line="251" w:lineRule="auto"/>
        <w:rPr>
          <w:sz w:val="20"/>
          <w:szCs w:val="20"/>
          <w:color w:val="auto"/>
        </w:rPr>
      </w:pPr>
      <w:r>
        <w:rPr>
          <w:rFonts w:ascii="Arial" w:cs="Arial" w:eastAsia="Arial" w:hAnsi="Arial"/>
          <w:sz w:val="22"/>
          <w:szCs w:val="22"/>
          <w:color w:val="auto"/>
        </w:rPr>
        <w:t>under the TARP regulations, the Participant shall only retain a pro rata portion of any such Award (calculated as set forth above) if the Participant voluntarily terminates from the Company.</w:t>
      </w:r>
    </w:p>
    <w:p>
      <w:pPr>
        <w:spacing w:after="0" w:line="2" w:lineRule="exact"/>
        <w:rPr>
          <w:sz w:val="20"/>
          <w:szCs w:val="20"/>
          <w:color w:val="auto"/>
        </w:rPr>
      </w:pPr>
    </w:p>
    <w:p>
      <w:pPr>
        <w:ind w:left="660" w:right="60" w:firstLine="969"/>
        <w:spacing w:after="0" w:line="287" w:lineRule="auto"/>
        <w:tabs>
          <w:tab w:leader="none" w:pos="2323"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 the case of any TARP Award, in the event that the Participant voluntarily terminates from the Company at age 55 or older with ten or more years of service or at age 62 or older, and in either case such Participant has remained continuously employed for two years from the Grant Date, subject to other terms and conditions of the Plan, a prorated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retirement and the denominator of which is the number of months from the Grant Date to the date on which such Award would have become completely nonforfeitable in accordance with Section 6(b). In no event will such fraction exceed 1.0. Any retained RSU Awards will be settled on the scheduled Settlement Date(s) in the form provided in Section 6(e).</w:t>
      </w:r>
    </w:p>
    <w:p>
      <w:pPr>
        <w:spacing w:after="0" w:line="196" w:lineRule="exact"/>
        <w:rPr>
          <w:rFonts w:ascii="Arial" w:cs="Arial" w:eastAsia="Arial" w:hAnsi="Arial"/>
          <w:sz w:val="19"/>
          <w:szCs w:val="19"/>
          <w:color w:val="auto"/>
        </w:rPr>
      </w:pPr>
    </w:p>
    <w:p>
      <w:pPr>
        <w:ind w:left="660" w:right="440" w:firstLine="969"/>
        <w:spacing w:after="0" w:line="263" w:lineRule="auto"/>
        <w:tabs>
          <w:tab w:leader="none" w:pos="2209" w:val="left"/>
        </w:tabs>
        <w:numPr>
          <w:ilvl w:val="1"/>
          <w:numId w:val="43"/>
        </w:numPr>
        <w:rPr>
          <w:rFonts w:ascii="Arial" w:cs="Arial" w:eastAsia="Arial" w:hAnsi="Arial"/>
          <w:sz w:val="22"/>
          <w:szCs w:val="22"/>
          <w:color w:val="auto"/>
        </w:rPr>
      </w:pPr>
      <w:r>
        <w:rPr>
          <w:rFonts w:ascii="Arial" w:cs="Arial" w:eastAsia="Arial" w:hAnsi="Arial"/>
          <w:sz w:val="22"/>
          <w:szCs w:val="22"/>
          <w:color w:val="auto"/>
        </w:rPr>
        <w:t>Any Participant who separates from the Company or a Subsidiary for any reason not specified in this Section 6(d) will not be entitled to retain any portion of an Award.</w:t>
      </w:r>
    </w:p>
    <w:p>
      <w:pPr>
        <w:spacing w:after="0" w:line="215" w:lineRule="exact"/>
        <w:rPr>
          <w:rFonts w:ascii="Arial" w:cs="Arial" w:eastAsia="Arial" w:hAnsi="Arial"/>
          <w:sz w:val="22"/>
          <w:szCs w:val="22"/>
          <w:color w:val="auto"/>
        </w:rPr>
      </w:pPr>
    </w:p>
    <w:p>
      <w:pPr>
        <w:jc w:val="both"/>
        <w:ind w:left="660" w:right="100" w:firstLine="969"/>
        <w:spacing w:after="0" w:line="253" w:lineRule="auto"/>
        <w:tabs>
          <w:tab w:leader="none" w:pos="2323" w:val="left"/>
        </w:tabs>
        <w:numPr>
          <w:ilvl w:val="1"/>
          <w:numId w:val="43"/>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6(d), any Award that is designated as a special retention award in the applicable Award Agreement may be subject to vesting and forfeiture terms set forth in such Award Agreement which differ from the terms above.</w:t>
      </w:r>
    </w:p>
    <w:p>
      <w:pPr>
        <w:spacing w:after="0" w:line="226" w:lineRule="exact"/>
        <w:rPr>
          <w:rFonts w:ascii="Arial" w:cs="Arial" w:eastAsia="Arial" w:hAnsi="Arial"/>
          <w:sz w:val="22"/>
          <w:szCs w:val="22"/>
          <w:color w:val="auto"/>
        </w:rPr>
      </w:pPr>
    </w:p>
    <w:p>
      <w:pPr>
        <w:jc w:val="both"/>
        <w:ind w:right="20" w:firstLine="832"/>
        <w:spacing w:after="0" w:line="297" w:lineRule="auto"/>
        <w:tabs>
          <w:tab w:leader="none" w:pos="1523"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Form of Settlement</w:t>
      </w:r>
      <w:r>
        <w:rPr>
          <w:rFonts w:ascii="Arial" w:cs="Arial" w:eastAsia="Arial" w:hAnsi="Arial"/>
          <w:sz w:val="19"/>
          <w:szCs w:val="19"/>
          <w:color w:val="auto"/>
        </w:rPr>
        <w:t>. Each RSU Award shall be settled on any applicable Settlement Date by delivery of Shares. If</w:t>
      </w:r>
      <w:r>
        <w:rPr>
          <w:rFonts w:ascii="Arial" w:cs="Arial" w:eastAsia="Arial" w:hAnsi="Arial"/>
          <w:sz w:val="19"/>
          <w:szCs w:val="19"/>
          <w:i w:val="1"/>
          <w:iCs w:val="1"/>
          <w:color w:val="auto"/>
        </w:rPr>
        <w:t xml:space="preserve"> </w:t>
      </w:r>
      <w:r>
        <w:rPr>
          <w:rFonts w:ascii="Arial" w:cs="Arial" w:eastAsia="Arial" w:hAnsi="Arial"/>
          <w:sz w:val="19"/>
          <w:szCs w:val="19"/>
          <w:color w:val="auto"/>
        </w:rPr>
        <w:t>a Settlement Date for any RSU Award occurs prior to the date which is six months following the consummation of an underwritten public offering of Shares, the Award shall be settled by the delivery of the Fair Market Value of Shares, in cash. Such delivery shall take place promptly after the applicable Settlement Date; provided, however, that such delivery shall be made in all events not later than December 31 of the calendar year in which such Settlement Date occurs.</w:t>
      </w:r>
    </w:p>
    <w:p>
      <w:pPr>
        <w:spacing w:after="0" w:line="187" w:lineRule="exact"/>
        <w:rPr>
          <w:rFonts w:ascii="Arial" w:cs="Arial" w:eastAsia="Arial" w:hAnsi="Arial"/>
          <w:sz w:val="19"/>
          <w:szCs w:val="19"/>
          <w:color w:val="auto"/>
        </w:rPr>
      </w:pPr>
    </w:p>
    <w:p>
      <w:pPr>
        <w:ind w:firstLine="832"/>
        <w:spacing w:after="0" w:line="287" w:lineRule="auto"/>
        <w:tabs>
          <w:tab w:leader="none" w:pos="1499" w:val="left"/>
        </w:tabs>
        <w:numPr>
          <w:ilvl w:val="0"/>
          <w:numId w:val="44"/>
        </w:numPr>
        <w:rPr>
          <w:rFonts w:ascii="Arial" w:cs="Arial" w:eastAsia="Arial" w:hAnsi="Arial"/>
          <w:sz w:val="21"/>
          <w:szCs w:val="21"/>
          <w:color w:val="auto"/>
        </w:rPr>
      </w:pPr>
      <w:r>
        <w:rPr>
          <w:rFonts w:ascii="Arial" w:cs="Arial" w:eastAsia="Arial" w:hAnsi="Arial"/>
          <w:sz w:val="21"/>
          <w:szCs w:val="21"/>
          <w:i w:val="1"/>
          <w:iCs w:val="1"/>
          <w:color w:val="auto"/>
        </w:rPr>
        <w:t>No Rights of a Shareholder</w:t>
      </w:r>
      <w:r>
        <w:rPr>
          <w:rFonts w:ascii="Arial" w:cs="Arial" w:eastAsia="Arial" w:hAnsi="Arial"/>
          <w:sz w:val="21"/>
          <w:szCs w:val="21"/>
          <w:color w:val="auto"/>
        </w:rPr>
        <w:t>. No holder of any RSU Award shall have any rights to dividends or any other rights of</w:t>
      </w:r>
      <w:r>
        <w:rPr>
          <w:rFonts w:ascii="Arial" w:cs="Arial" w:eastAsia="Arial" w:hAnsi="Arial"/>
          <w:sz w:val="21"/>
          <w:szCs w:val="21"/>
          <w:i w:val="1"/>
          <w:iCs w:val="1"/>
          <w:color w:val="auto"/>
        </w:rPr>
        <w:t xml:space="preserve"> </w:t>
      </w:r>
      <w:r>
        <w:rPr>
          <w:rFonts w:ascii="Arial" w:cs="Arial" w:eastAsia="Arial" w:hAnsi="Arial"/>
          <w:sz w:val="21"/>
          <w:szCs w:val="21"/>
          <w:color w:val="auto"/>
        </w:rPr>
        <w:t>a stockholder with respect to Shares subject to an Award prior to becoming the record owner of such Shares.</w:t>
      </w:r>
    </w:p>
    <w:p>
      <w:pPr>
        <w:spacing w:after="0" w:line="192" w:lineRule="exact"/>
        <w:rPr>
          <w:rFonts w:ascii="Arial" w:cs="Arial" w:eastAsia="Arial" w:hAnsi="Arial"/>
          <w:sz w:val="21"/>
          <w:szCs w:val="21"/>
          <w:color w:val="auto"/>
        </w:rPr>
      </w:pPr>
    </w:p>
    <w:p>
      <w:pPr>
        <w:ind w:right="60" w:firstLine="832"/>
        <w:spacing w:after="0" w:line="253" w:lineRule="auto"/>
        <w:tabs>
          <w:tab w:leader="none" w:pos="1535"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Leave of Absence</w:t>
      </w:r>
      <w:r>
        <w:rPr>
          <w:rFonts w:ascii="Arial" w:cs="Arial" w:eastAsia="Arial" w:hAnsi="Arial"/>
          <w:sz w:val="22"/>
          <w:szCs w:val="22"/>
          <w:color w:val="auto"/>
        </w:rPr>
        <w:t>. Notwithstanding Section 6(d), a qualifying leave of absence shall not constitute a termination</w:t>
      </w:r>
      <w:r>
        <w:rPr>
          <w:rFonts w:ascii="Arial" w:cs="Arial" w:eastAsia="Arial" w:hAnsi="Arial"/>
          <w:sz w:val="22"/>
          <w:szCs w:val="22"/>
          <w:i w:val="1"/>
          <w:iCs w:val="1"/>
          <w:color w:val="auto"/>
        </w:rPr>
        <w:t xml:space="preserve"> </w:t>
      </w:r>
      <w:r>
        <w:rPr>
          <w:rFonts w:ascii="Arial" w:cs="Arial" w:eastAsia="Arial" w:hAnsi="Arial"/>
          <w:sz w:val="22"/>
          <w:szCs w:val="22"/>
          <w:color w:val="auto"/>
        </w:rPr>
        <w:t>of employment. A Participant's absence or leave shall be deemed to be a qualifying leave of absence if approved by the Committee in its sole discretion.</w:t>
      </w:r>
    </w:p>
    <w:p>
      <w:pPr>
        <w:spacing w:after="0" w:line="226"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7.</w:t>
      </w:r>
      <w:r>
        <w:rPr>
          <w:sz w:val="20"/>
          <w:szCs w:val="20"/>
          <w:color w:val="auto"/>
        </w:rPr>
        <w:tab/>
      </w:r>
      <w:r>
        <w:rPr>
          <w:rFonts w:ascii="Arial" w:cs="Arial" w:eastAsia="Arial" w:hAnsi="Arial"/>
          <w:sz w:val="19"/>
          <w:szCs w:val="19"/>
          <w:i w:val="1"/>
          <w:iCs w:val="1"/>
          <w:color w:val="auto"/>
        </w:rPr>
        <w:t>Stock Options and Stock Appreciation Rights</w:t>
      </w:r>
    </w:p>
    <w:p>
      <w:pPr>
        <w:spacing w:after="0" w:line="260" w:lineRule="exact"/>
        <w:rPr>
          <w:sz w:val="20"/>
          <w:szCs w:val="20"/>
          <w:color w:val="auto"/>
        </w:rPr>
      </w:pPr>
    </w:p>
    <w:p>
      <w:pPr>
        <w:ind w:right="320" w:firstLine="656"/>
        <w:spacing w:after="0" w:line="343" w:lineRule="auto"/>
        <w:tabs>
          <w:tab w:leader="none" w:pos="942"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 xml:space="preserve">Grant Price. </w:t>
      </w:r>
      <w:r>
        <w:rPr>
          <w:rFonts w:ascii="Arial" w:cs="Arial" w:eastAsia="Arial" w:hAnsi="Arial"/>
          <w:sz w:val="19"/>
          <w:szCs w:val="19"/>
          <w:color w:val="auto"/>
        </w:rPr>
        <w:t>The Grant Price of any Option or SAR shall not be less than the Fair Market Value (and in no event less</w:t>
      </w:r>
      <w:r>
        <w:rPr>
          <w:rFonts w:ascii="Arial" w:cs="Arial" w:eastAsia="Arial" w:hAnsi="Arial"/>
          <w:sz w:val="19"/>
          <w:szCs w:val="19"/>
          <w:i w:val="1"/>
          <w:iCs w:val="1"/>
          <w:color w:val="auto"/>
        </w:rPr>
        <w:t xml:space="preserve"> </w:t>
      </w:r>
      <w:r>
        <w:rPr>
          <w:rFonts w:ascii="Arial" w:cs="Arial" w:eastAsia="Arial" w:hAnsi="Arial"/>
          <w:sz w:val="19"/>
          <w:szCs w:val="19"/>
          <w:color w:val="auto"/>
        </w:rPr>
        <w:t>than the par value) of the Shares on the date the Option or SAR is granted, except in the case of Substitute Awards.</w:t>
      </w:r>
    </w:p>
    <w:p>
      <w:pPr>
        <w:spacing w:after="0" w:line="104" w:lineRule="exact"/>
        <w:rPr>
          <w:rFonts w:ascii="Arial" w:cs="Arial" w:eastAsia="Arial" w:hAnsi="Arial"/>
          <w:sz w:val="19"/>
          <w:szCs w:val="19"/>
          <w:color w:val="auto"/>
        </w:rPr>
      </w:pPr>
    </w:p>
    <w:p>
      <w:pPr>
        <w:jc w:val="both"/>
        <w:ind w:right="40" w:firstLine="656"/>
        <w:spacing w:after="0" w:line="250" w:lineRule="auto"/>
        <w:tabs>
          <w:tab w:leader="none" w:pos="954"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 xml:space="preserve">ISO; Nonqualified Option. </w:t>
      </w:r>
      <w:r>
        <w:rPr>
          <w:rFonts w:ascii="Arial" w:cs="Arial" w:eastAsia="Arial" w:hAnsi="Arial"/>
          <w:sz w:val="22"/>
          <w:szCs w:val="22"/>
          <w:color w:val="auto"/>
        </w:rPr>
        <w:t>Determination as to whether Options granted shall be “Incentive Stock Options” (“ISO's),</w:t>
      </w:r>
      <w:r>
        <w:rPr>
          <w:rFonts w:ascii="Arial" w:cs="Arial" w:eastAsia="Arial" w:hAnsi="Arial"/>
          <w:sz w:val="22"/>
          <w:szCs w:val="22"/>
          <w:i w:val="1"/>
          <w:iCs w:val="1"/>
          <w:color w:val="auto"/>
        </w:rPr>
        <w:t xml:space="preserve"> </w:t>
      </w:r>
      <w:r>
        <w:rPr>
          <w:rFonts w:ascii="Arial" w:cs="Arial" w:eastAsia="Arial" w:hAnsi="Arial"/>
          <w:sz w:val="22"/>
          <w:szCs w:val="22"/>
          <w:color w:val="auto"/>
        </w:rPr>
        <w:t>Nonqualified Stock Options, and as to any restrictions which shall be placed on Options, shall be made by the Committee under such procedures as it may, from time to time, determine and each Option granted hereunder shall be identified as either an ISO or a Nonqualified Stock Option at the time of grant.</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380"/>
          </w:cols>
          <w:pgMar w:left="240" w:top="591" w:right="279" w:bottom="1440" w:gutter="0" w:footer="0" w:header="0"/>
        </w:sectPr>
      </w:pPr>
    </w:p>
    <w:bookmarkStart w:id="78" w:name="page79"/>
    <w:bookmarkEnd w:id="78"/>
    <w:p>
      <w:pPr>
        <w:ind w:right="700" w:firstLine="656"/>
        <w:spacing w:after="0" w:line="263" w:lineRule="auto"/>
        <w:tabs>
          <w:tab w:leader="none" w:pos="942"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Terms of Options or Stock Appreciation Rights</w:t>
      </w:r>
      <w:r>
        <w:rPr>
          <w:rFonts w:ascii="Arial" w:cs="Arial" w:eastAsia="Arial" w:hAnsi="Arial"/>
          <w:sz w:val="22"/>
          <w:szCs w:val="22"/>
          <w:color w:val="auto"/>
        </w:rPr>
        <w:t>. Options and SARs granted under this Plan shall be subject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provisions, except as otherwise determined by the Committee:</w:t>
      </w:r>
    </w:p>
    <w:p>
      <w:pPr>
        <w:spacing w:after="0" w:line="174" w:lineRule="exact"/>
        <w:rPr>
          <w:rFonts w:ascii="Arial" w:cs="Arial" w:eastAsia="Arial" w:hAnsi="Arial"/>
          <w:sz w:val="22"/>
          <w:szCs w:val="22"/>
          <w:color w:val="auto"/>
        </w:rPr>
      </w:pPr>
    </w:p>
    <w:p>
      <w:pPr>
        <w:ind w:left="660" w:right="220" w:firstLine="645"/>
        <w:spacing w:after="0" w:line="290" w:lineRule="auto"/>
        <w:tabs>
          <w:tab w:leader="none" w:pos="1566" w:val="left"/>
        </w:tabs>
        <w:numPr>
          <w:ilvl w:val="1"/>
          <w:numId w:val="46"/>
        </w:numPr>
        <w:rPr>
          <w:rFonts w:ascii="Arial" w:cs="Arial" w:eastAsia="Arial" w:hAnsi="Arial"/>
          <w:sz w:val="19"/>
          <w:szCs w:val="19"/>
          <w:color w:val="auto"/>
        </w:rPr>
      </w:pPr>
      <w:r>
        <w:rPr>
          <w:rFonts w:ascii="Arial" w:cs="Arial" w:eastAsia="Arial" w:hAnsi="Arial"/>
          <w:sz w:val="19"/>
          <w:szCs w:val="19"/>
          <w:color w:val="auto"/>
        </w:rPr>
        <w:t>Vesting and Exercise. Except in the case of death or except as set forth in Section 7(c)(iii)(B) or as set forth in Section 9, no Option or SAR shall vest or become exercisable prior to the first anniversary of the “Grant Date” (or such other date as may be established by the Committee or its delegate(s)); and after such date Options or SARs shall be exercisable only in accordance with the terms and conditions established at the time of grant and reflected in the Award Agreement. Unless otherwise specified in the Award Agreement, beginning on the first anniversary of the Grant Date, Options or SARs will vest and become exercisable in one-third increments. Subject to paragraph 7(c)(iii), each increment will first vest and become exercisable on the first, second and third anniversaries of the Grant Date, respectively. Upon becoming exercisable, the Option or SAR will remain exercisable until expiration, except as set for in Section 7(c)(iii).</w:t>
      </w:r>
    </w:p>
    <w:p>
      <w:pPr>
        <w:spacing w:after="0" w:line="156" w:lineRule="exact"/>
        <w:rPr>
          <w:rFonts w:ascii="Arial" w:cs="Arial" w:eastAsia="Arial" w:hAnsi="Arial"/>
          <w:sz w:val="19"/>
          <w:szCs w:val="19"/>
          <w:color w:val="auto"/>
        </w:rPr>
      </w:pPr>
    </w:p>
    <w:p>
      <w:pPr>
        <w:ind w:left="660" w:right="280" w:firstLine="645"/>
        <w:spacing w:after="0" w:line="287" w:lineRule="auto"/>
        <w:tabs>
          <w:tab w:leader="none" w:pos="1626" w:val="left"/>
        </w:tabs>
        <w:numPr>
          <w:ilvl w:val="1"/>
          <w:numId w:val="46"/>
        </w:numPr>
        <w:rPr>
          <w:rFonts w:ascii="Arial" w:cs="Arial" w:eastAsia="Arial" w:hAnsi="Arial"/>
          <w:sz w:val="21"/>
          <w:szCs w:val="21"/>
          <w:color w:val="auto"/>
        </w:rPr>
      </w:pPr>
      <w:r>
        <w:rPr>
          <w:rFonts w:ascii="Arial" w:cs="Arial" w:eastAsia="Arial" w:hAnsi="Arial"/>
          <w:sz w:val="21"/>
          <w:szCs w:val="21"/>
          <w:color w:val="auto"/>
        </w:rPr>
        <w:t>Term of Options or SARs. The normal expiration date of an Option or SAR shall be determined at the time of grant, provided that each Option or SAR shall expire not more than ten years after the Grant Date.</w:t>
      </w:r>
    </w:p>
    <w:p>
      <w:pPr>
        <w:spacing w:after="0" w:line="151" w:lineRule="exact"/>
        <w:rPr>
          <w:rFonts w:ascii="Arial" w:cs="Arial" w:eastAsia="Arial" w:hAnsi="Arial"/>
          <w:sz w:val="21"/>
          <w:szCs w:val="21"/>
          <w:color w:val="auto"/>
        </w:rPr>
      </w:pPr>
    </w:p>
    <w:p>
      <w:pPr>
        <w:ind w:left="660" w:right="100" w:firstLine="645"/>
        <w:spacing w:after="0" w:line="253" w:lineRule="auto"/>
        <w:tabs>
          <w:tab w:leader="none" w:pos="1686" w:val="left"/>
        </w:tabs>
        <w:numPr>
          <w:ilvl w:val="1"/>
          <w:numId w:val="46"/>
        </w:numPr>
        <w:rPr>
          <w:rFonts w:ascii="Arial" w:cs="Arial" w:eastAsia="Arial" w:hAnsi="Arial"/>
          <w:sz w:val="22"/>
          <w:szCs w:val="22"/>
          <w:color w:val="auto"/>
        </w:rPr>
      </w:pPr>
      <w:r>
        <w:rPr>
          <w:rFonts w:ascii="Arial" w:cs="Arial" w:eastAsia="Arial" w:hAnsi="Arial"/>
          <w:sz w:val="22"/>
          <w:szCs w:val="22"/>
          <w:color w:val="auto"/>
        </w:rPr>
        <w:t>Termination of Employment. Except as set forth in this subsection, upon the termination of a Participant's employment, any Award (or portion thereof) held by such Participant that has not vested in accordance with Section 7(c)(i) at the time of such termination shall be forfeited</w:t>
      </w:r>
    </w:p>
    <w:p>
      <w:pPr>
        <w:spacing w:after="0" w:line="185" w:lineRule="exact"/>
        <w:rPr>
          <w:rFonts w:ascii="Arial" w:cs="Arial" w:eastAsia="Arial" w:hAnsi="Arial"/>
          <w:sz w:val="22"/>
          <w:szCs w:val="22"/>
          <w:color w:val="auto"/>
        </w:rPr>
      </w:pPr>
    </w:p>
    <w:p>
      <w:pPr>
        <w:jc w:val="both"/>
        <w:ind w:left="1300" w:right="20" w:firstLine="329"/>
        <w:spacing w:after="0" w:line="250" w:lineRule="auto"/>
        <w:tabs>
          <w:tab w:leader="none" w:pos="1978" w:val="left"/>
        </w:tabs>
        <w:numPr>
          <w:ilvl w:val="2"/>
          <w:numId w:val="46"/>
        </w:numPr>
        <w:rPr>
          <w:rFonts w:ascii="Arial" w:cs="Arial" w:eastAsia="Arial" w:hAnsi="Arial"/>
          <w:sz w:val="22"/>
          <w:szCs w:val="22"/>
          <w:color w:val="auto"/>
        </w:rPr>
      </w:pPr>
      <w:r>
        <w:rPr>
          <w:rFonts w:ascii="Arial" w:cs="Arial" w:eastAsia="Arial" w:hAnsi="Arial"/>
          <w:sz w:val="22"/>
          <w:szCs w:val="22"/>
          <w:color w:val="auto"/>
        </w:rPr>
        <w:t>If the Employee quits employment with the Company or is terminated by the Company for inadequate job performance, or for willful misconduct harmful to the Company, all unvested and vested Options or SARs held by such Participant shall be forfeited as of the date of such termination, or if earlier, as of the date that such grounds for termination by the Company first exist.</w:t>
      </w:r>
    </w:p>
    <w:p>
      <w:pPr>
        <w:spacing w:after="0" w:line="188" w:lineRule="exact"/>
        <w:rPr>
          <w:rFonts w:ascii="Arial" w:cs="Arial" w:eastAsia="Arial" w:hAnsi="Arial"/>
          <w:sz w:val="22"/>
          <w:szCs w:val="22"/>
          <w:color w:val="auto"/>
        </w:rPr>
      </w:pPr>
    </w:p>
    <w:p>
      <w:pPr>
        <w:ind w:left="1300" w:right="160" w:firstLine="329"/>
        <w:spacing w:after="0" w:line="292" w:lineRule="auto"/>
        <w:tabs>
          <w:tab w:leader="none" w:pos="1966" w:val="left"/>
        </w:tabs>
        <w:numPr>
          <w:ilvl w:val="2"/>
          <w:numId w:val="46"/>
        </w:numPr>
        <w:rPr>
          <w:rFonts w:ascii="Arial" w:cs="Arial" w:eastAsia="Arial" w:hAnsi="Arial"/>
          <w:sz w:val="19"/>
          <w:szCs w:val="19"/>
          <w:color w:val="auto"/>
        </w:rPr>
      </w:pPr>
      <w:r>
        <w:rPr>
          <w:rFonts w:ascii="Arial" w:cs="Arial" w:eastAsia="Arial" w:hAnsi="Arial"/>
          <w:sz w:val="19"/>
          <w:szCs w:val="19"/>
          <w:color w:val="auto"/>
        </w:rPr>
        <w:t>If the Employee retires from the Company at age 55 or older with ten or more years of credited service (or for a Participant who is a tax resident of a location outside the United States at equivalent normal retirement age in such country) or age 62 or older in the United States, subject to the other terms and conditions of the Plan, all Options or SARs will vest immediately, and will be exercisable until the expiration date of such Option. Notwithstanding this provision, the Committee may from time to time determine in its discretion that holders of Options or SARs retiring from the Company during specified time periods under specified circumstances may vest in and retain some portion of their Options or SARs granted in the year the retirement occurs.</w:t>
      </w:r>
    </w:p>
    <w:p>
      <w:pPr>
        <w:spacing w:after="0" w:line="151" w:lineRule="exact"/>
        <w:rPr>
          <w:rFonts w:ascii="Arial" w:cs="Arial" w:eastAsia="Arial" w:hAnsi="Arial"/>
          <w:sz w:val="19"/>
          <w:szCs w:val="19"/>
          <w:color w:val="auto"/>
        </w:rPr>
      </w:pPr>
    </w:p>
    <w:p>
      <w:pPr>
        <w:ind w:left="1300" w:right="200" w:firstLine="329"/>
        <w:spacing w:after="0" w:line="287" w:lineRule="auto"/>
        <w:tabs>
          <w:tab w:leader="none" w:pos="1966" w:val="left"/>
        </w:tabs>
        <w:numPr>
          <w:ilvl w:val="2"/>
          <w:numId w:val="46"/>
        </w:numPr>
        <w:rPr>
          <w:rFonts w:ascii="Arial" w:cs="Arial" w:eastAsia="Arial" w:hAnsi="Arial"/>
          <w:sz w:val="21"/>
          <w:szCs w:val="21"/>
          <w:color w:val="auto"/>
        </w:rPr>
      </w:pPr>
      <w:r>
        <w:rPr>
          <w:rFonts w:ascii="Arial" w:cs="Arial" w:eastAsia="Arial" w:hAnsi="Arial"/>
          <w:sz w:val="21"/>
          <w:szCs w:val="21"/>
          <w:color w:val="auto"/>
        </w:rPr>
        <w:t>If employment is terminated by reason of death, all Options shall immediately vest and remain exercisable until the third anniversary of the date of death or, if earlier, the expiration date of such Option.</w:t>
      </w:r>
    </w:p>
    <w:p>
      <w:pPr>
        <w:spacing w:after="0" w:line="151" w:lineRule="exact"/>
        <w:rPr>
          <w:rFonts w:ascii="Arial" w:cs="Arial" w:eastAsia="Arial" w:hAnsi="Arial"/>
          <w:sz w:val="21"/>
          <w:szCs w:val="21"/>
          <w:color w:val="auto"/>
        </w:rPr>
      </w:pPr>
    </w:p>
    <w:p>
      <w:pPr>
        <w:ind w:left="1300" w:firstLine="329"/>
        <w:spacing w:after="0" w:line="312" w:lineRule="auto"/>
        <w:tabs>
          <w:tab w:leader="none" w:pos="1978" w:val="left"/>
        </w:tabs>
        <w:numPr>
          <w:ilvl w:val="2"/>
          <w:numId w:val="46"/>
        </w:numPr>
        <w:rPr>
          <w:rFonts w:ascii="Arial" w:cs="Arial" w:eastAsia="Arial" w:hAnsi="Arial"/>
          <w:sz w:val="19"/>
          <w:szCs w:val="19"/>
          <w:color w:val="auto"/>
        </w:rPr>
      </w:pPr>
      <w:r>
        <w:rPr>
          <w:rFonts w:ascii="Arial" w:cs="Arial" w:eastAsia="Arial" w:hAnsi="Arial"/>
          <w:sz w:val="19"/>
          <w:szCs w:val="19"/>
          <w:color w:val="auto"/>
        </w:rPr>
        <w:t>If an employee becomes disabled, Options will continue to vest and become exercisable in accordance with the original terms of the grant while the Employee remains on the disability leave and, subject to the other terms and conditions of the Plan, vested Options will remain exercisable for the full remaining term.</w:t>
      </w:r>
    </w:p>
    <w:p>
      <w:pPr>
        <w:spacing w:after="0" w:line="133" w:lineRule="exact"/>
        <w:rPr>
          <w:rFonts w:ascii="Arial" w:cs="Arial" w:eastAsia="Arial" w:hAnsi="Arial"/>
          <w:sz w:val="19"/>
          <w:szCs w:val="19"/>
          <w:color w:val="auto"/>
        </w:rPr>
      </w:pPr>
    </w:p>
    <w:p>
      <w:pPr>
        <w:ind w:left="1300" w:right="20" w:firstLine="329"/>
        <w:spacing w:after="0" w:line="263" w:lineRule="auto"/>
        <w:tabs>
          <w:tab w:leader="none" w:pos="1954" w:val="left"/>
        </w:tabs>
        <w:numPr>
          <w:ilvl w:val="2"/>
          <w:numId w:val="46"/>
        </w:numPr>
        <w:rPr>
          <w:rFonts w:ascii="Arial" w:cs="Arial" w:eastAsia="Arial" w:hAnsi="Arial"/>
          <w:sz w:val="22"/>
          <w:szCs w:val="22"/>
          <w:color w:val="auto"/>
        </w:rPr>
      </w:pPr>
      <w:r>
        <w:rPr>
          <w:rFonts w:ascii="Arial" w:cs="Arial" w:eastAsia="Arial" w:hAnsi="Arial"/>
          <w:sz w:val="22"/>
          <w:szCs w:val="22"/>
          <w:color w:val="auto"/>
        </w:rPr>
        <w:t>If employment terminates for any reason other than as set forth above (including, for the avoidance of doubt, retirement not meeting the conditions set forth in Section 7(c)</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380"/>
          </w:cols>
          <w:pgMar w:left="240" w:top="591" w:right="279" w:bottom="1440" w:gutter="0" w:footer="0" w:header="0"/>
        </w:sectPr>
      </w:pPr>
    </w:p>
    <w:bookmarkStart w:id="79" w:name="page80"/>
    <w:bookmarkEnd w:id="79"/>
    <w:p>
      <w:pPr>
        <w:ind w:left="1300"/>
        <w:spacing w:after="0" w:line="253" w:lineRule="auto"/>
        <w:rPr>
          <w:sz w:val="20"/>
          <w:szCs w:val="20"/>
          <w:color w:val="auto"/>
        </w:rPr>
      </w:pPr>
      <w:r>
        <w:rPr>
          <w:rFonts w:ascii="Arial" w:cs="Arial" w:eastAsia="Arial" w:hAnsi="Arial"/>
          <w:sz w:val="22"/>
          <w:szCs w:val="22"/>
          <w:color w:val="auto"/>
        </w:rPr>
        <w:t>(iii)(B) or other voluntary termination with the consent of the Company), subject to the other terms and conditions of the Plan, all vested Options will remain exercisable until the third anniversary of the date of termination of employment or, if earlier, the expiration date of such Option.</w:t>
      </w:r>
    </w:p>
    <w:p>
      <w:pPr>
        <w:spacing w:after="0" w:line="186" w:lineRule="exact"/>
        <w:rPr>
          <w:sz w:val="20"/>
          <w:szCs w:val="20"/>
          <w:color w:val="auto"/>
        </w:rPr>
      </w:pPr>
    </w:p>
    <w:p>
      <w:pPr>
        <w:ind w:left="1300" w:firstLine="329"/>
        <w:spacing w:after="0" w:line="253" w:lineRule="auto"/>
        <w:tabs>
          <w:tab w:leader="none" w:pos="1942"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employment terminates for any reason (other than death) prior to the first anniversary of the date an Option is granted, except as provided in Section 7(c)(iii)(B) the Option shall be forfeited and terminate on the date of termination of employment.</w:t>
      </w:r>
    </w:p>
    <w:p>
      <w:pPr>
        <w:spacing w:after="0" w:line="185" w:lineRule="exact"/>
        <w:rPr>
          <w:rFonts w:ascii="Arial" w:cs="Arial" w:eastAsia="Arial" w:hAnsi="Arial"/>
          <w:sz w:val="22"/>
          <w:szCs w:val="22"/>
          <w:color w:val="auto"/>
        </w:rPr>
      </w:pPr>
    </w:p>
    <w:p>
      <w:pPr>
        <w:ind w:left="660" w:right="700" w:firstLine="645"/>
        <w:spacing w:after="0" w:line="253" w:lineRule="auto"/>
        <w:tabs>
          <w:tab w:leader="none" w:pos="1674" w:val="left"/>
        </w:tabs>
        <w:numPr>
          <w:ilvl w:val="0"/>
          <w:numId w:val="48"/>
        </w:numPr>
        <w:rPr>
          <w:rFonts w:ascii="Arial" w:cs="Arial" w:eastAsia="Arial" w:hAnsi="Arial"/>
          <w:sz w:val="22"/>
          <w:szCs w:val="22"/>
          <w:color w:val="auto"/>
        </w:rPr>
      </w:pPr>
      <w:r>
        <w:rPr>
          <w:rFonts w:ascii="Arial" w:cs="Arial" w:eastAsia="Arial" w:hAnsi="Arial"/>
          <w:sz w:val="22"/>
          <w:szCs w:val="22"/>
          <w:color w:val="auto"/>
        </w:rPr>
        <w:t>Leave of Absence. Notwithstanding Section 7(c) (iii), a qualifying leave of absence shall not constitute a termination of employment. A Participant's absence or leave shall be deemed to be a qualifying leave of absence if approved by the Committee in its sole discretion.</w:t>
      </w:r>
    </w:p>
    <w:p>
      <w:pPr>
        <w:spacing w:after="0" w:line="185" w:lineRule="exact"/>
        <w:rPr>
          <w:rFonts w:ascii="Arial" w:cs="Arial" w:eastAsia="Arial" w:hAnsi="Arial"/>
          <w:sz w:val="22"/>
          <w:szCs w:val="22"/>
          <w:color w:val="auto"/>
        </w:rPr>
      </w:pPr>
    </w:p>
    <w:p>
      <w:pPr>
        <w:ind w:left="660" w:right="80" w:firstLine="645"/>
        <w:spacing w:after="0" w:line="261" w:lineRule="auto"/>
        <w:tabs>
          <w:tab w:leader="none" w:pos="1614" w:val="left"/>
        </w:tabs>
        <w:numPr>
          <w:ilvl w:val="0"/>
          <w:numId w:val="48"/>
        </w:numPr>
        <w:rPr>
          <w:rFonts w:ascii="Arial" w:cs="Arial" w:eastAsia="Arial" w:hAnsi="Arial"/>
          <w:sz w:val="21"/>
          <w:szCs w:val="21"/>
          <w:color w:val="auto"/>
        </w:rPr>
      </w:pPr>
      <w:r>
        <w:rPr>
          <w:rFonts w:ascii="Arial" w:cs="Arial" w:eastAsia="Arial" w:hAnsi="Arial"/>
          <w:sz w:val="21"/>
          <w:szCs w:val="21"/>
          <w:color w:val="auto"/>
        </w:rPr>
        <w:t>Payment of Exercise Price. All Shares purchased upon exercise of any Option shall be paid for in full at the time of purchase or adequate provision for such payment shall be made. Such payment shall be made (A) in cash, (B) through delivery or constructive delivery of Shares (provided that such Shares may be subject to such holding period or other requirement as the Committee may impose, (C) a combination of cash and stock or (D) through a broker-assisted cashless exercise facility if established by the Company. Any Shares delivered as a result of an Option exercise shall be valued at their Fair Market Value on the exercise date of the Option.</w:t>
      </w:r>
    </w:p>
    <w:p>
      <w:pPr>
        <w:spacing w:after="0" w:line="180" w:lineRule="exact"/>
        <w:rPr>
          <w:sz w:val="20"/>
          <w:szCs w:val="20"/>
          <w:color w:val="auto"/>
        </w:rPr>
      </w:pPr>
    </w:p>
    <w:p>
      <w:pPr>
        <w:ind w:left="820"/>
        <w:spacing w:after="0"/>
        <w:tabs>
          <w:tab w:leader="none" w:pos="3080" w:val="left"/>
        </w:tabs>
        <w:rPr>
          <w:sz w:val="20"/>
          <w:szCs w:val="20"/>
          <w:color w:val="auto"/>
        </w:rPr>
      </w:pPr>
      <w:r>
        <w:rPr>
          <w:rFonts w:ascii="Arial" w:cs="Arial" w:eastAsia="Arial" w:hAnsi="Arial"/>
          <w:sz w:val="22"/>
          <w:szCs w:val="22"/>
          <w:i w:val="1"/>
          <w:iCs w:val="1"/>
          <w:color w:val="auto"/>
        </w:rPr>
        <w:t>SECTION 8.</w:t>
      </w:r>
      <w:r>
        <w:rPr>
          <w:sz w:val="20"/>
          <w:szCs w:val="20"/>
          <w:color w:val="auto"/>
        </w:rPr>
        <w:tab/>
      </w:r>
      <w:r>
        <w:rPr>
          <w:rFonts w:ascii="Arial" w:cs="Arial" w:eastAsia="Arial" w:hAnsi="Arial"/>
          <w:sz w:val="19"/>
          <w:szCs w:val="19"/>
          <w:i w:val="1"/>
          <w:iCs w:val="1"/>
          <w:color w:val="auto"/>
        </w:rPr>
        <w:t>Amendments, Termination and Recoupment.</w:t>
      </w:r>
    </w:p>
    <w:p>
      <w:pPr>
        <w:spacing w:after="0" w:line="260" w:lineRule="exact"/>
        <w:rPr>
          <w:sz w:val="20"/>
          <w:szCs w:val="20"/>
          <w:color w:val="auto"/>
        </w:rPr>
      </w:pPr>
    </w:p>
    <w:p>
      <w:pPr>
        <w:ind w:right="20" w:firstLine="832"/>
        <w:spacing w:after="0" w:line="247" w:lineRule="auto"/>
        <w:tabs>
          <w:tab w:leader="none" w:pos="152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the rules of the New York Stock Exchange or such other national securities exchange as may be from time to time the principal trading market for Shares, and (ii) except as provided in Section 8(f), the consent of the affected Participant, if such action would materially impair the rights of such Participant under any outstanding Award.</w:t>
      </w:r>
    </w:p>
    <w:p>
      <w:pPr>
        <w:spacing w:after="0" w:line="234" w:lineRule="exact"/>
        <w:rPr>
          <w:rFonts w:ascii="Arial" w:cs="Arial" w:eastAsia="Arial" w:hAnsi="Arial"/>
          <w:sz w:val="22"/>
          <w:szCs w:val="22"/>
          <w:color w:val="auto"/>
        </w:rPr>
      </w:pPr>
    </w:p>
    <w:p>
      <w:pPr>
        <w:ind w:right="60" w:firstLine="832"/>
        <w:spacing w:after="0" w:line="294" w:lineRule="auto"/>
        <w:tabs>
          <w:tab w:leader="none" w:pos="153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Committee may delegate to another committee, as it may appoint, the authority to take any action consistent with the terms of the Plan, either before or after an Award has been granted, which such other committee deems necessary or advisable to comply with any government laws or regulatory requirements of a foreign country, including, but not limited to, modifying or amending the terms and conditions governing any Awards, or establishing any local country plans as sub-plans to this Plan. In addition, under all circumstances, the Committee may make non-substantive administrative changes to the Plan so as to conform with or take advantage of governmental requirements, statutes or regulations.</w:t>
      </w:r>
    </w:p>
    <w:p>
      <w:pPr>
        <w:spacing w:after="0" w:line="190" w:lineRule="exact"/>
        <w:rPr>
          <w:rFonts w:ascii="Arial" w:cs="Arial" w:eastAsia="Arial" w:hAnsi="Arial"/>
          <w:sz w:val="19"/>
          <w:szCs w:val="19"/>
          <w:color w:val="auto"/>
        </w:rPr>
      </w:pPr>
    </w:p>
    <w:p>
      <w:pPr>
        <w:ind w:right="60" w:firstLine="832"/>
        <w:spacing w:after="0" w:line="247" w:lineRule="auto"/>
        <w:tabs>
          <w:tab w:leader="none" w:pos="152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Committee may amend the terms of any Award and any Award Agreement theretofore granted, prospectively or retroactively, but no such amendment shall materially impair the rights of any Participant without his or her consent except as provided in Section 8(f). No such amendment shall reduce the exercise price of an outstanding Option or cancel or amend an outstanding Option for the purpose of re-pricing, replacing or re-granting such Option with an exercise price that is less than the exercise price of the original Option including cash payments in consideration of an underwater Option without stockholder approval.</w:t>
      </w:r>
    </w:p>
    <w:p>
      <w:pPr>
        <w:spacing w:after="0" w:line="234" w:lineRule="exact"/>
        <w:rPr>
          <w:rFonts w:ascii="Arial" w:cs="Arial" w:eastAsia="Arial" w:hAnsi="Arial"/>
          <w:sz w:val="22"/>
          <w:szCs w:val="22"/>
          <w:color w:val="auto"/>
        </w:rPr>
      </w:pPr>
    </w:p>
    <w:p>
      <w:pPr>
        <w:ind w:right="320" w:firstLine="832"/>
        <w:spacing w:after="0" w:line="253" w:lineRule="auto"/>
        <w:tabs>
          <w:tab w:leader="none" w:pos="1535"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Notwithstanding any provision of this Plan to the contrary, any Award made and any amount of cash or Shares delivered in settlement thereof to a Participant under this Plan is subject to being called for repayment to the Company in any situation where the Board of Directors or a Committee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420"/>
          </w:cols>
          <w:pgMar w:left="240" w:top="591" w:right="239" w:bottom="1440" w:gutter="0" w:footer="0" w:header="0"/>
        </w:sectPr>
      </w:pPr>
    </w:p>
    <w:bookmarkStart w:id="80" w:name="page81"/>
    <w:bookmarkEnd w:id="80"/>
    <w:p>
      <w:pPr>
        <w:ind w:right="100"/>
        <w:spacing w:after="0" w:line="250" w:lineRule="auto"/>
        <w:rPr>
          <w:sz w:val="20"/>
          <w:szCs w:val="20"/>
          <w:color w:val="auto"/>
        </w:rPr>
      </w:pPr>
      <w:r>
        <w:rPr>
          <w:rFonts w:ascii="Arial" w:cs="Arial" w:eastAsia="Arial" w:hAnsi="Arial"/>
          <w:sz w:val="22"/>
          <w:szCs w:val="22"/>
          <w:color w:val="auto"/>
        </w:rPr>
        <w:t>thereof determines that the Company's Policy on Recoupment of Compensation requires such repayment, or that repayment is otherwise required by the rules of any national securities exchange on which the stock of the Company may be listed. The determination regarding repayment under this provision shall be within the sole discretion of the Committee and shall be final and binding on the Participant and the Company.</w:t>
      </w:r>
    </w:p>
    <w:p>
      <w:pPr>
        <w:spacing w:after="0" w:line="229" w:lineRule="exact"/>
        <w:rPr>
          <w:sz w:val="20"/>
          <w:szCs w:val="20"/>
          <w:color w:val="auto"/>
        </w:rPr>
      </w:pPr>
    </w:p>
    <w:p>
      <w:pPr>
        <w:ind w:right="100" w:firstLine="832"/>
        <w:spacing w:after="0" w:line="302" w:lineRule="auto"/>
        <w:tabs>
          <w:tab w:leader="none" w:pos="1523"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any provision of the Plan or any Award Agreement is invalid or unenforceable in any jurisdiction, (i) such provision shall be modified or eliminated, but only to the extent necessary to 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Plan or any Award.</w:t>
      </w:r>
    </w:p>
    <w:p>
      <w:pPr>
        <w:spacing w:after="0" w:line="183" w:lineRule="exact"/>
        <w:rPr>
          <w:rFonts w:ascii="Arial" w:cs="Arial" w:eastAsia="Arial" w:hAnsi="Arial"/>
          <w:sz w:val="19"/>
          <w:szCs w:val="19"/>
          <w:color w:val="auto"/>
        </w:rPr>
      </w:pPr>
    </w:p>
    <w:p>
      <w:pPr>
        <w:ind w:right="200" w:firstLine="832"/>
        <w:spacing w:after="0" w:line="302" w:lineRule="auto"/>
        <w:tabs>
          <w:tab w:leader="none" w:pos="1499"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Award hereunder that is or becomes a TARP Award is intended to comply with applicable Treasury regulations under TARP and shall be interpreted and amended as necessary to comply with any interpretations or guidance of the Special Master or his successor. In the event that an Award hereunder becomes a TARP Award, or is otherwise affected by any decision of the Special Master or his successor, the Company shall inform the affected Participant.</w:t>
      </w:r>
    </w:p>
    <w:p>
      <w:pPr>
        <w:spacing w:after="0" w:line="183"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9.</w:t>
      </w:r>
      <w:r>
        <w:rPr>
          <w:sz w:val="20"/>
          <w:szCs w:val="20"/>
          <w:color w:val="auto"/>
        </w:rPr>
        <w:tab/>
      </w:r>
      <w:r>
        <w:rPr>
          <w:rFonts w:ascii="Arial" w:cs="Arial" w:eastAsia="Arial" w:hAnsi="Arial"/>
          <w:sz w:val="19"/>
          <w:szCs w:val="19"/>
          <w:i w:val="1"/>
          <w:iCs w:val="1"/>
          <w:color w:val="auto"/>
        </w:rPr>
        <w:t>General Provisions.</w:t>
      </w:r>
    </w:p>
    <w:p>
      <w:pPr>
        <w:spacing w:after="0" w:line="260" w:lineRule="exact"/>
        <w:rPr>
          <w:sz w:val="20"/>
          <w:szCs w:val="20"/>
          <w:color w:val="auto"/>
        </w:rPr>
      </w:pPr>
    </w:p>
    <w:p>
      <w:pPr>
        <w:ind w:right="20" w:firstLine="832"/>
        <w:spacing w:after="0" w:line="263" w:lineRule="auto"/>
        <w:tabs>
          <w:tab w:leader="none" w:pos="1523"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 Award may not be sold, exercised, pledged, assigned, hypothecated, transferred, or disposed of in any manner except as may be expressly set forth in the Award Agreement.</w:t>
      </w:r>
    </w:p>
    <w:p>
      <w:pPr>
        <w:spacing w:after="0" w:line="215" w:lineRule="exact"/>
        <w:rPr>
          <w:rFonts w:ascii="Arial" w:cs="Arial" w:eastAsia="Arial" w:hAnsi="Arial"/>
          <w:sz w:val="22"/>
          <w:szCs w:val="22"/>
          <w:color w:val="auto"/>
        </w:rPr>
      </w:pPr>
    </w:p>
    <w:p>
      <w:pPr>
        <w:jc w:val="both"/>
        <w:ind w:right="160" w:firstLine="832"/>
        <w:spacing w:after="0" w:line="253" w:lineRule="auto"/>
        <w:tabs>
          <w:tab w:leader="none" w:pos="1535" w:val="left"/>
        </w:tabs>
        <w:numPr>
          <w:ilvl w:val="0"/>
          <w:numId w:val="51"/>
        </w:numPr>
        <w:rPr>
          <w:rFonts w:ascii="Arial" w:cs="Arial" w:eastAsia="Arial" w:hAnsi="Arial"/>
          <w:sz w:val="22"/>
          <w:szCs w:val="22"/>
          <w:color w:val="auto"/>
        </w:rPr>
      </w:pPr>
      <w:r>
        <w:rPr>
          <w:rFonts w:ascii="Arial" w:cs="Arial" w:eastAsia="Arial" w:hAnsi="Arial"/>
          <w:sz w:val="22"/>
          <w:szCs w:val="22"/>
          <w:color w:val="auto"/>
        </w:rPr>
        <w:t>Neither the Award nor any benefits arising out of this Plan shall constitute part of a Participant's employment or service contract with the Company or any Subsidiary. The Awards under this Plan are not intended to be treated as compensation for any purpose under any other Company plan.</w:t>
      </w:r>
    </w:p>
    <w:p>
      <w:pPr>
        <w:spacing w:after="0" w:line="226" w:lineRule="exact"/>
        <w:rPr>
          <w:rFonts w:ascii="Arial" w:cs="Arial" w:eastAsia="Arial" w:hAnsi="Arial"/>
          <w:sz w:val="22"/>
          <w:szCs w:val="22"/>
          <w:color w:val="auto"/>
        </w:rPr>
      </w:pPr>
    </w:p>
    <w:p>
      <w:pPr>
        <w:ind w:right="720" w:firstLine="832"/>
        <w:spacing w:after="0" w:line="263" w:lineRule="auto"/>
        <w:tabs>
          <w:tab w:leader="none" w:pos="1523"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Employee shall have any claim to be granted any Award under the Plan, and there is no obligation for uniformity of treatment of Participants under the Plan.</w:t>
      </w:r>
    </w:p>
    <w:p>
      <w:pPr>
        <w:spacing w:after="0" w:line="215" w:lineRule="exact"/>
        <w:rPr>
          <w:rFonts w:ascii="Arial" w:cs="Arial" w:eastAsia="Arial" w:hAnsi="Arial"/>
          <w:sz w:val="22"/>
          <w:szCs w:val="22"/>
          <w:color w:val="auto"/>
        </w:rPr>
      </w:pPr>
    </w:p>
    <w:p>
      <w:pPr>
        <w:ind w:right="40" w:firstLine="832"/>
        <w:spacing w:after="0" w:line="302" w:lineRule="auto"/>
        <w:tabs>
          <w:tab w:leader="none" w:pos="1535"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83" w:lineRule="exact"/>
        <w:rPr>
          <w:rFonts w:ascii="Arial" w:cs="Arial" w:eastAsia="Arial" w:hAnsi="Arial"/>
          <w:sz w:val="19"/>
          <w:szCs w:val="19"/>
          <w:color w:val="auto"/>
        </w:rPr>
      </w:pPr>
    </w:p>
    <w:p>
      <w:pPr>
        <w:ind w:firstLine="832"/>
        <w:spacing w:after="0" w:line="297" w:lineRule="auto"/>
        <w:tabs>
          <w:tab w:leader="none" w:pos="1523" w:val="left"/>
        </w:tabs>
        <w:numPr>
          <w:ilvl w:val="0"/>
          <w:numId w:val="51"/>
        </w:numPr>
        <w:rPr>
          <w:rFonts w:ascii="Arial" w:cs="Arial" w:eastAsia="Arial" w:hAnsi="Arial"/>
          <w:sz w:val="19"/>
          <w:szCs w:val="19"/>
          <w:color w:val="auto"/>
        </w:rPr>
      </w:pPr>
      <w:r>
        <w:rPr>
          <w:rFonts w:ascii="Arial" w:cs="Arial" w:eastAsia="Arial" w:hAnsi="Arial"/>
          <w:sz w:val="19"/>
          <w:szCs w:val="19"/>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are then listed, and any applicable federal or state securities law, any instructions of the Special Master and the Committee may cause a legend or legends to be put on any certificates or other indicia of ownership of such Shares to make appropriate reference to such restrictions.</w:t>
      </w:r>
    </w:p>
    <w:p>
      <w:pPr>
        <w:spacing w:after="0" w:line="187" w:lineRule="exact"/>
        <w:rPr>
          <w:rFonts w:ascii="Arial" w:cs="Arial" w:eastAsia="Arial" w:hAnsi="Arial"/>
          <w:sz w:val="19"/>
          <w:szCs w:val="19"/>
          <w:color w:val="auto"/>
        </w:rPr>
      </w:pPr>
    </w:p>
    <w:p>
      <w:pPr>
        <w:ind w:right="100" w:firstLine="832"/>
        <w:spacing w:after="0" w:line="250" w:lineRule="auto"/>
        <w:tabs>
          <w:tab w:leader="none" w:pos="1499"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Award granted hereunder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360"/>
          </w:cols>
          <w:pgMar w:left="240" w:top="591" w:right="299" w:bottom="1440" w:gutter="0" w:footer="0" w:header="0"/>
        </w:sectPr>
      </w:pPr>
    </w:p>
    <w:bookmarkStart w:id="81" w:name="page82"/>
    <w:bookmarkEnd w:id="81"/>
    <w:p>
      <w:pPr>
        <w:ind w:right="60" w:firstLine="832"/>
        <w:spacing w:after="0" w:line="290" w:lineRule="auto"/>
        <w:tabs>
          <w:tab w:leader="none" w:pos="1535"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and its Subsidiaries shall be authorized to withhold from any Award granted or payment due under the Plan the amount of withholding taxes due in respect of an Award or payment hereunder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 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 minimum required tax withholding rate, to the extent such limitation is necessary to avoid a charge to the Company for financial reporting purposes) otherwise deliverable in connection with the Award.</w:t>
      </w:r>
    </w:p>
    <w:p>
      <w:pPr>
        <w:spacing w:after="0" w:line="197" w:lineRule="exact"/>
        <w:rPr>
          <w:rFonts w:ascii="Arial" w:cs="Arial" w:eastAsia="Arial" w:hAnsi="Arial"/>
          <w:sz w:val="19"/>
          <w:szCs w:val="19"/>
          <w:color w:val="auto"/>
        </w:rPr>
      </w:pPr>
    </w:p>
    <w:p>
      <w:pPr>
        <w:ind w:right="820" w:firstLine="832"/>
        <w:spacing w:after="0" w:line="253" w:lineRule="auto"/>
        <w:tabs>
          <w:tab w:leader="none" w:pos="1535"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226" w:lineRule="exact"/>
        <w:rPr>
          <w:rFonts w:ascii="Arial" w:cs="Arial" w:eastAsia="Arial" w:hAnsi="Arial"/>
          <w:sz w:val="22"/>
          <w:szCs w:val="22"/>
          <w:color w:val="auto"/>
        </w:rPr>
      </w:pPr>
    </w:p>
    <w:p>
      <w:pPr>
        <w:ind w:right="140" w:firstLine="832"/>
        <w:spacing w:after="0" w:line="343" w:lineRule="auto"/>
        <w:tabs>
          <w:tab w:leader="none" w:pos="1487"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spacing w:after="0" w:line="145" w:lineRule="exact"/>
        <w:rPr>
          <w:rFonts w:ascii="Arial" w:cs="Arial" w:eastAsia="Arial" w:hAnsi="Arial"/>
          <w:sz w:val="19"/>
          <w:szCs w:val="19"/>
          <w:color w:val="auto"/>
        </w:rPr>
      </w:pPr>
    </w:p>
    <w:p>
      <w:pPr>
        <w:ind w:right="60" w:firstLine="832"/>
        <w:spacing w:after="0" w:line="246" w:lineRule="auto"/>
        <w:tabs>
          <w:tab w:leader="none" w:pos="1487" w:val="left"/>
        </w:tabs>
        <w:numPr>
          <w:ilvl w:val="0"/>
          <w:numId w:val="52"/>
        </w:numPr>
        <w:rPr>
          <w:rFonts w:ascii="Arial" w:cs="Arial" w:eastAsia="Arial" w:hAnsi="Arial"/>
          <w:sz w:val="22"/>
          <w:szCs w:val="22"/>
          <w:color w:val="auto"/>
        </w:rPr>
      </w:pPr>
      <w:r>
        <w:rPr>
          <w:rFonts w:ascii="Arial" w:cs="Arial" w:eastAsia="Arial" w:hAnsi="Arial"/>
          <w:sz w:val="22"/>
          <w:szCs w:val="22"/>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9(j) may not be made without stockholder approval or Participant approval, if such approval is required by Section 8. The Committee also may impose conditions on the exercise or vesting of Awards in order to minimize the Company's obligation with respect to tax equalization for Employees on assignments outside their home country.</w:t>
      </w:r>
    </w:p>
    <w:p>
      <w:pPr>
        <w:spacing w:after="0" w:line="237" w:lineRule="exact"/>
        <w:rPr>
          <w:rFonts w:ascii="Arial" w:cs="Arial" w:eastAsia="Arial" w:hAnsi="Arial"/>
          <w:sz w:val="22"/>
          <w:szCs w:val="22"/>
          <w:color w:val="auto"/>
        </w:rPr>
      </w:pPr>
    </w:p>
    <w:p>
      <w:pPr>
        <w:ind w:firstLine="832"/>
        <w:spacing w:after="0" w:line="265" w:lineRule="auto"/>
        <w:tabs>
          <w:tab w:leader="none" w:pos="1535"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the Company shall have any unpaid claims against a Participant arising out of or in connection with the Participant's employment with the Company, prior to payment of a Final Award, the Company, at its discretion, may offset against a Final Award up to $5,000 per year of any unpaid claims. Upon settlement of an Award such claim may be offset in total. Such claims may include, but are not limited to, unpaid taxes or corporate business credit card charges.</w:t>
      </w:r>
    </w:p>
    <w:p>
      <w:pPr>
        <w:spacing w:after="0" w:line="216" w:lineRule="exact"/>
        <w:rPr>
          <w:rFonts w:ascii="Arial" w:cs="Arial" w:eastAsia="Arial" w:hAnsi="Arial"/>
          <w:sz w:val="21"/>
          <w:szCs w:val="21"/>
          <w:color w:val="auto"/>
        </w:rPr>
      </w:pPr>
    </w:p>
    <w:p>
      <w:pPr>
        <w:ind w:right="40" w:firstLine="832"/>
        <w:spacing w:after="0" w:line="248" w:lineRule="auto"/>
        <w:tabs>
          <w:tab w:leader="none" w:pos="1487"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Notwithstanding any provision of this Plan, no Plan elections, modifications or distributions will be allowed or implemented if they would cause the Participant to be subject to tax (including interest and penalties) under Section 409A of the Code. The settlement of Awards hereunder may be delayed up to six months following a Participant's termination of employment if the Participant is a “specified employee” for purposes of Section 409A and such delay is necessary to avoid the imposition of tax (including interest and penalties) under Section 409A.</w:t>
      </w:r>
    </w:p>
    <w:p>
      <w:pPr>
        <w:spacing w:after="0" w:line="23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i w:val="1"/>
          <w:iCs w:val="1"/>
          <w:color w:val="auto"/>
        </w:rPr>
        <w:t xml:space="preserve">SECTION 10. Term of Plan. </w:t>
      </w:r>
      <w:r>
        <w:rPr>
          <w:rFonts w:ascii="Arial" w:cs="Arial" w:eastAsia="Arial" w:hAnsi="Arial"/>
          <w:sz w:val="22"/>
          <w:szCs w:val="22"/>
          <w:color w:val="auto"/>
        </w:rPr>
        <w:t>The Plan shall terminate on the day after the date when all Awards hereunder</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settled in accordance with the terms of the Plan.</w:t>
      </w:r>
    </w:p>
    <w:p>
      <w:pPr>
        <w:spacing w:after="0" w:line="215" w:lineRule="exact"/>
        <w:rPr>
          <w:sz w:val="20"/>
          <w:szCs w:val="20"/>
          <w:color w:val="auto"/>
        </w:rPr>
      </w:pPr>
    </w:p>
    <w:p>
      <w:pPr>
        <w:ind w:left="660"/>
        <w:spacing w:after="0"/>
        <w:tabs>
          <w:tab w:leader="none" w:pos="3120" w:val="left"/>
        </w:tabs>
        <w:rPr>
          <w:sz w:val="20"/>
          <w:szCs w:val="20"/>
          <w:color w:val="auto"/>
        </w:rPr>
      </w:pPr>
      <w:r>
        <w:rPr>
          <w:rFonts w:ascii="Arial" w:cs="Arial" w:eastAsia="Arial" w:hAnsi="Arial"/>
          <w:sz w:val="22"/>
          <w:szCs w:val="22"/>
          <w:i w:val="1"/>
          <w:iCs w:val="1"/>
          <w:color w:val="auto"/>
        </w:rPr>
        <w:t>SECTION 11.</w:t>
      </w:r>
      <w:r>
        <w:rPr>
          <w:sz w:val="20"/>
          <w:szCs w:val="20"/>
          <w:color w:val="auto"/>
        </w:rPr>
        <w:tab/>
      </w:r>
      <w:r>
        <w:rPr>
          <w:rFonts w:ascii="Arial" w:cs="Arial" w:eastAsia="Arial" w:hAnsi="Arial"/>
          <w:sz w:val="19"/>
          <w:szCs w:val="19"/>
          <w:i w:val="1"/>
          <w:iCs w:val="1"/>
          <w:color w:val="auto"/>
        </w:rPr>
        <w:t xml:space="preserve">Definitions. </w:t>
      </w:r>
      <w:r>
        <w:rPr>
          <w:rFonts w:ascii="Arial" w:cs="Arial" w:eastAsia="Arial" w:hAnsi="Arial"/>
          <w:sz w:val="19"/>
          <w:szCs w:val="19"/>
          <w:color w:val="auto"/>
        </w:rPr>
        <w:t>As used in the Plan, the following terms shall have the meanings set forth below:</w:t>
      </w:r>
    </w:p>
    <w:p>
      <w:pPr>
        <w:spacing w:after="0" w:line="260" w:lineRule="exact"/>
        <w:rPr>
          <w:sz w:val="20"/>
          <w:szCs w:val="20"/>
          <w:color w:val="auto"/>
        </w:rPr>
      </w:pPr>
    </w:p>
    <w:p>
      <w:pPr>
        <w:ind w:right="300" w:firstLine="832"/>
        <w:spacing w:after="0" w:line="263" w:lineRule="auto"/>
        <w:tabs>
          <w:tab w:leader="none" w:pos="1577" w:val="left"/>
        </w:tabs>
        <w:numPr>
          <w:ilvl w:val="0"/>
          <w:numId w:val="53"/>
        </w:numPr>
        <w:rPr>
          <w:rFonts w:ascii="Arial" w:cs="Arial" w:eastAsia="Arial" w:hAnsi="Arial"/>
          <w:sz w:val="22"/>
          <w:szCs w:val="22"/>
          <w:color w:val="auto"/>
        </w:rPr>
      </w:pPr>
      <w:r>
        <w:rPr>
          <w:rFonts w:ascii="Arial" w:cs="Arial" w:eastAsia="Arial" w:hAnsi="Arial"/>
          <w:sz w:val="22"/>
          <w:szCs w:val="22"/>
          <w:color w:val="auto"/>
        </w:rPr>
        <w:t>“Award” shall mean any Options, Stock Appreciation Rights, Stock Award or award of Restricted Stock Units granted hereunder.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400"/>
          </w:cols>
          <w:pgMar w:left="240" w:top="591" w:right="259" w:bottom="1440" w:gutter="0" w:footer="0" w:header="0"/>
        </w:sectPr>
      </w:pPr>
    </w:p>
    <w:bookmarkStart w:id="82" w:name="page83"/>
    <w:bookmarkEnd w:id="82"/>
    <w:p>
      <w:pPr>
        <w:ind w:left="1540" w:hanging="708"/>
        <w:spacing w:after="0"/>
        <w:tabs>
          <w:tab w:leader="none" w:pos="15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“Award Agreement” shall mean the written instrument evidencing the terms of an Award hereunder.</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“Chief Executive Officer” shall mean the Chief Executive Officer of the Company.</w:t>
      </w:r>
    </w:p>
    <w:p>
      <w:pPr>
        <w:spacing w:after="0" w:line="260" w:lineRule="exact"/>
        <w:rPr>
          <w:rFonts w:ascii="Arial" w:cs="Arial" w:eastAsia="Arial" w:hAnsi="Arial"/>
          <w:sz w:val="22"/>
          <w:szCs w:val="22"/>
          <w:color w:val="auto"/>
        </w:rPr>
      </w:pPr>
    </w:p>
    <w:p>
      <w:pPr>
        <w:ind w:right="60" w:firstLine="832"/>
        <w:spacing w:after="0" w:line="263" w:lineRule="auto"/>
        <w:tabs>
          <w:tab w:leader="none" w:pos="1523"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 and any successor thereto, and any reference to any section of the Code shall also include any successor provision thereto.</w:t>
      </w:r>
    </w:p>
    <w:p>
      <w:pPr>
        <w:spacing w:after="0" w:line="215" w:lineRule="exact"/>
        <w:rPr>
          <w:rFonts w:ascii="Arial" w:cs="Arial" w:eastAsia="Arial" w:hAnsi="Arial"/>
          <w:sz w:val="22"/>
          <w:szCs w:val="22"/>
          <w:color w:val="auto"/>
        </w:rPr>
      </w:pPr>
    </w:p>
    <w:p>
      <w:pPr>
        <w:ind w:firstLine="832"/>
        <w:spacing w:after="0" w:line="263" w:lineRule="auto"/>
        <w:tabs>
          <w:tab w:leader="none" w:pos="1499"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“Committee” shall mean the Executive Compensation Committee of the Board, its named successor, or such other persons or committee to whom the Board has delegated any authority, as may be appropriate.</w:t>
      </w:r>
    </w:p>
    <w:p>
      <w:pPr>
        <w:spacing w:after="0" w:line="215" w:lineRule="exact"/>
        <w:rPr>
          <w:rFonts w:ascii="Arial" w:cs="Arial" w:eastAsia="Arial" w:hAnsi="Arial"/>
          <w:sz w:val="22"/>
          <w:szCs w:val="22"/>
          <w:color w:val="auto"/>
        </w:rPr>
      </w:pPr>
    </w:p>
    <w:p>
      <w:pPr>
        <w:ind w:left="1540" w:hanging="708"/>
        <w:spacing w:after="0"/>
        <w:tabs>
          <w:tab w:leader="none" w:pos="15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“Company” shall mean General Motors Company, a Delaware Company, or its successor.</w:t>
      </w:r>
    </w:p>
    <w:p>
      <w:pPr>
        <w:spacing w:after="0" w:line="260" w:lineRule="exact"/>
        <w:rPr>
          <w:rFonts w:ascii="Arial" w:cs="Arial" w:eastAsia="Arial" w:hAnsi="Arial"/>
          <w:sz w:val="22"/>
          <w:szCs w:val="22"/>
          <w:color w:val="auto"/>
        </w:rPr>
      </w:pPr>
    </w:p>
    <w:p>
      <w:pPr>
        <w:ind w:right="440" w:firstLine="832"/>
        <w:spacing w:after="0" w:line="253" w:lineRule="auto"/>
        <w:tabs>
          <w:tab w:leader="none" w:pos="1535" w:val="left"/>
        </w:tabs>
        <w:numPr>
          <w:ilvl w:val="0"/>
          <w:numId w:val="54"/>
        </w:numPr>
        <w:rPr>
          <w:rFonts w:ascii="Arial" w:cs="Arial" w:eastAsia="Arial" w:hAnsi="Arial"/>
          <w:sz w:val="22"/>
          <w:szCs w:val="22"/>
          <w:color w:val="auto"/>
        </w:rPr>
      </w:pPr>
      <w:r>
        <w:rPr>
          <w:rFonts w:ascii="Arial" w:cs="Arial" w:eastAsia="Arial" w:hAnsi="Arial"/>
          <w:sz w:val="22"/>
          <w:szCs w:val="22"/>
          <w:color w:val="auto"/>
        </w:rPr>
        <w:t>“Disability” shall mean the Participant is unable to engage in any gainful activity by reason of any medically determinable physical or mental impairment that can be expected to result in death or can be expected to last for a continuous period of not less than 12 months.</w:t>
      </w:r>
    </w:p>
    <w:p>
      <w:pPr>
        <w:spacing w:after="0" w:line="226" w:lineRule="exact"/>
        <w:rPr>
          <w:rFonts w:ascii="Arial" w:cs="Arial" w:eastAsia="Arial" w:hAnsi="Arial"/>
          <w:sz w:val="22"/>
          <w:szCs w:val="22"/>
          <w:color w:val="auto"/>
        </w:rPr>
      </w:pPr>
    </w:p>
    <w:p>
      <w:pPr>
        <w:ind w:left="1500" w:hanging="668"/>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“Employee” shall mean any individual who is employed by the Company or any Subsidiary.</w:t>
      </w:r>
    </w:p>
    <w:p>
      <w:pPr>
        <w:spacing w:after="0" w:line="260" w:lineRule="exact"/>
        <w:rPr>
          <w:rFonts w:ascii="Arial" w:cs="Arial" w:eastAsia="Arial" w:hAnsi="Arial"/>
          <w:sz w:val="22"/>
          <w:szCs w:val="22"/>
          <w:color w:val="auto"/>
        </w:rPr>
      </w:pPr>
    </w:p>
    <w:p>
      <w:pPr>
        <w:ind w:left="1500" w:hanging="668"/>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“Exchange Act” shall mean the U.S. Securities Exchange Act of 1934.</w:t>
      </w:r>
    </w:p>
    <w:p>
      <w:pPr>
        <w:spacing w:after="0" w:line="260" w:lineRule="exact"/>
        <w:rPr>
          <w:rFonts w:ascii="Arial" w:cs="Arial" w:eastAsia="Arial" w:hAnsi="Arial"/>
          <w:sz w:val="22"/>
          <w:szCs w:val="22"/>
          <w:color w:val="auto"/>
        </w:rPr>
      </w:pPr>
    </w:p>
    <w:p>
      <w:pPr>
        <w:ind w:firstLine="832"/>
        <w:spacing w:after="0" w:line="287" w:lineRule="auto"/>
        <w:tabs>
          <w:tab w:leader="none" w:pos="1535" w:val="left"/>
        </w:tabs>
        <w:numPr>
          <w:ilvl w:val="0"/>
          <w:numId w:val="54"/>
        </w:numPr>
        <w:rPr>
          <w:rFonts w:ascii="Arial" w:cs="Arial" w:eastAsia="Arial" w:hAnsi="Arial"/>
          <w:sz w:val="21"/>
          <w:szCs w:val="21"/>
          <w:color w:val="auto"/>
        </w:rPr>
      </w:pPr>
      <w:r>
        <w:rPr>
          <w:rFonts w:ascii="Arial" w:cs="Arial" w:eastAsia="Arial" w:hAnsi="Arial"/>
          <w:sz w:val="21"/>
          <w:szCs w:val="21"/>
          <w:color w:val="auto"/>
        </w:rPr>
        <w:t>“Executive Officer” shall mean any Participant required to provide periodic statements of beneficial ownership of Company equity securities as an executive officer of the Company under Section 16(a) of the Exchange Act.</w:t>
      </w:r>
    </w:p>
    <w:p>
      <w:pPr>
        <w:spacing w:after="0" w:line="192" w:lineRule="exact"/>
        <w:rPr>
          <w:rFonts w:ascii="Arial" w:cs="Arial" w:eastAsia="Arial" w:hAnsi="Arial"/>
          <w:sz w:val="21"/>
          <w:szCs w:val="21"/>
          <w:color w:val="auto"/>
        </w:rPr>
      </w:pPr>
    </w:p>
    <w:p>
      <w:pPr>
        <w:ind w:right="200" w:firstLine="832"/>
        <w:spacing w:after="0" w:line="261" w:lineRule="auto"/>
        <w:tabs>
          <w:tab w:leader="none" w:pos="1487" w:val="left"/>
        </w:tabs>
        <w:numPr>
          <w:ilvl w:val="0"/>
          <w:numId w:val="54"/>
        </w:numPr>
        <w:rPr>
          <w:rFonts w:ascii="Arial" w:cs="Arial" w:eastAsia="Arial" w:hAnsi="Arial"/>
          <w:sz w:val="21"/>
          <w:szCs w:val="21"/>
          <w:color w:val="auto"/>
        </w:rPr>
      </w:pPr>
      <w:r>
        <w:rPr>
          <w:rFonts w:ascii="Arial" w:cs="Arial" w:eastAsia="Arial" w:hAnsi="Arial"/>
          <w:sz w:val="21"/>
          <w:szCs w:val="21"/>
          <w:color w:val="auto"/>
        </w:rPr>
        <w:t>“Fair Market Value” shall mean the value of a Share, determined as follows: prior to the establishment of when-issued trading of the Shares on a national securities exchange, as determined by the Committee in its discretion; and after the establishment of when-issued trading of the Shares on a national securities exchange, the average of the high and low trading (or when-issued trading) prices for the Shares as reported on such national securities exchange for the applicable date or, if no such prices are reported for that date, the average of the high and low trading (or when-issued trading) prices on the immediately preceding date for which such prices were reported.</w:t>
      </w:r>
    </w:p>
    <w:p>
      <w:pPr>
        <w:spacing w:after="0" w:line="220" w:lineRule="exact"/>
        <w:rPr>
          <w:rFonts w:ascii="Arial" w:cs="Arial" w:eastAsia="Arial" w:hAnsi="Arial"/>
          <w:sz w:val="21"/>
          <w:szCs w:val="21"/>
          <w:color w:val="auto"/>
        </w:rPr>
      </w:pPr>
    </w:p>
    <w:p>
      <w:pPr>
        <w:ind w:left="1660" w:hanging="828"/>
        <w:spacing w:after="0"/>
        <w:tabs>
          <w:tab w:leader="none" w:pos="1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“Grant Date” shall mean the grant date specified in the Award Agreement.</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“Grant Price” shall mean the average of the high and low trading price per Share on the Grant Date.</w:t>
      </w:r>
    </w:p>
    <w:p>
      <w:pPr>
        <w:spacing w:after="0" w:line="260" w:lineRule="exact"/>
        <w:rPr>
          <w:rFonts w:ascii="Arial" w:cs="Arial" w:eastAsia="Arial" w:hAnsi="Arial"/>
          <w:sz w:val="22"/>
          <w:szCs w:val="22"/>
          <w:color w:val="auto"/>
        </w:rPr>
      </w:pPr>
    </w:p>
    <w:p>
      <w:pPr>
        <w:ind w:right="160" w:firstLine="832"/>
        <w:spacing w:after="0" w:line="263" w:lineRule="auto"/>
        <w:tabs>
          <w:tab w:leader="none" w:pos="1535"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“Incentive Stock Options” or “ISO” shall mean an Option granted hereunder that is intended to comply with the provisions of Section 422 of the Code.</w:t>
      </w:r>
    </w:p>
    <w:p>
      <w:pPr>
        <w:spacing w:after="0" w:line="215" w:lineRule="exact"/>
        <w:rPr>
          <w:rFonts w:ascii="Arial" w:cs="Arial" w:eastAsia="Arial" w:hAnsi="Arial"/>
          <w:sz w:val="22"/>
          <w:szCs w:val="22"/>
          <w:color w:val="auto"/>
        </w:rPr>
      </w:pPr>
    </w:p>
    <w:p>
      <w:pPr>
        <w:ind w:left="1540" w:hanging="708"/>
        <w:spacing w:after="0"/>
        <w:tabs>
          <w:tab w:leader="none" w:pos="15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“Nonqualified Option” shall mean an Option that is not an ISO.</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380"/>
          </w:cols>
          <w:pgMar w:left="240" w:top="847" w:right="279" w:bottom="1440" w:gutter="0" w:footer="0" w:header="0"/>
        </w:sectPr>
      </w:pPr>
    </w:p>
    <w:bookmarkStart w:id="83" w:name="page84"/>
    <w:bookmarkEnd w:id="83"/>
    <w:p>
      <w:pPr>
        <w:ind w:firstLine="832"/>
        <w:spacing w:after="0" w:line="253" w:lineRule="auto"/>
        <w:tabs>
          <w:tab w:leader="none" w:pos="1535" w:val="left"/>
        </w:tabs>
        <w:numPr>
          <w:ilvl w:val="1"/>
          <w:numId w:val="55"/>
        </w:numPr>
        <w:rPr>
          <w:rFonts w:ascii="Arial" w:cs="Arial" w:eastAsia="Arial" w:hAnsi="Arial"/>
          <w:sz w:val="22"/>
          <w:szCs w:val="22"/>
          <w:color w:val="auto"/>
        </w:rPr>
      </w:pPr>
      <w:r>
        <w:rPr>
          <w:rFonts w:ascii="Arial" w:cs="Arial" w:eastAsia="Arial" w:hAnsi="Arial"/>
          <w:sz w:val="22"/>
          <w:szCs w:val="22"/>
          <w:color w:val="auto"/>
        </w:rPr>
        <w:t>“Options” or “Stock Options” shall mean any right granted to a Participant under the Plan pursuant to and described in Section 7 allowing such Participant to purchase Shares at such price or prices and during such period or periods, as the Committee shall determine and shall include ISOs and Nonqualified Options.</w:t>
      </w:r>
    </w:p>
    <w:p>
      <w:pPr>
        <w:spacing w:after="0" w:line="226" w:lineRule="exact"/>
        <w:rPr>
          <w:rFonts w:ascii="Arial" w:cs="Arial" w:eastAsia="Arial" w:hAnsi="Arial"/>
          <w:sz w:val="22"/>
          <w:szCs w:val="22"/>
          <w:color w:val="auto"/>
        </w:rPr>
      </w:pPr>
    </w:p>
    <w:p>
      <w:pPr>
        <w:ind w:left="1500" w:hanging="668"/>
        <w:spacing w:after="0"/>
        <w:tabs>
          <w:tab w:leader="none" w:pos="15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“Participant” shall mean an Employee who is selected by the Committee to receive an Award under the Plan</w:t>
      </w:r>
    </w:p>
    <w:p>
      <w:pPr>
        <w:spacing w:after="0" w:line="294" w:lineRule="exact"/>
        <w:rPr>
          <w:rFonts w:ascii="Arial" w:cs="Arial" w:eastAsia="Arial" w:hAnsi="Arial"/>
          <w:sz w:val="19"/>
          <w:szCs w:val="19"/>
          <w:color w:val="auto"/>
        </w:rPr>
      </w:pPr>
    </w:p>
    <w:p>
      <w:pPr>
        <w:ind w:left="1520" w:hanging="688"/>
        <w:spacing w:after="0"/>
        <w:tabs>
          <w:tab w:leader="none" w:pos="15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“Plan” shall mean this General Motors Company 2009 Long-Term Incentive Plan, as amended from time to time.</w:t>
      </w:r>
    </w:p>
    <w:p>
      <w:pPr>
        <w:spacing w:after="0" w:line="294" w:lineRule="exact"/>
        <w:rPr>
          <w:rFonts w:ascii="Arial" w:cs="Arial" w:eastAsia="Arial" w:hAnsi="Arial"/>
          <w:sz w:val="19"/>
          <w:szCs w:val="19"/>
          <w:color w:val="auto"/>
        </w:rPr>
      </w:pPr>
    </w:p>
    <w:p>
      <w:pPr>
        <w:ind w:right="40" w:firstLine="832"/>
        <w:spacing w:after="0" w:line="258" w:lineRule="auto"/>
        <w:tabs>
          <w:tab w:leader="none" w:pos="1487" w:val="left"/>
        </w:tabs>
        <w:numPr>
          <w:ilvl w:val="1"/>
          <w:numId w:val="55"/>
        </w:numPr>
        <w:rPr>
          <w:rFonts w:ascii="Arial" w:cs="Arial" w:eastAsia="Arial" w:hAnsi="Arial"/>
          <w:sz w:val="21"/>
          <w:szCs w:val="21"/>
          <w:color w:val="auto"/>
        </w:rPr>
      </w:pPr>
      <w:r>
        <w:rPr>
          <w:rFonts w:ascii="Arial" w:cs="Arial" w:eastAsia="Arial" w:hAnsi="Arial"/>
          <w:sz w:val="21"/>
          <w:szCs w:val="21"/>
          <w:color w:val="auto"/>
        </w:rPr>
        <w:t>“Performance Conditions” shall mean measures of the operational performance of the Company or other performance criteria selected by the Committee, the degree of achievement of which will determine the portion of an Award that is earned by the Participant as specified in the Award Agreement. In creating these measures, the Committee may establish the specific goals based upon or relating to one or more of the following business criteria: asset turnover, cash flow, contribution margin, cost objectives, cost reduction, earnings before interest and taxes (EBIT), earnings before interest, taxes, depreciation and amortization (EBITDA), earnings per share, economic value added, free cash flow, increase in customer base, initial public offering, inventory turnover, liquidity, market share, net income, net income margin, operating cash flow, operating profit margin, pre-tax income, productivity, profit margin, quality, return on assets, return on net assets, return on capital, return on equity, revenue, revenue growth, and/or warranty. Each business criterion may be expressed in absolute terms or relative to the performance of other companies or to an index.</w:t>
      </w:r>
    </w:p>
    <w:p>
      <w:pPr>
        <w:spacing w:after="0" w:line="226" w:lineRule="exact"/>
        <w:rPr>
          <w:rFonts w:ascii="Arial" w:cs="Arial" w:eastAsia="Arial" w:hAnsi="Arial"/>
          <w:sz w:val="21"/>
          <w:szCs w:val="21"/>
          <w:color w:val="auto"/>
        </w:rPr>
      </w:pPr>
    </w:p>
    <w:p>
      <w:pPr>
        <w:ind w:right="220" w:firstLine="832"/>
        <w:spacing w:after="0" w:line="263" w:lineRule="auto"/>
        <w:tabs>
          <w:tab w:leader="none" w:pos="1535" w:val="left"/>
        </w:tabs>
        <w:numPr>
          <w:ilvl w:val="1"/>
          <w:numId w:val="55"/>
        </w:numPr>
        <w:rPr>
          <w:rFonts w:ascii="Arial" w:cs="Arial" w:eastAsia="Arial" w:hAnsi="Arial"/>
          <w:sz w:val="22"/>
          <w:szCs w:val="22"/>
          <w:color w:val="auto"/>
        </w:rPr>
      </w:pPr>
      <w:r>
        <w:rPr>
          <w:rFonts w:ascii="Arial" w:cs="Arial" w:eastAsia="Arial" w:hAnsi="Arial"/>
          <w:sz w:val="22"/>
          <w:szCs w:val="22"/>
          <w:color w:val="auto"/>
        </w:rPr>
        <w:t>“Proration Date” shall be a date established by the Committee at the time of grant of an Award and specified in the Award Agreement. If no such date is established, the Proration Date shall be the Grant Date.</w:t>
      </w:r>
    </w:p>
    <w:p>
      <w:pPr>
        <w:spacing w:after="0" w:line="215" w:lineRule="exact"/>
        <w:rPr>
          <w:rFonts w:ascii="Arial" w:cs="Arial" w:eastAsia="Arial" w:hAnsi="Arial"/>
          <w:sz w:val="22"/>
          <w:szCs w:val="22"/>
          <w:color w:val="auto"/>
        </w:rPr>
      </w:pPr>
    </w:p>
    <w:p>
      <w:pPr>
        <w:ind w:left="1540" w:hanging="708"/>
        <w:spacing w:after="0"/>
        <w:tabs>
          <w:tab w:leader="none" w:pos="1540" w:val="left"/>
        </w:tabs>
        <w:numPr>
          <w:ilvl w:val="1"/>
          <w:numId w:val="55"/>
        </w:numPr>
        <w:rPr>
          <w:rFonts w:ascii="Arial" w:cs="Arial" w:eastAsia="Arial" w:hAnsi="Arial"/>
          <w:sz w:val="22"/>
          <w:szCs w:val="22"/>
          <w:color w:val="auto"/>
        </w:rPr>
      </w:pPr>
      <w:r>
        <w:rPr>
          <w:rFonts w:ascii="Arial" w:cs="Arial" w:eastAsia="Arial" w:hAnsi="Arial"/>
          <w:sz w:val="22"/>
          <w:szCs w:val="22"/>
          <w:color w:val="auto"/>
        </w:rPr>
        <w:t>“Restricted Stock Unit” or “RSU” shall mean any unit granted pursuant to and described in Section 6.</w:t>
      </w:r>
    </w:p>
    <w:p>
      <w:pPr>
        <w:spacing w:after="0" w:line="260" w:lineRule="exact"/>
        <w:rPr>
          <w:rFonts w:ascii="Arial" w:cs="Arial" w:eastAsia="Arial" w:hAnsi="Arial"/>
          <w:sz w:val="22"/>
          <w:szCs w:val="22"/>
          <w:color w:val="auto"/>
        </w:rPr>
      </w:pPr>
    </w:p>
    <w:p>
      <w:pPr>
        <w:ind w:right="260" w:firstLine="832"/>
        <w:spacing w:after="0" w:line="263" w:lineRule="auto"/>
        <w:tabs>
          <w:tab w:leader="none" w:pos="1583" w:val="left"/>
        </w:tabs>
        <w:numPr>
          <w:ilvl w:val="1"/>
          <w:numId w:val="55"/>
        </w:numPr>
        <w:rPr>
          <w:rFonts w:ascii="Arial" w:cs="Arial" w:eastAsia="Arial" w:hAnsi="Arial"/>
          <w:sz w:val="22"/>
          <w:szCs w:val="22"/>
          <w:color w:val="auto"/>
        </w:rPr>
      </w:pPr>
      <w:r>
        <w:rPr>
          <w:rFonts w:ascii="Arial" w:cs="Arial" w:eastAsia="Arial" w:hAnsi="Arial"/>
          <w:sz w:val="22"/>
          <w:szCs w:val="22"/>
          <w:color w:val="auto"/>
        </w:rPr>
        <w:t>“Settlement Date” shall mean the date on which the Award becomes nonforfeitable and payable in accordance with the provisions of the Plan and the Award Agreement.</w:t>
      </w:r>
    </w:p>
    <w:p>
      <w:pPr>
        <w:spacing w:after="0" w:line="215" w:lineRule="exact"/>
        <w:rPr>
          <w:rFonts w:ascii="Arial" w:cs="Arial" w:eastAsia="Arial" w:hAnsi="Arial"/>
          <w:sz w:val="22"/>
          <w:szCs w:val="22"/>
          <w:color w:val="auto"/>
        </w:rPr>
      </w:pPr>
    </w:p>
    <w:p>
      <w:pPr>
        <w:ind w:left="1540" w:hanging="708"/>
        <w:spacing w:after="0"/>
        <w:tabs>
          <w:tab w:leader="none" w:pos="1540" w:val="left"/>
        </w:tabs>
        <w:numPr>
          <w:ilvl w:val="1"/>
          <w:numId w:val="55"/>
        </w:numPr>
        <w:rPr>
          <w:rFonts w:ascii="Arial" w:cs="Arial" w:eastAsia="Arial" w:hAnsi="Arial"/>
          <w:sz w:val="22"/>
          <w:szCs w:val="22"/>
          <w:color w:val="auto"/>
        </w:rPr>
      </w:pPr>
      <w:r>
        <w:rPr>
          <w:rFonts w:ascii="Arial" w:cs="Arial" w:eastAsia="Arial" w:hAnsi="Arial"/>
          <w:sz w:val="22"/>
          <w:szCs w:val="22"/>
          <w:color w:val="auto"/>
        </w:rPr>
        <w:t>“Shares” shall mean shares of the common stock of the Company, $0.01 par value.</w:t>
      </w:r>
    </w:p>
    <w:p>
      <w:pPr>
        <w:spacing w:after="0" w:line="260" w:lineRule="exact"/>
        <w:rPr>
          <w:rFonts w:ascii="Arial" w:cs="Arial" w:eastAsia="Arial" w:hAnsi="Arial"/>
          <w:sz w:val="22"/>
          <w:szCs w:val="22"/>
          <w:color w:val="auto"/>
        </w:rPr>
      </w:pPr>
    </w:p>
    <w:p>
      <w:pPr>
        <w:ind w:right="80" w:firstLine="832"/>
        <w:spacing w:after="0" w:line="253" w:lineRule="auto"/>
        <w:tabs>
          <w:tab w:leader="none" w:pos="1535" w:val="left"/>
        </w:tabs>
        <w:numPr>
          <w:ilvl w:val="1"/>
          <w:numId w:val="55"/>
        </w:numPr>
        <w:rPr>
          <w:rFonts w:ascii="Arial" w:cs="Arial" w:eastAsia="Arial" w:hAnsi="Arial"/>
          <w:sz w:val="22"/>
          <w:szCs w:val="22"/>
          <w:color w:val="auto"/>
        </w:rPr>
      </w:pPr>
      <w:r>
        <w:rPr>
          <w:rFonts w:ascii="Arial" w:cs="Arial" w:eastAsia="Arial" w:hAnsi="Arial"/>
          <w:sz w:val="22"/>
          <w:szCs w:val="22"/>
          <w:color w:val="auto"/>
        </w:rPr>
        <w:t>“Special Master” shall mean the Office of the Special Master for TARP Executive Compensation, established by the United States Secretary of the Treasury under the American Recovery and Reinvestment Act of 2009 or any other office or agency which succeeds to the powers thereof.</w:t>
      </w:r>
    </w:p>
    <w:p>
      <w:pPr>
        <w:spacing w:after="0" w:line="226" w:lineRule="exact"/>
        <w:rPr>
          <w:rFonts w:ascii="Arial" w:cs="Arial" w:eastAsia="Arial" w:hAnsi="Arial"/>
          <w:sz w:val="22"/>
          <w:szCs w:val="22"/>
          <w:color w:val="auto"/>
        </w:rPr>
      </w:pPr>
    </w:p>
    <w:p>
      <w:pPr>
        <w:ind w:right="260" w:firstLine="832"/>
        <w:spacing w:after="0" w:line="253" w:lineRule="auto"/>
        <w:tabs>
          <w:tab w:leader="none" w:pos="1523" w:val="left"/>
        </w:tabs>
        <w:numPr>
          <w:ilvl w:val="1"/>
          <w:numId w:val="55"/>
        </w:numPr>
        <w:rPr>
          <w:rFonts w:ascii="Arial" w:cs="Arial" w:eastAsia="Arial" w:hAnsi="Arial"/>
          <w:sz w:val="22"/>
          <w:szCs w:val="22"/>
          <w:color w:val="auto"/>
        </w:rPr>
      </w:pPr>
      <w:r>
        <w:rPr>
          <w:rFonts w:ascii="Arial" w:cs="Arial" w:eastAsia="Arial" w:hAnsi="Arial"/>
          <w:sz w:val="22"/>
          <w:szCs w:val="22"/>
          <w:color w:val="auto"/>
        </w:rPr>
        <w:t>“Stock Appreciation Right” shall mean an Award denominated in Shares that entitles the Participant within the exercise period to receive a payment equal to the increase in value between the Grant Price and the fair market value of the underlying Shares at date of exercise.</w:t>
      </w:r>
    </w:p>
    <w:p>
      <w:pPr>
        <w:spacing w:after="0" w:line="226" w:lineRule="exact"/>
        <w:rPr>
          <w:rFonts w:ascii="Arial" w:cs="Arial" w:eastAsia="Arial" w:hAnsi="Arial"/>
          <w:sz w:val="22"/>
          <w:szCs w:val="22"/>
          <w:color w:val="auto"/>
        </w:rPr>
      </w:pPr>
    </w:p>
    <w:p>
      <w:pPr>
        <w:ind w:right="20" w:firstLine="818"/>
        <w:spacing w:after="0" w:line="287" w:lineRule="auto"/>
        <w:tabs>
          <w:tab w:leader="none" w:pos="12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“Stock Award” shall mean an Award of shares hereunder which may be subject to such restrictions on transfer and/or forfeitability conditions as are specified in the applicable Award Agreement.</w:t>
      </w:r>
    </w:p>
    <w:p>
      <w:pPr>
        <w:spacing w:after="0" w:line="192" w:lineRule="exact"/>
        <w:rPr>
          <w:rFonts w:ascii="Arial" w:cs="Arial" w:eastAsia="Arial" w:hAnsi="Arial"/>
          <w:sz w:val="21"/>
          <w:szCs w:val="21"/>
          <w:color w:val="auto"/>
        </w:rPr>
      </w:pPr>
    </w:p>
    <w:p>
      <w:pPr>
        <w:ind w:right="20" w:firstLine="818"/>
        <w:spacing w:after="0" w:line="263" w:lineRule="auto"/>
        <w:tabs>
          <w:tab w:leader="none" w:pos="1224" w:val="left"/>
        </w:tabs>
        <w:numPr>
          <w:ilvl w:val="0"/>
          <w:numId w:val="56"/>
        </w:numPr>
        <w:rPr>
          <w:rFonts w:ascii="Arial" w:cs="Arial" w:eastAsia="Arial" w:hAnsi="Arial"/>
          <w:sz w:val="22"/>
          <w:szCs w:val="22"/>
          <w:color w:val="auto"/>
        </w:rPr>
      </w:pPr>
      <w:r>
        <w:rPr>
          <w:rFonts w:ascii="Arial" w:cs="Arial" w:eastAsia="Arial" w:hAnsi="Arial"/>
          <w:sz w:val="22"/>
          <w:szCs w:val="22"/>
          <w:color w:val="auto"/>
        </w:rPr>
        <w:t>“Subsidiary” shall mean (i) a company of which capital stock having ordinary voting power to elect a majority of the board of directors of such company is owned, directly or indirectly, by the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360"/>
          </w:cols>
          <w:pgMar w:left="240" w:top="591" w:right="299" w:bottom="1440" w:gutter="0" w:footer="0" w:header="0"/>
        </w:sectPr>
      </w:pPr>
    </w:p>
    <w:bookmarkStart w:id="84" w:name="page85"/>
    <w:bookmarkEnd w:id="84"/>
    <w:p>
      <w:pPr>
        <w:ind w:right="160"/>
        <w:spacing w:after="0" w:line="263" w:lineRule="auto"/>
        <w:rPr>
          <w:sz w:val="20"/>
          <w:szCs w:val="20"/>
          <w:color w:val="auto"/>
        </w:rPr>
      </w:pPr>
      <w:r>
        <w:rPr>
          <w:rFonts w:ascii="Arial" w:cs="Arial" w:eastAsia="Arial" w:hAnsi="Arial"/>
          <w:sz w:val="22"/>
          <w:szCs w:val="22"/>
          <w:color w:val="auto"/>
        </w:rPr>
        <w:t>Company or (ii) any limited liability company or unincorporated entity in respect of which the Company can exercise, directly or indirectly, comparable control to that described in clause (i).</w:t>
      </w:r>
    </w:p>
    <w:p>
      <w:pPr>
        <w:spacing w:after="0" w:line="215" w:lineRule="exact"/>
        <w:rPr>
          <w:sz w:val="20"/>
          <w:szCs w:val="20"/>
          <w:color w:val="auto"/>
        </w:rPr>
      </w:pPr>
    </w:p>
    <w:p>
      <w:pPr>
        <w:ind w:right="280" w:firstLine="818"/>
        <w:spacing w:after="0" w:line="263" w:lineRule="auto"/>
        <w:tabs>
          <w:tab w:leader="none" w:pos="12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“Substitute Award” shall mean an Award granted hereunder in assumption or replacement of an award issued by a company acquired by the Company or with which the Company or its Subsidiary combines.</w:t>
      </w:r>
    </w:p>
    <w:p>
      <w:pPr>
        <w:spacing w:after="0" w:line="215" w:lineRule="exact"/>
        <w:rPr>
          <w:rFonts w:ascii="Arial" w:cs="Arial" w:eastAsia="Arial" w:hAnsi="Arial"/>
          <w:sz w:val="22"/>
          <w:szCs w:val="22"/>
          <w:color w:val="auto"/>
        </w:rPr>
      </w:pPr>
    </w:p>
    <w:p>
      <w:pPr>
        <w:jc w:val="both"/>
        <w:ind w:right="400" w:firstLine="818"/>
        <w:spacing w:after="0" w:line="253" w:lineRule="auto"/>
        <w:tabs>
          <w:tab w:leader="none" w:pos="122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“TARP Award” shall mean an Award hereunder that is at any time required to comply with the requirements for “long-term restricted stock” set forth in Treasury Regulations Section 31 CFR 30.1 (Q-1) and as interpreted and applied by the Special Master.</w:t>
      </w:r>
    </w:p>
    <w:p>
      <w:pPr>
        <w:spacing w:after="0" w:line="226" w:lineRule="exact"/>
        <w:rPr>
          <w:rFonts w:ascii="Arial" w:cs="Arial" w:eastAsia="Arial" w:hAnsi="Arial"/>
          <w:sz w:val="22"/>
          <w:szCs w:val="22"/>
          <w:color w:val="auto"/>
        </w:rPr>
      </w:pPr>
    </w:p>
    <w:p>
      <w:pPr>
        <w:ind w:left="1200" w:hanging="382"/>
        <w:spacing w:after="0"/>
        <w:tabs>
          <w:tab w:leader="none" w:pos="1200" w:val="left"/>
        </w:tabs>
        <w:numPr>
          <w:ilvl w:val="0"/>
          <w:numId w:val="57"/>
        </w:numPr>
        <w:rPr>
          <w:rFonts w:ascii="Arial" w:cs="Arial" w:eastAsia="Arial" w:hAnsi="Arial"/>
          <w:sz w:val="21"/>
          <w:szCs w:val="21"/>
          <w:color w:val="auto"/>
        </w:rPr>
      </w:pPr>
      <w:r>
        <w:rPr>
          <w:rFonts w:ascii="Arial" w:cs="Arial" w:eastAsia="Arial" w:hAnsi="Arial"/>
          <w:sz w:val="21"/>
          <w:szCs w:val="21"/>
          <w:color w:val="auto"/>
        </w:rPr>
        <w:t>“Unit” shall mean a Restricted Stock Unit or RSU.</w:t>
      </w:r>
    </w:p>
    <w:p>
      <w:pPr>
        <w:spacing w:after="0" w:line="271" w:lineRule="exact"/>
        <w:rPr>
          <w:rFonts w:ascii="Arial" w:cs="Arial" w:eastAsia="Arial" w:hAnsi="Arial"/>
          <w:sz w:val="21"/>
          <w:szCs w:val="21"/>
          <w:color w:val="auto"/>
        </w:rPr>
      </w:pPr>
    </w:p>
    <w:p>
      <w:pPr>
        <w:ind w:firstLine="818"/>
        <w:spacing w:after="0" w:line="263" w:lineRule="auto"/>
        <w:tabs>
          <w:tab w:leader="none" w:pos="1148" w:val="left"/>
        </w:tabs>
        <w:numPr>
          <w:ilvl w:val="0"/>
          <w:numId w:val="57"/>
        </w:numPr>
        <w:rPr>
          <w:rFonts w:ascii="Arial" w:cs="Arial" w:eastAsia="Arial" w:hAnsi="Arial"/>
          <w:sz w:val="22"/>
          <w:szCs w:val="22"/>
          <w:color w:val="auto"/>
        </w:rPr>
      </w:pPr>
      <w:r>
        <w:rPr>
          <w:rFonts w:ascii="Arial" w:cs="Arial" w:eastAsia="Arial" w:hAnsi="Arial"/>
          <w:sz w:val="22"/>
          <w:szCs w:val="22"/>
          <w:color w:val="auto"/>
        </w:rPr>
        <w:t>“Senior Vice President, Global Human Resources” shall mean the Senior Vice President, Global Human Resources of the Company.</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PERCOMPC\LMG\8-19-13 ECC\2009 Long Term Incentive Plan-as amended 08 19 13-FINAL.doc</w:t>
      </w:r>
    </w:p>
    <w:p>
      <w:pPr>
        <w:sectPr>
          <w:pgSz w:w="11900" w:h="16838" w:orient="portrait"/>
          <w:cols w:equalWidth="0" w:num="1">
            <w:col w:w="11340"/>
          </w:cols>
          <w:pgMar w:left="240" w:top="591" w:right="3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PROSPECTUS</w:t>
      </w:r>
    </w:p>
    <w:p>
      <w:pPr>
        <w:spacing w:after="0" w:line="200" w:lineRule="exact"/>
        <w:rPr>
          <w:sz w:val="20"/>
          <w:szCs w:val="20"/>
          <w:color w:val="auto"/>
        </w:rPr>
      </w:pPr>
    </w:p>
    <w:p>
      <w:pPr>
        <w:spacing w:after="0" w:line="242" w:lineRule="exact"/>
        <w:rPr>
          <w:sz w:val="20"/>
          <w:szCs w:val="20"/>
          <w:color w:val="auto"/>
        </w:rPr>
      </w:pPr>
    </w:p>
    <w:p>
      <w:pPr>
        <w:jc w:val="center"/>
        <w:ind w:left="260" w:right="220"/>
        <w:spacing w:after="0" w:line="269" w:lineRule="auto"/>
        <w:rPr>
          <w:sz w:val="20"/>
          <w:szCs w:val="20"/>
          <w:color w:val="auto"/>
        </w:rPr>
      </w:pPr>
      <w:r>
        <w:rPr>
          <w:rFonts w:ascii="Arial" w:cs="Arial" w:eastAsia="Arial" w:hAnsi="Arial"/>
          <w:sz w:val="22"/>
          <w:szCs w:val="22"/>
          <w:b w:val="1"/>
          <w:bCs w:val="1"/>
          <w:color w:val="auto"/>
        </w:rPr>
        <w:t>This document constitutes part of a prospectus covering securities that have been registered under the Securities Act of 1933</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MOTORS COMPANY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 PAR VALUE $0.01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Prospectus relates to shares of stock that General Motors Company will offer and deliver under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MOTORS COMPANY 2009 LONG-TERM INCENTIVE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and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MOTORS COMPANY SALARY STOCK PLAN</w:t>
      </w:r>
    </w:p>
    <w:p>
      <w:pPr>
        <w:spacing w:after="0" w:line="200" w:lineRule="exact"/>
        <w:rPr>
          <w:sz w:val="20"/>
          <w:szCs w:val="20"/>
          <w:color w:val="auto"/>
        </w:rPr>
      </w:pPr>
    </w:p>
    <w:p>
      <w:pPr>
        <w:spacing w:after="0" w:line="25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38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General Motors Company has not authorized anyone to provide you with information that is different from the information contained in this Prospectus or in the documents which are part of this Prospectus through incorporation by reference.</w:t>
      </w:r>
    </w:p>
    <w:p>
      <w:pPr>
        <w:spacing w:after="0" w:line="39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June 5, 2013</w:t>
      </w:r>
    </w:p>
    <w:p>
      <w:pPr>
        <w:sectPr>
          <w:pgSz w:w="11900" w:h="16838" w:orient="portrait"/>
          <w:cols w:equalWidth="0" w:num="1">
            <w:col w:w="11420"/>
          </w:cols>
          <w:pgMar w:left="240" w:top="580"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r>
      <w:tr>
        <w:trPr>
          <w:trHeight w:val="338"/>
        </w:trPr>
        <w:tc>
          <w:tcPr>
            <w:tcW w:w="940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0"/>
              </w:rPr>
              <w:t>Page</w:t>
            </w:r>
          </w:p>
        </w:tc>
      </w:tr>
      <w:tr>
        <w:trPr>
          <w:trHeight w:val="412"/>
        </w:trPr>
        <w:tc>
          <w:tcPr>
            <w:tcW w:w="9400" w:type="dxa"/>
            <w:vAlign w:val="bottom"/>
          </w:tcPr>
          <w:p>
            <w:pPr>
              <w:ind w:left="40"/>
              <w:spacing w:after="0"/>
              <w:rPr>
                <w:sz w:val="20"/>
                <w:szCs w:val="20"/>
                <w:color w:val="auto"/>
              </w:rPr>
            </w:pPr>
            <w:r>
              <w:rPr>
                <w:rFonts w:ascii="Arial" w:cs="Arial" w:eastAsia="Arial" w:hAnsi="Arial"/>
                <w:sz w:val="18"/>
                <w:szCs w:val="18"/>
                <w:color w:val="auto"/>
              </w:rPr>
              <w:t>About this Prospectus</w:t>
            </w:r>
          </w:p>
        </w:tc>
        <w:tc>
          <w:tcPr>
            <w:tcW w:w="360" w:type="dxa"/>
            <w:vAlign w:val="bottom"/>
          </w:tcPr>
          <w:p>
            <w:pPr>
              <w:spacing w:after="0"/>
              <w:rPr>
                <w:sz w:val="20"/>
                <w:szCs w:val="20"/>
                <w:color w:val="auto"/>
              </w:rPr>
            </w:pPr>
            <w:r>
              <w:rPr>
                <w:rFonts w:ascii="Arial" w:cs="Arial" w:eastAsia="Arial" w:hAnsi="Arial"/>
                <w:sz w:val="18"/>
                <w:szCs w:val="18"/>
                <w:color w:val="auto"/>
              </w:rPr>
              <w:t>2</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Incorporation of Certain Documents by Reference</w:t>
            </w:r>
          </w:p>
        </w:tc>
        <w:tc>
          <w:tcPr>
            <w:tcW w:w="360" w:type="dxa"/>
            <w:vAlign w:val="bottom"/>
          </w:tcPr>
          <w:p>
            <w:pPr>
              <w:spacing w:after="0"/>
              <w:rPr>
                <w:sz w:val="20"/>
                <w:szCs w:val="20"/>
                <w:color w:val="auto"/>
              </w:rPr>
            </w:pPr>
            <w:r>
              <w:rPr>
                <w:rFonts w:ascii="Arial" w:cs="Arial" w:eastAsia="Arial" w:hAnsi="Arial"/>
                <w:sz w:val="18"/>
                <w:szCs w:val="18"/>
                <w:color w:val="auto"/>
              </w:rPr>
              <w:t>3</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GM SEC Filings (File No. 1-34960)</w:t>
            </w:r>
          </w:p>
        </w:tc>
        <w:tc>
          <w:tcPr>
            <w:tcW w:w="360" w:type="dxa"/>
            <w:vAlign w:val="bottom"/>
          </w:tcPr>
          <w:p>
            <w:pPr>
              <w:spacing w:after="0"/>
              <w:rPr>
                <w:sz w:val="20"/>
                <w:szCs w:val="20"/>
                <w:color w:val="auto"/>
              </w:rPr>
            </w:pPr>
            <w:r>
              <w:rPr>
                <w:rFonts w:ascii="Arial" w:cs="Arial" w:eastAsia="Arial" w:hAnsi="Arial"/>
                <w:sz w:val="18"/>
                <w:szCs w:val="18"/>
                <w:color w:val="auto"/>
              </w:rPr>
              <w:t>3</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General Information</w:t>
            </w:r>
          </w:p>
        </w:tc>
        <w:tc>
          <w:tcPr>
            <w:tcW w:w="360" w:type="dxa"/>
            <w:vAlign w:val="bottom"/>
          </w:tcPr>
          <w:p>
            <w:pPr>
              <w:spacing w:after="0"/>
              <w:rPr>
                <w:sz w:val="20"/>
                <w:szCs w:val="20"/>
                <w:color w:val="auto"/>
              </w:rPr>
            </w:pPr>
            <w:r>
              <w:rPr>
                <w:rFonts w:ascii="Arial" w:cs="Arial" w:eastAsia="Arial" w:hAnsi="Arial"/>
                <w:sz w:val="18"/>
                <w:szCs w:val="18"/>
                <w:color w:val="auto"/>
              </w:rPr>
              <w:t>3</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Administration</w:t>
            </w:r>
          </w:p>
        </w:tc>
        <w:tc>
          <w:tcPr>
            <w:tcW w:w="360" w:type="dxa"/>
            <w:vAlign w:val="bottom"/>
          </w:tcPr>
          <w:p>
            <w:pPr>
              <w:spacing w:after="0"/>
              <w:rPr>
                <w:sz w:val="20"/>
                <w:szCs w:val="20"/>
                <w:color w:val="auto"/>
              </w:rPr>
            </w:pPr>
            <w:r>
              <w:rPr>
                <w:rFonts w:ascii="Arial" w:cs="Arial" w:eastAsia="Arial" w:hAnsi="Arial"/>
                <w:sz w:val="18"/>
                <w:szCs w:val="18"/>
                <w:color w:val="auto"/>
              </w:rPr>
              <w:t>4</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Summary of Information Applicable to the Plan</w:t>
            </w:r>
          </w:p>
        </w:tc>
        <w:tc>
          <w:tcPr>
            <w:tcW w:w="360" w:type="dxa"/>
            <w:vAlign w:val="bottom"/>
          </w:tcPr>
          <w:p>
            <w:pPr>
              <w:spacing w:after="0"/>
              <w:rPr>
                <w:sz w:val="20"/>
                <w:szCs w:val="20"/>
                <w:color w:val="auto"/>
              </w:rPr>
            </w:pPr>
            <w:r>
              <w:rPr>
                <w:rFonts w:ascii="Arial" w:cs="Arial" w:eastAsia="Arial" w:hAnsi="Arial"/>
                <w:sz w:val="18"/>
                <w:szCs w:val="18"/>
                <w:color w:val="auto"/>
              </w:rPr>
              <w:t>4</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Federal Income Tax Considerations</w:t>
            </w:r>
          </w:p>
        </w:tc>
        <w:tc>
          <w:tcPr>
            <w:tcW w:w="360" w:type="dxa"/>
            <w:vAlign w:val="bottom"/>
          </w:tcPr>
          <w:p>
            <w:pPr>
              <w:spacing w:after="0"/>
              <w:rPr>
                <w:sz w:val="20"/>
                <w:szCs w:val="20"/>
                <w:color w:val="auto"/>
              </w:rPr>
            </w:pPr>
            <w:r>
              <w:rPr>
                <w:rFonts w:ascii="Arial" w:cs="Arial" w:eastAsia="Arial" w:hAnsi="Arial"/>
                <w:sz w:val="18"/>
                <w:szCs w:val="18"/>
                <w:color w:val="auto"/>
              </w:rPr>
              <w:t>12</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Additional Information</w:t>
            </w:r>
          </w:p>
        </w:tc>
        <w:tc>
          <w:tcPr>
            <w:tcW w:w="360" w:type="dxa"/>
            <w:vAlign w:val="bottom"/>
          </w:tcPr>
          <w:p>
            <w:pPr>
              <w:spacing w:after="0"/>
              <w:rPr>
                <w:sz w:val="20"/>
                <w:szCs w:val="20"/>
                <w:color w:val="auto"/>
              </w:rPr>
            </w:pPr>
            <w:r>
              <w:rPr>
                <w:rFonts w:ascii="Arial" w:cs="Arial" w:eastAsia="Arial" w:hAnsi="Arial"/>
                <w:sz w:val="18"/>
                <w:szCs w:val="18"/>
                <w:color w:val="auto"/>
              </w:rPr>
              <w:t>14</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Appendix A.1</w:t>
            </w:r>
          </w:p>
        </w:tc>
        <w:tc>
          <w:tcPr>
            <w:tcW w:w="360" w:type="dxa"/>
            <w:vAlign w:val="bottom"/>
          </w:tcPr>
          <w:p>
            <w:pPr>
              <w:spacing w:after="0"/>
              <w:rPr>
                <w:sz w:val="20"/>
                <w:szCs w:val="20"/>
                <w:color w:val="auto"/>
              </w:rPr>
            </w:pPr>
            <w:r>
              <w:rPr>
                <w:rFonts w:ascii="Arial" w:cs="Arial" w:eastAsia="Arial" w:hAnsi="Arial"/>
                <w:sz w:val="18"/>
                <w:szCs w:val="18"/>
                <w:color w:val="auto"/>
              </w:rPr>
              <w:t>15</w:t>
            </w:r>
          </w:p>
        </w:tc>
      </w:tr>
      <w:tr>
        <w:trPr>
          <w:trHeight w:val="270"/>
        </w:trPr>
        <w:tc>
          <w:tcPr>
            <w:tcW w:w="9400" w:type="dxa"/>
            <w:vAlign w:val="bottom"/>
          </w:tcPr>
          <w:p>
            <w:pPr>
              <w:ind w:left="40"/>
              <w:spacing w:after="0"/>
              <w:rPr>
                <w:sz w:val="20"/>
                <w:szCs w:val="20"/>
                <w:color w:val="auto"/>
              </w:rPr>
            </w:pPr>
            <w:r>
              <w:rPr>
                <w:rFonts w:ascii="Arial" w:cs="Arial" w:eastAsia="Arial" w:hAnsi="Arial"/>
                <w:sz w:val="18"/>
                <w:szCs w:val="18"/>
                <w:color w:val="auto"/>
              </w:rPr>
              <w:t>Appendix A.2</w:t>
            </w:r>
          </w:p>
        </w:tc>
        <w:tc>
          <w:tcPr>
            <w:tcW w:w="360" w:type="dxa"/>
            <w:vAlign w:val="bottom"/>
          </w:tcPr>
          <w:p>
            <w:pPr>
              <w:spacing w:after="0"/>
              <w:rPr>
                <w:sz w:val="20"/>
                <w:szCs w:val="20"/>
                <w:color w:val="auto"/>
              </w:rPr>
            </w:pPr>
            <w:r>
              <w:rPr>
                <w:rFonts w:ascii="Arial" w:cs="Arial" w:eastAsia="Arial" w:hAnsi="Arial"/>
                <w:sz w:val="18"/>
                <w:szCs w:val="18"/>
                <w:color w:val="auto"/>
              </w:rPr>
              <w:t>26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describes the General Motors Company 2009 Long-Term Incentive Plan (“LTIP”) and the General Motors Company Salary Stock Plan (“SSP” and together with the LTIP, the “Plans” and each a “Plan”).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References in this Prospectus to “Common Stock” are to General Motors' Common Stock, Par Value $0.01.</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about the Plans or GM, you should rely only on the information contained in this Prospectus or incorporated by reference. We have not authorized anyone to provide you with different or additional information. You should not assume that the information in this Prospectus is accurate as of any date other than the date on the front of this Prospectus.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this is a summary, it may not contain all the information that may be important to you. You should review the entire Prospectus carefully, including the complete text of the Plans which is contained in Appendix A hereto and is also available on GM's intranet website Socrates at ExecuNet.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Incorporation of Certain Documents by Reference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Securities and Exchange Commission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made with the SEC by us under Sections 13(a), 13(c), 14 or 15(d) of the Securities Exchange Act of 1934, as amended (“Exchange Act”) (other than filings or portions of filings that are furnished under applicable SEC rules rather than filed) until we sell all of the securities: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680" w:type="dxa"/>
            <w:vAlign w:val="bottom"/>
          </w:tcPr>
          <w:p>
            <w:pPr>
              <w:spacing w:after="0"/>
              <w:rPr>
                <w:sz w:val="20"/>
                <w:szCs w:val="20"/>
                <w:color w:val="auto"/>
              </w:rPr>
            </w:pPr>
            <w:r>
              <w:rPr>
                <w:rFonts w:ascii="Arial" w:cs="Arial" w:eastAsia="Arial" w:hAnsi="Arial"/>
                <w:sz w:val="18"/>
                <w:szCs w:val="18"/>
                <w:b w:val="1"/>
                <w:bCs w:val="1"/>
                <w:color w:val="auto"/>
                <w:w w:val="92"/>
              </w:rPr>
              <w:t>GM SEC Filings (File No. 1-34960)</w:t>
            </w:r>
          </w:p>
        </w:tc>
        <w:tc>
          <w:tcPr>
            <w:tcW w:w="280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r>
      <w:tr>
        <w:trPr>
          <w:trHeight w:val="20"/>
        </w:trPr>
        <w:tc>
          <w:tcPr>
            <w:tcW w:w="26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91"/>
        </w:trPr>
        <w:tc>
          <w:tcPr>
            <w:tcW w:w="2680" w:type="dxa"/>
            <w:vAlign w:val="bottom"/>
          </w:tcPr>
          <w:p>
            <w:pPr>
              <w:spacing w:after="0"/>
              <w:rPr>
                <w:sz w:val="20"/>
                <w:szCs w:val="20"/>
                <w:color w:val="auto"/>
              </w:rPr>
            </w:pPr>
            <w:r>
              <w:rPr>
                <w:rFonts w:ascii="Arial" w:cs="Arial" w:eastAsia="Arial" w:hAnsi="Arial"/>
                <w:sz w:val="18"/>
                <w:szCs w:val="18"/>
                <w:color w:val="auto"/>
              </w:rPr>
              <w:t>Annual Report on Form 10-K</w:t>
            </w:r>
          </w:p>
        </w:tc>
        <w:tc>
          <w:tcPr>
            <w:tcW w:w="280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98"/>
              </w:rPr>
              <w:t>Year ended December 31, 2012 (filed with the SEC on February 15, 2013)</w:t>
            </w:r>
          </w:p>
        </w:tc>
      </w:tr>
      <w:tr>
        <w:trPr>
          <w:trHeight w:val="256"/>
        </w:trPr>
        <w:tc>
          <w:tcPr>
            <w:tcW w:w="5480" w:type="dxa"/>
            <w:vAlign w:val="bottom"/>
            <w:gridSpan w:val="2"/>
          </w:tcPr>
          <w:p>
            <w:pPr>
              <w:spacing w:after="0"/>
              <w:rPr>
                <w:sz w:val="20"/>
                <w:szCs w:val="20"/>
                <w:color w:val="auto"/>
              </w:rPr>
            </w:pPr>
            <w:r>
              <w:rPr>
                <w:rFonts w:ascii="Arial" w:cs="Arial" w:eastAsia="Arial" w:hAnsi="Arial"/>
                <w:sz w:val="18"/>
                <w:szCs w:val="18"/>
                <w:color w:val="auto"/>
              </w:rPr>
              <w:t>Quarterly Reports on Form 10-Q</w:t>
            </w:r>
          </w:p>
        </w:tc>
        <w:tc>
          <w:tcPr>
            <w:tcW w:w="5860" w:type="dxa"/>
            <w:vAlign w:val="bottom"/>
            <w:gridSpan w:val="2"/>
          </w:tcPr>
          <w:p>
            <w:pPr>
              <w:spacing w:after="0"/>
              <w:rPr>
                <w:sz w:val="20"/>
                <w:szCs w:val="20"/>
                <w:color w:val="auto"/>
              </w:rPr>
            </w:pPr>
            <w:r>
              <w:rPr>
                <w:rFonts w:ascii="Arial" w:cs="Arial" w:eastAsia="Arial" w:hAnsi="Arial"/>
                <w:sz w:val="18"/>
                <w:szCs w:val="18"/>
                <w:color w:val="auto"/>
                <w:w w:val="90"/>
              </w:rPr>
              <w:t>Quarter ended March 31, 2013 (filed with the SEC on May 2, 2013) (as amended</w:t>
            </w:r>
          </w:p>
        </w:tc>
      </w:tr>
      <w:tr>
        <w:trPr>
          <w:trHeight w:val="216"/>
        </w:trPr>
        <w:tc>
          <w:tcPr>
            <w:tcW w:w="2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97"/>
              </w:rPr>
              <w:t>by Amendment No. 1 to such Quarterly Report on Form 10-Q (filed with the</w:t>
            </w:r>
          </w:p>
        </w:tc>
      </w:tr>
      <w:tr>
        <w:trPr>
          <w:trHeight w:val="230"/>
        </w:trPr>
        <w:tc>
          <w:tcPr>
            <w:tcW w:w="2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SEC on May 9, 2013))</w:t>
            </w:r>
          </w:p>
        </w:tc>
      </w:tr>
    </w:tbl>
    <w:p>
      <w:pPr>
        <w:spacing w:after="0" w:line="40"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0"/>
        <w:spacing w:after="0"/>
        <w:rPr>
          <w:sz w:val="20"/>
          <w:szCs w:val="20"/>
          <w:color w:val="auto"/>
        </w:rPr>
      </w:pPr>
      <w:r>
        <w:rPr>
          <w:rFonts w:ascii="Arial" w:cs="Arial" w:eastAsia="Arial" w:hAnsi="Arial"/>
          <w:sz w:val="18"/>
          <w:szCs w:val="18"/>
          <w:color w:val="auto"/>
        </w:rPr>
        <w:t>Current Reports on Form 8-K</w:t>
      </w:r>
    </w:p>
    <w:p>
      <w:pPr>
        <w:spacing w:after="0" w:line="200" w:lineRule="exact"/>
        <w:rPr>
          <w:sz w:val="20"/>
          <w:szCs w:val="20"/>
          <w:color w:val="auto"/>
        </w:rPr>
      </w:pPr>
    </w:p>
    <w:p>
      <w:pPr>
        <w:spacing w:after="0" w:line="29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Dates filed: January 4, 2013, February 1, 2013, February 6, 2013, February 15, 2013, March 4, 2013, April 3, 2013, May 3, 2013, June 5, 2013 and June 11, 2013 (2)</w:t>
      </w:r>
    </w:p>
    <w:p>
      <w:pPr>
        <w:spacing w:after="0" w:line="694" w:lineRule="exact"/>
        <w:rPr>
          <w:sz w:val="20"/>
          <w:szCs w:val="20"/>
          <w:color w:val="auto"/>
        </w:rPr>
      </w:pPr>
    </w:p>
    <w:p>
      <w:pPr>
        <w:sectPr>
          <w:pgSz w:w="11900" w:h="16838" w:orient="portrait"/>
          <w:cols w:equalWidth="0" w:num="2">
            <w:col w:w="5420" w:space="100"/>
            <w:col w:w="5900"/>
          </w:cols>
          <w:pgMar w:left="240" w:top="580" w:right="239" w:bottom="144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(313) 556-5000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You may also find additional information about us, including the documents mentioned above, on our website at </w:t>
      </w:r>
      <w:r>
        <w:rPr>
          <w:rFonts w:ascii="Arial" w:cs="Arial" w:eastAsia="Arial" w:hAnsi="Arial"/>
          <w:sz w:val="18"/>
          <w:szCs w:val="18"/>
          <w:u w:val="single" w:color="auto"/>
          <w:color w:val="0000FF"/>
        </w:rPr>
        <w:t>http://www.gm.com</w:t>
      </w:r>
      <w:r>
        <w:rPr>
          <w:rFonts w:ascii="Arial" w:cs="Arial" w:eastAsia="Arial" w:hAnsi="Arial"/>
          <w:sz w:val="18"/>
          <w:szCs w:val="18"/>
          <w:color w:val="auto"/>
        </w:rPr>
        <w:t>. Our website and the information included in, or linked to on, our website are not part of this prospectus. We have included our website address in this prospectus solely as a textual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Information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of Directors of General Motors approved the LTIP on November 2, 2009 and the SSP on October 5, 2009, as amended from time to time by the ECC.</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LTIP is to provide incentives to eligible Employees for the creation of stockholder value through awards of Options, Restricted Stock Units and other Awards.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SSP is to compensate participating Employees in a manner that is within the compensation constraints and rules promulgated by the US Department of Treasury.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GM believes that these incentives will stimulate the efforts of Employees toward the long-term success of the Company and its subsidiaries, as well as the recruitment of new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Plans are not subject to any provisions of the Employee Retirement Income Security Act of 1974, as amended.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CAPITALIZED TERMS USED IN THIS PROSPECTUS AND NOT DEFINED HEREIN SHALL HAVE THE DEFINITIONS SET FORTH IN SECTION 11 OF THE LTIP CONTAINTED IN APPENDIX A.1 HERETO OR IN SECTION 9 OF THE SSP CONTAINED IN APPENDIX A.2 HERETO, AS APPLICABLE.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Plans are administered by the Executive Compensation Committee (the “Committee”). The Committee is comprised of no fewer than three (3) independent members of the Board of Directors of the Company. Board members are selected based upon criteria described in the Company's Definitive Proxy Statement filed on April 25, 2013. The Committee's composition shall satisfy the listing rules of the NYSE relating to executive compensation committee membership and such other requirements as provided in the Company's bylaws or as the Board shall otherwise determine. The members of the Committee and the Committee chair shall be appointed and may be replaced upon the recommendation of the Board and the corporate governance committee of the Board.</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LTIP, the Committee has full discretionary power and authority, subject to such orders or resolutions not inconsistent with the provisions of the LTIP as may from time to time be adopted by the Board, to (i) select the Employees of the Company and its Subsidiaries to whom Awards may be granted under the Plan; (ii) determine the number of Shares to be covered by each Award granted under the Plan; (iii) determine whether, to what extent and under what circumstances Awards may be settled in cash, Shares or other property, or canceled, and (iv) interpret and administer the LTIP and any Award Agreement, and establish such rules and regulations and appoint such agents as it shall deem appropriate for the proper administration of the LTIP. The Committee may delegate to an appropriate Executive Officer of the Company responsibility for determining, within the limits established by the Committee, individual Awards for Employees who are not Committee members or Executive Officers of the Company.</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SSP, the Committee has full discretionary power and authority, subject to such orders or resolutions not inconsistent with the provisions of the SSP as may from time to time be adopted by the Board, to (i) select the Employees to whom Awards may be granted under the Plan; (ii) determine the amount of base salary and other compensation to be delivered in the form of an Award under the Plan; (iii) determine whether, to what extent and under what circumstances Awards may be settled in cash, Shares or other property, and (iv) interpret and administer the SSP, and establish such rules and regulations and appoint such agents as it shall deem appropriate for the proper administration of the SSP. The Committee may delegate to an appropriate Executive Officer of the Company responsibility for determining, within the limits established by the Committee, individual Awards for Employees who are not Committee members or Executive Officers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request additional information about the Plans and their administrators, you may write or telephone the person indicated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Executive Compensation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482-C32-C66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(313) 665-3021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 Subject To the Plans</w:t>
      </w:r>
    </w:p>
    <w:p>
      <w:pPr>
        <w:spacing w:after="0" w:line="337"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LTIP</w:t>
      </w:r>
    </w:p>
    <w:p>
      <w:pPr>
        <w:spacing w:after="0" w:line="23" w:lineRule="exact"/>
        <w:rPr>
          <w:rFonts w:ascii="Arial" w:cs="Arial" w:eastAsia="Arial" w:hAnsi="Arial"/>
          <w:sz w:val="18"/>
          <w:szCs w:val="18"/>
          <w:color w:val="auto"/>
        </w:rPr>
      </w:pPr>
    </w:p>
    <w:p>
      <w:pPr>
        <w:jc w:val="both"/>
        <w:ind w:left="1620" w:hanging="315"/>
        <w:spacing w:after="0" w:line="268" w:lineRule="auto"/>
        <w:tabs>
          <w:tab w:leader="none" w:pos="16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Subject to the provisions of clause (f) below, the aggregate number of Shares with respect to which Awards may be granted under the LTIP may not exceed 75,000,000 Shares. Shares subject to awards granted under the General Motors Company Salary Stock Plan and the General Motors Company Short-Term Incentive Plan shall reduce the number of Shares with respect to which Awards may be granted under the LTIP. Each share subject to a Stock Option or Stock Appreciation Right will reduce the number of shares available for issuance under the LTIP by one share, and each share subject to a Restricted Stock Unit or Stock Award will reduce the number of shares available for issuance by two and one-half shares. Subject to the provisions of clause (f) below, for awards that are intended to constitute qualified performance based compensation under 162m, grants of Options or Stock Appreciation Rights in any calendar year may not cover more than 1,000,000 shares and grants of RSUs or Stock Awards in any calendar year may not cover more than 250,000 shares.</w:t>
      </w:r>
    </w:p>
    <w:p>
      <w:pPr>
        <w:spacing w:after="0" w:line="182" w:lineRule="exact"/>
        <w:rPr>
          <w:rFonts w:ascii="Arial" w:cs="Arial" w:eastAsia="Arial" w:hAnsi="Arial"/>
          <w:sz w:val="17"/>
          <w:szCs w:val="17"/>
          <w:color w:val="auto"/>
        </w:rPr>
      </w:pPr>
    </w:p>
    <w:p>
      <w:pPr>
        <w:jc w:val="both"/>
        <w:ind w:left="1620" w:hanging="315"/>
        <w:spacing w:after="0" w:line="259"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Awards granted under the LTIP that are settled in cash will not count against the approved share reserve. Awards, other than Substitute Awards, that are forfeited or otherwise terminate without the issuance of Shares will no longer be charged against the maximum share limitation and will again be available for future grants. These Shares will return to the available share pool at the same ratio at which they were granted.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89" w:name="page90"/>
    <w:bookmarkEnd w:id="89"/>
    <w:p>
      <w:pPr>
        <w:ind w:left="1620" w:hanging="315"/>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withheld by or delivered to the Company to satisfy the exercise or conversion price of an Award or in payment of taxes will not again be available for future grants.</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Substitute Awards will not reduce the number of Shares authorized for grant under the Plan.</w:t>
      </w:r>
    </w:p>
    <w:p>
      <w:pPr>
        <w:spacing w:after="0" w:line="225"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Shares delivered in settlement of Awards under the Plan may consist, in whole or in part, of authorized and unissued Shares, treasury Shares or Shares purchased in the open market or otherwise.</w:t>
      </w:r>
    </w:p>
    <w:p>
      <w:pPr>
        <w:spacing w:after="0" w:line="170" w:lineRule="exact"/>
        <w:rPr>
          <w:rFonts w:ascii="Arial" w:cs="Arial" w:eastAsia="Arial" w:hAnsi="Arial"/>
          <w:sz w:val="18"/>
          <w:szCs w:val="18"/>
          <w:color w:val="auto"/>
        </w:rPr>
      </w:pPr>
    </w:p>
    <w:p>
      <w:pPr>
        <w:jc w:val="both"/>
        <w:ind w:left="1620" w:hanging="315"/>
        <w:spacing w:after="0" w:line="268"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the LTIP and the number of Shares subject to Awards granted under the LTIP (provided the number of Shares subject to any Award shall always be a whole number), as may be determined to be appropriate by the Committee in order to prevent unintended enhancement or diminution of the benefits or potential benefits intended to be conferred on Participants pursuant to Awards granted under the Plan.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SSP</w:t>
      </w:r>
    </w:p>
    <w:p>
      <w:pPr>
        <w:spacing w:after="0" w:line="9" w:lineRule="exact"/>
        <w:rPr>
          <w:sz w:val="20"/>
          <w:szCs w:val="20"/>
          <w:color w:val="auto"/>
        </w:rPr>
      </w:pPr>
    </w:p>
    <w:p>
      <w:pPr>
        <w:jc w:val="both"/>
        <w:ind w:left="1620" w:hanging="315"/>
        <w:spacing w:after="0" w:line="302" w:lineRule="auto"/>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Subject to the provisions of clause 2(c) below, the aggregate number of Shares with respect to which Awards may be granted under the SSP may not exceed 75,000,000 Shares minus the number of Shares granted under the Short Term Incentive Plan and the Long-Term Incentive Plan. Awards granted under the SSP that are settled in cash will not count against the approved Share reserve.</w:t>
      </w:r>
    </w:p>
    <w:p>
      <w:pPr>
        <w:spacing w:after="0" w:line="155" w:lineRule="exact"/>
        <w:rPr>
          <w:rFonts w:ascii="Arial" w:cs="Arial" w:eastAsia="Arial" w:hAnsi="Arial"/>
          <w:sz w:val="16"/>
          <w:szCs w:val="16"/>
          <w:color w:val="auto"/>
        </w:rPr>
      </w:pPr>
    </w:p>
    <w:p>
      <w:pPr>
        <w:ind w:left="1620" w:hanging="315"/>
        <w:spacing w:after="0" w:line="27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Shares delivered in settlement of Awards under the Plan may consist, in whole or in part, of authorized and unissued Shares, treasury Shares or Shares purchased in the open market or otherwise.</w:t>
      </w:r>
    </w:p>
    <w:p>
      <w:pPr>
        <w:spacing w:after="0" w:line="170" w:lineRule="exact"/>
        <w:rPr>
          <w:rFonts w:ascii="Arial" w:cs="Arial" w:eastAsia="Arial" w:hAnsi="Arial"/>
          <w:sz w:val="18"/>
          <w:szCs w:val="18"/>
          <w:color w:val="auto"/>
        </w:rPr>
      </w:pPr>
    </w:p>
    <w:p>
      <w:pPr>
        <w:jc w:val="both"/>
        <w:ind w:left="1620" w:hanging="315"/>
        <w:spacing w:after="0" w:line="273"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the SSP and the number of Shares subject to Awards granted under the SSP (provided the number of Shares subject to any Award shall always be a whole number), as may be determined to be appropriate by the Committee in order to prevent unintended enhancement or diminution of the benefits or potential benefits intended to be conferred on Participants pursuant to Awards granted under the Plan.</w:t>
      </w:r>
    </w:p>
    <w:p>
      <w:pPr>
        <w:spacing w:after="0" w:line="178" w:lineRule="exact"/>
        <w:rPr>
          <w:rFonts w:ascii="Arial" w:cs="Arial" w:eastAsia="Arial" w:hAnsi="Arial"/>
          <w:sz w:val="17"/>
          <w:szCs w:val="17"/>
          <w:color w:val="auto"/>
        </w:rPr>
      </w:pPr>
    </w:p>
    <w:p>
      <w:pPr>
        <w:ind w:left="1620" w:hanging="315"/>
        <w:spacing w:after="0" w:line="27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avoidance of doubt, Shares which are tendered or withheld to pay tax withholding obligations arising from the grant, or settlement of an Award will not again become available for grant under the terms of the SSP.</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Eligibility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Employee is eligible to be selected as a Participant in the LTIP or the SSP, as applicable.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LTIP</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condition precedent to the vesting and settlement of any portion of an LTIP Award, Participants shall: (i) continue to render services as an Employee (unless this condition is waived by the Committee), (ii) refrain from engaging in any activity which, in the opinion of the Chief Executive Officer or Vice President, Global Human Resources, is in any manner inimical or in any way contrary to the best interests of the Company, (For purposes of this provision, the determination of whether an action will cause damage to the Company, or is inimical or in any way contrary to the best interest of the Company shall be made in the sole discretion of the Chief Executive Officer or Vice President, Global Human Resources of the Company.), (iii) not for a period of 12 months following any voluntary termination of employment, directly or indirectly, knowingly induce any Employee or employee of an affiliate of the Company to leave their employment for participation, directly or indirectly, with any existing or future business venture associated with such individual, and (iv) furnish to the Company such information with respect to the satisfaction of the foregoing conditions precedent as the Committee shall reasonably request. Except as otherwise provided under paragraph 6(d)(i) of the LTIP, the failure by any Participant to satisfy such conditions precedent shall result in the immediate cancellation of the unvested portion of any Award previously made to such Participant and such Participant shall not be entitled to receive any consideration in respect of such cancellation.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(2) SSP</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Notwithstanding any provision of this Plan to the contrary, any RSUs accrued or granted and undelivered hereunder, are subject to forfeiture as may be determined by the Chief Executive Officer or Vice President, Global Human Resources, (i) if the Participant accruing or granted such Award engages or has engaged or indicates an intention to engage in an act (or omission to act) that causes or has the potential to cause tangible or intangible damage or injury to the Company in a non-trivial manner or to a non-trivial degree, or (ii) engages in any activity which is in any manner inimical or in any way contrary to the best interests of the Company, or (iii) as may be directed by the Special Master. For purposes of this provision, the determination of whether an action will cause damage to the Company, or is inimical or in any way contrary to the best interest of the Company shall be made in the sole discretion of the Chief Executive Officer or Vice President, Human Resources of the Company.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All Awards granted under the Plan shall be vested and nonforfeitable upon grant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LTIP</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Options may be granted under the LTIP to any Employee, either alone or in addition to other Awards granted under the LTIP and shall be subject, in addition to the other terms and conditions of the LTIP, to the following terms and conditions: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Option price per Share shall not be less than the Fair Market Value (and in no event less than the par value) of the Shares on the date the Option is granted, except in the case of Substitute Awards.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Determination as to whether the Options granted shall be “Incentive Stock Options” (“ISO's”) (within the meaning of Section 422 of the Code), or Nonqualified Stock Options, and as to any restrictions which shall be placed on Options, shall be made by the Committee under such procedures as it may, from time to time, determine and each Option granted under the Plan shall be identified as either an ISO or a Nonqualified Stock Option at the time of grant.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Terms of Options. Options granted under this Plan shall be subject to the following provisions, except as otherwise determined by the Committee:</w:t>
      </w:r>
    </w:p>
    <w:p>
      <w:pPr>
        <w:spacing w:after="0" w:line="129" w:lineRule="exact"/>
        <w:rPr>
          <w:sz w:val="20"/>
          <w:szCs w:val="20"/>
          <w:color w:val="auto"/>
        </w:rPr>
      </w:pPr>
    </w:p>
    <w:p>
      <w:pPr>
        <w:jc w:val="both"/>
        <w:ind w:left="340" w:hanging="8"/>
        <w:spacing w:after="0" w:line="272" w:lineRule="auto"/>
        <w:tabs>
          <w:tab w:leader="none" w:pos="566" w:val="left"/>
        </w:tabs>
        <w:numPr>
          <w:ilvl w:val="0"/>
          <w:numId w:val="61"/>
        </w:numPr>
        <w:rPr>
          <w:rFonts w:ascii="Arial" w:cs="Arial" w:eastAsia="Arial" w:hAnsi="Arial"/>
          <w:sz w:val="17"/>
          <w:szCs w:val="17"/>
          <w:color w:val="auto"/>
        </w:rPr>
      </w:pPr>
      <w:r>
        <w:rPr>
          <w:rFonts w:ascii="Arial" w:cs="Arial" w:eastAsia="Arial" w:hAnsi="Arial"/>
          <w:sz w:val="17"/>
          <w:szCs w:val="17"/>
          <w:color w:val="auto"/>
        </w:rPr>
        <w:t>Vesting and Exercise. Except in the case of death or except as set forth in Section 7(c)(iii)(B) of the Plan or as set forth in the event of a Change in Control, no Option shall vest or become exercisable prior to the first anniversary date of the date of the “Grant Date” (or such other date as may be established by the Committee or its delegate(s)); and after such date Options or SARs shall be exercisable only in accordance with the terms and conditions established at the time of grant and reflected in the Award Agreement. Unless otherwise specified in the Award Agreement, beginning on the first anniversary of the Grant Date, Options will vest and become exercisable in one-third increments. Subject to paragraph 7(c)(iii) of the LTIP, each increment will first vest and become exercisable on the first, second and third anniversaries of the Grant Date, respectively. Upon becoming exercisable, the Option will remain exercisable until expiration, except as set for in Section 7(c)(iii) of the LTIP.</w:t>
      </w:r>
    </w:p>
    <w:p>
      <w:pPr>
        <w:spacing w:after="0" w:line="69" w:lineRule="exact"/>
        <w:rPr>
          <w:rFonts w:ascii="Arial" w:cs="Arial" w:eastAsia="Arial" w:hAnsi="Arial"/>
          <w:sz w:val="17"/>
          <w:szCs w:val="17"/>
          <w:color w:val="auto"/>
        </w:rPr>
      </w:pPr>
    </w:p>
    <w:p>
      <w:pPr>
        <w:ind w:left="340" w:hanging="8"/>
        <w:spacing w:after="0" w:line="277" w:lineRule="auto"/>
        <w:tabs>
          <w:tab w:leader="none" w:pos="6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Term of Options or SARs. The normal expiration date of an Option or SAR shall be determined at the time of grant, provided that each Option shall expire not more than ten years after the Grant Date.</w:t>
      </w:r>
    </w:p>
    <w:p>
      <w:pPr>
        <w:spacing w:after="0" w:line="62" w:lineRule="exact"/>
        <w:rPr>
          <w:rFonts w:ascii="Arial" w:cs="Arial" w:eastAsia="Arial" w:hAnsi="Arial"/>
          <w:sz w:val="18"/>
          <w:szCs w:val="18"/>
          <w:color w:val="auto"/>
        </w:rPr>
      </w:pPr>
    </w:p>
    <w:p>
      <w:pPr>
        <w:ind w:left="340" w:right="20" w:hanging="8"/>
        <w:spacing w:after="0" w:line="308"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Termination of Employment. Except as set forth in this subsection, upon the termination of a Participant's employment, any Award (or portion thereof) held by such Participant that has not vested in accordance with Section 7(c)(i) of the LTIP at the time of such termination shall be forfeited</w:t>
      </w:r>
    </w:p>
    <w:p>
      <w:pPr>
        <w:spacing w:after="0" w:line="38" w:lineRule="exact"/>
        <w:rPr>
          <w:rFonts w:ascii="Arial" w:cs="Arial" w:eastAsia="Arial" w:hAnsi="Arial"/>
          <w:sz w:val="17"/>
          <w:szCs w:val="17"/>
          <w:color w:val="auto"/>
        </w:rPr>
      </w:pPr>
    </w:p>
    <w:p>
      <w:pPr>
        <w:jc w:val="both"/>
        <w:ind w:left="660" w:hanging="4"/>
        <w:spacing w:after="0" w:line="264" w:lineRule="auto"/>
        <w:tabs>
          <w:tab w:leader="none" w:pos="9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the Employee quits employment with the Company or is terminated by the Company for inadequate job performance, or for willful misconduct harmful to the Company, all unvested and vested Options held by such Participant shall be forfeited as of the date of such termination, or if earlier, as of the date that such grounds for termination by the Company first exist.</w:t>
      </w:r>
    </w:p>
    <w:p>
      <w:pPr>
        <w:spacing w:after="0" w:line="73" w:lineRule="exact"/>
        <w:rPr>
          <w:rFonts w:ascii="Arial" w:cs="Arial" w:eastAsia="Arial" w:hAnsi="Arial"/>
          <w:sz w:val="18"/>
          <w:szCs w:val="18"/>
          <w:color w:val="auto"/>
        </w:rPr>
      </w:pPr>
    </w:p>
    <w:p>
      <w:pPr>
        <w:jc w:val="both"/>
        <w:ind w:left="660" w:hanging="4"/>
        <w:spacing w:after="0" w:line="255" w:lineRule="auto"/>
        <w:tabs>
          <w:tab w:leader="none" w:pos="9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the Employee retires from the Company at age 55 or older with ten or more years of credited service (or for a Participant who is a tax resident of a location outside the United States at equivalent normal retirement age in such country) or age 62 or older in the United States, subject to the other terms and conditions of the Plan, all Options will vest immediately, and will be exercisable until the expiration date of such Option. Notwithstanding this provision, the Committee may from time to time determine in its discretion that holders of Options retiring from the Company during specified time periods under specified circumstances may vest in and retain some portion of their Options granted in the year the retirement occurs.</w:t>
      </w:r>
    </w:p>
    <w:p>
      <w:pPr>
        <w:spacing w:after="0" w:line="85" w:lineRule="exact"/>
        <w:rPr>
          <w:rFonts w:ascii="Arial" w:cs="Arial" w:eastAsia="Arial" w:hAnsi="Arial"/>
          <w:sz w:val="18"/>
          <w:szCs w:val="18"/>
          <w:color w:val="auto"/>
        </w:rPr>
      </w:pPr>
    </w:p>
    <w:p>
      <w:pPr>
        <w:ind w:left="940" w:hanging="284"/>
        <w:spacing w:after="0"/>
        <w:tabs>
          <w:tab w:leader="none" w:pos="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employment is terminated by reason of death, all Options shall immediately vest and remain exercisable until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third anniversary of the date of death or, if earlier, the expiration date of such Option.</w:t>
      </w:r>
    </w:p>
    <w:p>
      <w:pPr>
        <w:spacing w:after="0" w:line="117" w:lineRule="exact"/>
        <w:rPr>
          <w:sz w:val="20"/>
          <w:szCs w:val="20"/>
          <w:color w:val="auto"/>
        </w:rPr>
      </w:pPr>
    </w:p>
    <w:p>
      <w:pPr>
        <w:jc w:val="both"/>
        <w:ind w:left="660" w:hanging="4"/>
        <w:spacing w:after="0" w:line="264" w:lineRule="auto"/>
        <w:tabs>
          <w:tab w:leader="none" w:pos="9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an employee becomes disabled, Options will continue to vest and become exercisable in accordance with the original terms of the grant while the Employee remains on the disability leave and, subject to the other terms and conditions of the Plan, vested Options will remain exercisable for the full remaining term.</w:t>
      </w:r>
    </w:p>
    <w:p>
      <w:pPr>
        <w:spacing w:after="0" w:line="73" w:lineRule="exact"/>
        <w:rPr>
          <w:rFonts w:ascii="Arial" w:cs="Arial" w:eastAsia="Arial" w:hAnsi="Arial"/>
          <w:sz w:val="18"/>
          <w:szCs w:val="18"/>
          <w:color w:val="auto"/>
        </w:rPr>
      </w:pPr>
    </w:p>
    <w:p>
      <w:pPr>
        <w:jc w:val="both"/>
        <w:ind w:left="660" w:hanging="4"/>
        <w:spacing w:after="0" w:line="259" w:lineRule="auto"/>
        <w:tabs>
          <w:tab w:leader="none" w:pos="967"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employment terminates for any reason other than as set forth above (including, for the avoidance of doubt, retirement not meeting the conditions set forth in Section 7(c)(iii)(B) or other voluntary termination with the consent of the Company), subject to the other terms and conditions of the Plan, all vested Options will remain exercisable until the third anniversary of the date of termination of employment or, if earlier, the expiration date of such Option.</w:t>
      </w:r>
    </w:p>
    <w:p>
      <w:pPr>
        <w:spacing w:after="0" w:line="78" w:lineRule="exact"/>
        <w:rPr>
          <w:rFonts w:ascii="Arial" w:cs="Arial" w:eastAsia="Arial" w:hAnsi="Arial"/>
          <w:sz w:val="18"/>
          <w:szCs w:val="18"/>
          <w:color w:val="auto"/>
        </w:rPr>
      </w:pPr>
    </w:p>
    <w:p>
      <w:pPr>
        <w:ind w:left="660" w:hanging="4"/>
        <w:spacing w:after="0" w:line="277" w:lineRule="auto"/>
        <w:tabs>
          <w:tab w:leader="none" w:pos="934"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employment terminates for any reason (other than death) prior to the first anniversary of the date an Option is granted, except as provided in Section 7(c)(iii)(B) of the LTIP, the Option shall be forfeited and terminate on the date of termination of employment.</w:t>
      </w:r>
    </w:p>
    <w:p>
      <w:pPr>
        <w:spacing w:after="0" w:line="62" w:lineRule="exact"/>
        <w:rPr>
          <w:rFonts w:ascii="Arial" w:cs="Arial" w:eastAsia="Arial" w:hAnsi="Arial"/>
          <w:sz w:val="18"/>
          <w:szCs w:val="18"/>
          <w:color w:val="auto"/>
        </w:rPr>
      </w:pPr>
    </w:p>
    <w:p>
      <w:pPr>
        <w:ind w:left="340" w:hanging="8"/>
        <w:spacing w:after="0" w:line="308" w:lineRule="auto"/>
        <w:tabs>
          <w:tab w:leader="none" w:pos="654" w:val="left"/>
        </w:tabs>
        <w:numPr>
          <w:ilvl w:val="0"/>
          <w:numId w:val="63"/>
        </w:numPr>
        <w:rPr>
          <w:rFonts w:ascii="Arial" w:cs="Arial" w:eastAsia="Arial" w:hAnsi="Arial"/>
          <w:sz w:val="17"/>
          <w:szCs w:val="17"/>
          <w:color w:val="auto"/>
        </w:rPr>
      </w:pPr>
      <w:r>
        <w:rPr>
          <w:rFonts w:ascii="Arial" w:cs="Arial" w:eastAsia="Arial" w:hAnsi="Arial"/>
          <w:sz w:val="17"/>
          <w:szCs w:val="17"/>
          <w:color w:val="auto"/>
        </w:rPr>
        <w:t>Leave of Absence. Notwithstanding Section 7(c)(iii) of the LTIP, a qualifying leave of absence shall not constitute a termination of employment. A Participant's absence or leave shall be deemed to be a qualifying leave of absence if approved by the Committee in its sole discretion.</w:t>
      </w:r>
    </w:p>
    <w:p>
      <w:pPr>
        <w:spacing w:after="0" w:line="38" w:lineRule="exact"/>
        <w:rPr>
          <w:rFonts w:ascii="Arial" w:cs="Arial" w:eastAsia="Arial" w:hAnsi="Arial"/>
          <w:sz w:val="17"/>
          <w:szCs w:val="17"/>
          <w:color w:val="auto"/>
        </w:rPr>
      </w:pPr>
    </w:p>
    <w:p>
      <w:pPr>
        <w:jc w:val="both"/>
        <w:ind w:left="340" w:hanging="8"/>
        <w:spacing w:after="0" w:line="257" w:lineRule="auto"/>
        <w:tabs>
          <w:tab w:leader="none" w:pos="6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 of Exercise Price. All Shares purchased upon exercise of any Option shall be paid for in full at the time of purchase or adequate provision for such payment shall be made. Such payment shall be made (A) in cash, (B) through delivery or constructive delivery of Shares (provided that such Shares may be subject to such holding period or other requirement as the Committee may impose, (C) a combination of cash and stock or (D) through a broker-assisted cashless exercise facility if established by the Company. Any Shares delivered as a result of an Option exercise shall be valued at their Fair Market Value on the exercise date of the Option.</w:t>
      </w: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SSP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29" w:lineRule="exact"/>
        <w:rPr>
          <w:sz w:val="20"/>
          <w:szCs w:val="20"/>
          <w:color w:val="auto"/>
        </w:rPr>
      </w:pPr>
    </w:p>
    <w:p>
      <w:pPr>
        <w:ind w:left="920" w:hanging="264"/>
        <w:spacing w:after="0"/>
        <w:tabs>
          <w:tab w:leader="none" w:pos="9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LTIP</w:t>
      </w:r>
    </w:p>
    <w:p>
      <w:pPr>
        <w:spacing w:after="0" w:line="225" w:lineRule="exact"/>
        <w:rPr>
          <w:rFonts w:ascii="Arial" w:cs="Arial" w:eastAsia="Arial" w:hAnsi="Arial"/>
          <w:sz w:val="18"/>
          <w:szCs w:val="18"/>
          <w:color w:val="auto"/>
        </w:rPr>
      </w:pPr>
    </w:p>
    <w:p>
      <w:pPr>
        <w:jc w:val="both"/>
        <w:ind w:firstLine="8"/>
        <w:spacing w:after="0" w:line="254" w:lineRule="auto"/>
        <w:tabs>
          <w:tab w:leader="none" w:pos="407"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Grant and Performance Conditions. </w:t>
      </w:r>
      <w:r>
        <w:rPr>
          <w:rFonts w:ascii="Arial" w:cs="Arial" w:eastAsia="Arial" w:hAnsi="Arial"/>
          <w:sz w:val="18"/>
          <w:szCs w:val="18"/>
          <w:color w:val="auto"/>
        </w:rPr>
        <w:t>The Committee may grant Restricted Stock Unit Awards or Stock Awards to Participants, from time to time.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shall be valued by reference to a designated number of Shares. A Stock Award or RSU Award shall be subject to the terms and conditions set forth in this Section 6 of the LTIP and the terms set forth in the applicable Award Agreement. In the case of a discrepancy between the LTIP and the RSU Award Agreement, the terms of the RSU Award Agreement will control.</w:t>
      </w:r>
    </w:p>
    <w:p>
      <w:pPr>
        <w:spacing w:after="0" w:line="2" w:lineRule="exact"/>
        <w:rPr>
          <w:rFonts w:ascii="Arial" w:cs="Arial" w:eastAsia="Arial" w:hAnsi="Arial"/>
          <w:sz w:val="18"/>
          <w:szCs w:val="18"/>
          <w:color w:val="auto"/>
        </w:rPr>
      </w:pPr>
    </w:p>
    <w:p>
      <w:pPr>
        <w:jc w:val="both"/>
        <w:ind w:firstLine="8"/>
        <w:spacing w:after="0" w:line="265" w:lineRule="auto"/>
        <w:tabs>
          <w:tab w:leader="none" w:pos="403"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Nonforfeitability. </w:t>
      </w:r>
      <w:r>
        <w:rPr>
          <w:rFonts w:ascii="Arial" w:cs="Arial" w:eastAsia="Arial" w:hAnsi="Arial"/>
          <w:sz w:val="17"/>
          <w:szCs w:val="17"/>
          <w:color w:val="auto"/>
        </w:rPr>
        <w:t>No portion of a Stock Award or RSU Award shall become nonforfeitable or transferable, as applicable, prior to a date specified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in the Award Agreement except as set forth in Section 6(d) of the LTIP. A Participant must remain continuously employed by the Company or a Subsidiary through the nonforfeitability date specified in the Award Agreement except as set forth in Section 6(d) of the LTIP. Awards shall be conditioned upon the achievement of Performance Conditions, if applicable, as specified in the Award Agreement.</w:t>
      </w:r>
    </w:p>
    <w:p>
      <w:pPr>
        <w:ind w:left="420" w:hanging="412"/>
        <w:spacing w:after="0"/>
        <w:tabs>
          <w:tab w:leader="none" w:pos="42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Payment and Delivery. </w:t>
      </w:r>
      <w:r>
        <w:rPr>
          <w:rFonts w:ascii="Arial" w:cs="Arial" w:eastAsia="Arial" w:hAnsi="Arial"/>
          <w:sz w:val="16"/>
          <w:szCs w:val="16"/>
          <w:color w:val="auto"/>
        </w:rPr>
        <w:t>No RSU Award shall be paid or settled prior to the first applicable Settlement Date, except as provided in Section 6(d)(i) of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LTIP.</w:t>
      </w:r>
    </w:p>
    <w:p>
      <w:pPr>
        <w:spacing w:after="0" w:line="9" w:lineRule="exact"/>
        <w:rPr>
          <w:rFonts w:ascii="Arial" w:cs="Arial" w:eastAsia="Arial" w:hAnsi="Arial"/>
          <w:sz w:val="16"/>
          <w:szCs w:val="16"/>
          <w:color w:val="auto"/>
        </w:rPr>
      </w:pPr>
    </w:p>
    <w:p>
      <w:pPr>
        <w:ind w:right="20" w:firstLine="8"/>
        <w:spacing w:after="0" w:line="281" w:lineRule="auto"/>
        <w:tabs>
          <w:tab w:leader="none" w:pos="41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Except as set forth in this subsection, upon the termination of a Participant's employment, any Award (or portion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such Participant that has not become nonforfeitable in accordance with Section 6(b) of the LTIP at the time of such termination shall be forfeited.</w:t>
      </w:r>
    </w:p>
    <w:p>
      <w:pPr>
        <w:spacing w:after="0" w:line="1" w:lineRule="exact"/>
        <w:rPr>
          <w:sz w:val="20"/>
          <w:szCs w:val="20"/>
          <w:color w:val="auto"/>
        </w:rPr>
      </w:pPr>
    </w:p>
    <w:p>
      <w:pPr>
        <w:jc w:val="both"/>
        <w:ind w:left="660" w:hanging="4"/>
        <w:spacing w:after="0" w:line="250" w:lineRule="auto"/>
        <w:tabs>
          <w:tab w:leader="none" w:pos="10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that the Participant's employment terminates as a result of his or her death, a pro rata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death and the denominator of which is the number of months from the Grant Date to the date on which such Award would have become nonforfeitable in accordance with Section 6(b) of the LTIP. In no event will such fraction exceed 1.0. The retained portion of any RSU Award will be settled in the form provided in Section 6(e) of the LTIP and the Settlement Date for such Awards will occur as soon as practicable after the date of death.</w:t>
      </w:r>
    </w:p>
    <w:p>
      <w:pPr>
        <w:spacing w:after="0" w:line="3" w:lineRule="exact"/>
        <w:rPr>
          <w:rFonts w:ascii="Arial" w:cs="Arial" w:eastAsia="Arial" w:hAnsi="Arial"/>
          <w:sz w:val="18"/>
          <w:szCs w:val="18"/>
          <w:color w:val="auto"/>
        </w:rPr>
      </w:pPr>
    </w:p>
    <w:p>
      <w:pPr>
        <w:jc w:val="both"/>
        <w:ind w:left="660" w:hanging="4"/>
        <w:spacing w:after="0" w:line="255" w:lineRule="auto"/>
        <w:tabs>
          <w:tab w:leader="none" w:pos="10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of the Participant's Disability, all Awards (or portions thereof) held by such Participant will be retained and any RSU awards will be subject to the payment and delivery provisions set forth in Section 6(c) of the LTIP. The retained RSU Award (or portion thereof) will be settled in the form provided in Section 6(e) of the LTIP.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92" w:name="page93"/>
    <w:bookmarkEnd w:id="92"/>
    <w:p>
      <w:pPr>
        <w:jc w:val="both"/>
        <w:ind w:left="660" w:hanging="4"/>
        <w:spacing w:after="0" w:line="252" w:lineRule="auto"/>
        <w:tabs>
          <w:tab w:leader="none" w:pos="1121"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case of any Award which is not a TARP Award, in the event that the Participant retires from the Company at age 55 or older with ten or more years of service (or equivalent retirement eligibility in countries outside the United States) or for Awards granted after March 15, 2010, retirement at age 55 or older with ten or more years of service (or equivalent retirement eligibility in countries outside the United States) or age 62 or older, subject to other terms and conditions of the LTIP, a pro rata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retirement and the denominator of which is the number of months from the Grant Date to the date on which such Award would have become nonforfeitable in accordance with Section 6(b) of the LTIP. In no event will such fraction exceed 1.0. Any retained RSU Awards will be settled on the Settlement Date in the form provided in Section 6(e) of the LTIP.</w:t>
      </w:r>
    </w:p>
    <w:p>
      <w:pPr>
        <w:spacing w:after="0" w:line="3" w:lineRule="exact"/>
        <w:rPr>
          <w:rFonts w:ascii="Arial" w:cs="Arial" w:eastAsia="Arial" w:hAnsi="Arial"/>
          <w:sz w:val="18"/>
          <w:szCs w:val="18"/>
          <w:color w:val="auto"/>
        </w:rPr>
      </w:pPr>
    </w:p>
    <w:p>
      <w:pPr>
        <w:jc w:val="both"/>
        <w:ind w:left="660" w:hanging="4"/>
        <w:spacing w:after="0" w:line="281" w:lineRule="auto"/>
        <w:tabs>
          <w:tab w:leader="none" w:pos="1151"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 the case of any TARP Award, in the event that the Participant retires from the Company at age 55 or older with ten or more years of service (or equivalent retirement eligibility in countries outside the United States) or for Awards granted after March 15, 2010, the Participant retires at age 55 or older with ten or more years of service (or equivalent retirement eligibility in countries outside the United States) or age 62 or older, and such Participant has remained continuously employed for two years from the Grant Date, subject to other terms and conditions of the LTIP, a prorated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retirement and the denominator of which is the number of months from the Grant Date to the date on which such Award would have become nonforfeitable in accordance with Section 6(b) of the LTIP. In no event will such fraction exceed 1.0. Any retained RSU Awards will be settled on the Settlement Date in the form provided in Section 6(e) of the LTIP.</w:t>
      </w:r>
    </w:p>
    <w:p>
      <w:pPr>
        <w:spacing w:after="0" w:line="6" w:lineRule="exact"/>
        <w:rPr>
          <w:rFonts w:ascii="Arial" w:cs="Arial" w:eastAsia="Arial" w:hAnsi="Arial"/>
          <w:sz w:val="16"/>
          <w:szCs w:val="16"/>
          <w:color w:val="auto"/>
        </w:rPr>
      </w:pPr>
    </w:p>
    <w:p>
      <w:pPr>
        <w:ind w:left="660" w:hanging="4"/>
        <w:spacing w:after="0" w:line="250" w:lineRule="auto"/>
        <w:tabs>
          <w:tab w:leader="none" w:pos="1149"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Notwithstanding the above provisions, any Participant who retires or separates from the Company or a Subsidiary under the terms of an approved separation agreement or program will not be entitled to retain any portion of an Award.</w:t>
      </w:r>
    </w:p>
    <w:p>
      <w:pPr>
        <w:jc w:val="both"/>
        <w:ind w:firstLine="8"/>
        <w:spacing w:after="0" w:line="265"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Form of Settlement. </w:t>
      </w:r>
      <w:r>
        <w:rPr>
          <w:rFonts w:ascii="Arial" w:cs="Arial" w:eastAsia="Arial" w:hAnsi="Arial"/>
          <w:sz w:val="17"/>
          <w:szCs w:val="17"/>
          <w:color w:val="auto"/>
        </w:rPr>
        <w:t>Each RSU Award shall be settled on any applicable Settlement Date by delivery of Shares. If a Settlement Date for any RSU Award</w:t>
      </w:r>
      <w:r>
        <w:rPr>
          <w:rFonts w:ascii="Arial" w:cs="Arial" w:eastAsia="Arial" w:hAnsi="Arial"/>
          <w:sz w:val="17"/>
          <w:szCs w:val="17"/>
          <w:i w:val="1"/>
          <w:iCs w:val="1"/>
          <w:color w:val="auto"/>
        </w:rPr>
        <w:t xml:space="preserve"> </w:t>
      </w:r>
      <w:r>
        <w:rPr>
          <w:rFonts w:ascii="Arial" w:cs="Arial" w:eastAsia="Arial" w:hAnsi="Arial"/>
          <w:sz w:val="17"/>
          <w:szCs w:val="17"/>
          <w:color w:val="auto"/>
        </w:rPr>
        <w:t>occurs prior to the date which is six months following the consummation of an underwritten public offering of Shares, the Award shall be settled by the delivery of the Fair Market Value of Shares, in cash. Such delivery shall take place promptly after the applicable Settlement Date; provided, however, that such delivery shall be made in all events not later than December 31 of the calendar year in which such Settlement Date occurs.</w:t>
      </w:r>
    </w:p>
    <w:p>
      <w:pPr>
        <w:ind w:firstLine="8"/>
        <w:spacing w:after="0" w:line="250" w:lineRule="auto"/>
        <w:tabs>
          <w:tab w:leader="none" w:pos="387"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No Rights of a Shareholder. </w:t>
      </w:r>
      <w:r>
        <w:rPr>
          <w:rFonts w:ascii="Arial" w:cs="Arial" w:eastAsia="Arial" w:hAnsi="Arial"/>
          <w:sz w:val="18"/>
          <w:szCs w:val="18"/>
          <w:color w:val="auto"/>
        </w:rPr>
        <w:t>No holder of any RSU Award shall have any rights to dividends or any other rights of a stockholder with respect to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Award prior to becoming the record owner of such Shares.</w:t>
      </w:r>
    </w:p>
    <w:p>
      <w:pPr>
        <w:ind w:right="20" w:firstLine="8"/>
        <w:spacing w:after="0" w:line="290" w:lineRule="auto"/>
        <w:tabs>
          <w:tab w:leader="none" w:pos="49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Leave of Absence. </w:t>
      </w:r>
      <w:r>
        <w:rPr>
          <w:rFonts w:ascii="Arial" w:cs="Arial" w:eastAsia="Arial" w:hAnsi="Arial"/>
          <w:sz w:val="17"/>
          <w:szCs w:val="17"/>
          <w:color w:val="auto"/>
        </w:rPr>
        <w:t>Notwithstanding Section 6(d) of the LTIP, a qualifying leave of absence shall not constitute a termination of employment.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absence or leave shall be deemed to be a qualifying leave of absence if approved by the Committee in its sole discretion.</w:t>
      </w:r>
    </w:p>
    <w:p>
      <w:pPr>
        <w:spacing w:after="0" w:line="162" w:lineRule="exact"/>
        <w:rPr>
          <w:sz w:val="20"/>
          <w:szCs w:val="20"/>
          <w:color w:val="auto"/>
        </w:rPr>
      </w:pPr>
    </w:p>
    <w:p>
      <w:pPr>
        <w:ind w:left="980" w:hanging="324"/>
        <w:spacing w:after="0"/>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SSP</w:t>
      </w:r>
    </w:p>
    <w:p>
      <w:pPr>
        <w:spacing w:after="0" w:line="225" w:lineRule="exact"/>
        <w:rPr>
          <w:rFonts w:ascii="Arial" w:cs="Arial" w:eastAsia="Arial" w:hAnsi="Arial"/>
          <w:sz w:val="18"/>
          <w:szCs w:val="18"/>
          <w:color w:val="auto"/>
        </w:rPr>
      </w:pPr>
    </w:p>
    <w:p>
      <w:pPr>
        <w:ind w:firstLine="8"/>
        <w:spacing w:after="0" w:line="258"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Salary Stock. </w:t>
      </w:r>
      <w:r>
        <w:rPr>
          <w:rFonts w:ascii="Arial" w:cs="Arial" w:eastAsia="Arial" w:hAnsi="Arial"/>
          <w:sz w:val="18"/>
          <w:szCs w:val="18"/>
          <w:color w:val="auto"/>
        </w:rPr>
        <w:t>The Committee has the power to grant Restricted Stock Unit Awards to Participants on each Issue Date. Units are valued by reference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number of Shares. An RSU Award shall be subject to the terms and conditions set forth in this Section 5 of the SSP.</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All Awards granted under the Plan shall be vested and nonforfeitable upon grant thereof.</w:t>
      </w:r>
    </w:p>
    <w:p>
      <w:pPr>
        <w:spacing w:after="0" w:line="9" w:lineRule="exact"/>
        <w:rPr>
          <w:rFonts w:ascii="Arial" w:cs="Arial" w:eastAsia="Arial" w:hAnsi="Arial"/>
          <w:sz w:val="18"/>
          <w:szCs w:val="18"/>
          <w:color w:val="auto"/>
        </w:rPr>
      </w:pPr>
    </w:p>
    <w:p>
      <w:pPr>
        <w:ind w:firstLine="8"/>
        <w:spacing w:after="0" w:line="250"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Form of Settlement. </w:t>
      </w:r>
      <w:r>
        <w:rPr>
          <w:rFonts w:ascii="Arial" w:cs="Arial" w:eastAsia="Arial" w:hAnsi="Arial"/>
          <w:sz w:val="18"/>
          <w:szCs w:val="18"/>
          <w:color w:val="auto"/>
        </w:rPr>
        <w:t>Each RSU shall be settled by delivery of the Fair Market Value of one Share as of the applicable anniversary date of grant in cash or</w:t>
      </w:r>
      <w:r>
        <w:rPr>
          <w:rFonts w:ascii="Arial" w:cs="Arial" w:eastAsia="Arial" w:hAnsi="Arial"/>
          <w:sz w:val="18"/>
          <w:szCs w:val="18"/>
          <w:i w:val="1"/>
          <w:iCs w:val="1"/>
          <w:color w:val="auto"/>
        </w:rPr>
        <w:t xml:space="preserve"> </w:t>
      </w:r>
      <w:r>
        <w:rPr>
          <w:rFonts w:ascii="Arial" w:cs="Arial" w:eastAsia="Arial" w:hAnsi="Arial"/>
          <w:sz w:val="18"/>
          <w:szCs w:val="18"/>
          <w:color w:val="auto"/>
        </w:rPr>
        <w:t>one share of stock</w:t>
      </w:r>
    </w:p>
    <w:p>
      <w:pPr>
        <w:ind w:firstLine="8"/>
        <w:spacing w:after="0" w:line="250" w:lineRule="auto"/>
        <w:tabs>
          <w:tab w:leader="none" w:pos="43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Settlement. </w:t>
      </w:r>
      <w:r>
        <w:rPr>
          <w:rFonts w:ascii="Arial" w:cs="Arial" w:eastAsia="Arial" w:hAnsi="Arial"/>
          <w:sz w:val="18"/>
          <w:szCs w:val="18"/>
          <w:color w:val="auto"/>
        </w:rPr>
        <w:t>(i) Except as set forth in Section 5(d)(iii) of the SSP, one third of the RSUs granted on any Issue Date will be settled on each of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second and third anniversaries of the Issue Date thereof, if permitted under Section 409A of the Code.</w:t>
      </w:r>
    </w:p>
    <w:p>
      <w:pPr>
        <w:spacing w:after="0" w:line="1" w:lineRule="exact"/>
        <w:rPr>
          <w:sz w:val="20"/>
          <w:szCs w:val="20"/>
          <w:color w:val="auto"/>
        </w:rPr>
      </w:pPr>
    </w:p>
    <w:p>
      <w:pPr>
        <w:jc w:val="both"/>
        <w:ind w:firstLine="8"/>
        <w:spacing w:after="0" w:line="250" w:lineRule="auto"/>
        <w:tabs>
          <w:tab w:leader="none" w:pos="4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Participant's employment terminates as a result of his or her death or Disability prior to the settlement date(s) applicable to his or her Award, all Awards then held by such Participant will be settled as soon as is practicable after the date of termination of employment. The form of settlement shall be as provided in Section 5(c) of the SSP.</w:t>
      </w:r>
    </w:p>
    <w:p>
      <w:pPr>
        <w:spacing w:after="0" w:line="1" w:lineRule="exact"/>
        <w:rPr>
          <w:rFonts w:ascii="Arial" w:cs="Arial" w:eastAsia="Arial" w:hAnsi="Arial"/>
          <w:sz w:val="18"/>
          <w:szCs w:val="18"/>
          <w:color w:val="auto"/>
        </w:rPr>
      </w:pPr>
    </w:p>
    <w:p>
      <w:pPr>
        <w:ind w:firstLine="8"/>
        <w:spacing w:after="0" w:line="250" w:lineRule="auto"/>
        <w:tabs>
          <w:tab w:leader="none" w:pos="483"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any other provision of Section 5 of the SSP, the Committee may grant Awards under the Plan with different settlement schedules, as long as such different schedules do not contravene the instructions of the Special Master and do not violate ARRA.</w:t>
      </w:r>
    </w:p>
    <w:p>
      <w:pPr>
        <w:spacing w:after="0" w:line="1" w:lineRule="exact"/>
        <w:rPr>
          <w:sz w:val="20"/>
          <w:szCs w:val="20"/>
          <w:color w:val="auto"/>
        </w:rPr>
      </w:pPr>
    </w:p>
    <w:p>
      <w:pPr>
        <w:ind w:right="20" w:firstLine="8"/>
        <w:spacing w:after="0" w:line="261"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No Rights of a Shareholder. </w:t>
      </w:r>
      <w:r>
        <w:rPr>
          <w:rFonts w:ascii="Arial" w:cs="Arial" w:eastAsia="Arial" w:hAnsi="Arial"/>
          <w:sz w:val="18"/>
          <w:szCs w:val="18"/>
          <w:color w:val="auto"/>
        </w:rPr>
        <w:t>No holder of any Award shall have any rights to dividends or any other rights of a stockholder with respect to Shares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Award prior to becoming the record owner of such Shares.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Amendments, Termination and Recoupment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LTIP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3" w:name="page94"/>
    <w:bookmarkEnd w:id="93"/>
    <w:p>
      <w:pPr>
        <w:jc w:val="both"/>
        <w:ind w:firstLine="8"/>
        <w:spacing w:after="0" w:line="253" w:lineRule="auto"/>
        <w:tabs>
          <w:tab w:leader="none" w:pos="3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may amend, alter, suspend, discontinue or terminate the LTIP or any portion thereof at any time; provided, however; that no such amendment, alteration, suspension, discontinuation or termination shall be made without (i) stockholder approval if such approval is necessary to comply with the rules of the New York Stock Exchange or such other national securities exchange as may be from time to time the principal trading market for Shares, and (ii) except as provided in Section 8(f) of the LTIP, the consent of the affected Participant, if such action would materially impair the rights of such Participant under any outstanding Award.</w:t>
      </w:r>
    </w:p>
    <w:p>
      <w:pPr>
        <w:spacing w:after="0" w:line="3" w:lineRule="exact"/>
        <w:rPr>
          <w:rFonts w:ascii="Arial" w:cs="Arial" w:eastAsia="Arial" w:hAnsi="Arial"/>
          <w:sz w:val="18"/>
          <w:szCs w:val="18"/>
          <w:color w:val="auto"/>
        </w:rPr>
      </w:pPr>
    </w:p>
    <w:p>
      <w:pPr>
        <w:jc w:val="both"/>
        <w:ind w:firstLine="8"/>
        <w:spacing w:after="0" w:line="265" w:lineRule="auto"/>
        <w:tabs>
          <w:tab w:leader="none" w:pos="45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Committee may delegate to another committee, as it may appoint, the authority to take any action consistent with the terms of the LTIP, either before or after an Award has been granted, which such other committee deems necessary or advisable to comply with any government laws or regulatory requirements of a foreign country, including, but not limited to, modifying or amending the terms and conditions governing any Awards, or establishing any local country plans as sub-plans to the LTIP. In addition, under all circumstances, the Committee may make non-substantive administrative changes to the LTIP so as to conform with or take advantage of governmental requirements, statutes or regulations.</w:t>
      </w:r>
    </w:p>
    <w:p>
      <w:pPr>
        <w:spacing w:after="0" w:line="1" w:lineRule="exact"/>
        <w:rPr>
          <w:rFonts w:ascii="Arial" w:cs="Arial" w:eastAsia="Arial" w:hAnsi="Arial"/>
          <w:sz w:val="17"/>
          <w:szCs w:val="17"/>
          <w:color w:val="auto"/>
        </w:rPr>
      </w:pPr>
    </w:p>
    <w:p>
      <w:pPr>
        <w:ind w:right="20" w:firstLine="8"/>
        <w:spacing w:after="0" w:line="250" w:lineRule="auto"/>
        <w:tabs>
          <w:tab w:leader="none" w:pos="5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Committee may amend the terms of any Award and any Award Agreement theretofore granted, prospectively or retroactively, but no such amendment shall materially impair the rights of any Participant without his or her consent except as provided in Section 8(f) of the LTIP.</w:t>
      </w:r>
    </w:p>
    <w:p>
      <w:pPr>
        <w:jc w:val="both"/>
        <w:ind w:firstLine="8"/>
        <w:spacing w:after="0" w:line="265" w:lineRule="auto"/>
        <w:tabs>
          <w:tab w:leader="none" w:pos="463"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Notwithstanding any provision of the LTIP to the contrary, any Award made and any amount of cash or Shares delivered in settlement thereof to a Participant under the LTIP is subject to being called for repayment to the Company in any situation where the Board of Directors or a Committee thereof determines that the Company's Policy on Recoupment of Compensation requires such repayment, or that repayment is otherwise required by the rules of any national securities exchange on which the stock of the Company may be listed. The determination regarding repayment under this provision shall be within the sole discretion of the Committee and shall be final and binding on the Participant and the Company.</w:t>
      </w:r>
    </w:p>
    <w:p>
      <w:pPr>
        <w:spacing w:after="0" w:line="1" w:lineRule="exact"/>
        <w:rPr>
          <w:rFonts w:ascii="Arial" w:cs="Arial" w:eastAsia="Arial" w:hAnsi="Arial"/>
          <w:sz w:val="17"/>
          <w:szCs w:val="17"/>
          <w:color w:val="auto"/>
        </w:rPr>
      </w:pPr>
    </w:p>
    <w:p>
      <w:pPr>
        <w:jc w:val="both"/>
        <w:ind w:firstLine="8"/>
        <w:spacing w:after="0" w:line="250" w:lineRule="auto"/>
        <w:tabs>
          <w:tab w:leader="none" w:pos="39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provision of the LTIP or any Award Agreement is invalid or unenforceable in any jurisdiction, (i) such provision shall be modified or eliminated, but only to the extent necessary to 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LTIP or any Award.</w:t>
      </w:r>
    </w:p>
    <w:p>
      <w:pPr>
        <w:spacing w:after="0" w:line="1" w:lineRule="exact"/>
        <w:rPr>
          <w:rFonts w:ascii="Arial" w:cs="Arial" w:eastAsia="Arial" w:hAnsi="Arial"/>
          <w:sz w:val="18"/>
          <w:szCs w:val="18"/>
          <w:color w:val="auto"/>
        </w:rPr>
      </w:pPr>
    </w:p>
    <w:p>
      <w:pPr>
        <w:jc w:val="both"/>
        <w:ind w:firstLine="8"/>
        <w:spacing w:after="0" w:line="254" w:lineRule="auto"/>
        <w:tabs>
          <w:tab w:leader="none" w:pos="42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Award under the Plan that is or becomes a TARP Award is intended to comply with applicable Treasury regulations under TARP and shall be interpreted and amended as necessary to comply with any interpretations or guidance of the Special Master or his successor. In the event that an Award under the Plan becomes a TARP Award, or is otherwise affected by any decision of the Special Master or his successor, the Company shall inform the affected Participant.</w:t>
      </w:r>
    </w:p>
    <w:p>
      <w:pPr>
        <w:spacing w:after="0" w:line="189" w:lineRule="exact"/>
        <w:rPr>
          <w:rFonts w:ascii="Arial" w:cs="Arial" w:eastAsia="Arial" w:hAnsi="Arial"/>
          <w:sz w:val="18"/>
          <w:szCs w:val="18"/>
          <w:color w:val="auto"/>
        </w:rPr>
      </w:pPr>
    </w:p>
    <w:p>
      <w:pPr>
        <w:ind w:left="920" w:hanging="264"/>
        <w:spacing w:after="0"/>
        <w:tabs>
          <w:tab w:leader="none" w:pos="9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SSP</w:t>
      </w:r>
    </w:p>
    <w:p>
      <w:pPr>
        <w:spacing w:after="0" w:line="225" w:lineRule="exact"/>
        <w:rPr>
          <w:sz w:val="20"/>
          <w:szCs w:val="20"/>
          <w:color w:val="auto"/>
        </w:rPr>
      </w:pPr>
    </w:p>
    <w:p>
      <w:pPr>
        <w:jc w:val="both"/>
        <w:ind w:firstLine="8"/>
        <w:spacing w:after="0" w:line="286" w:lineRule="auto"/>
        <w:tabs>
          <w:tab w:leader="none" w:pos="38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Board may amend, alter, suspend, discontinue or terminate the SSP or any portion thereof at any time; provided, however; that no such amendment, alteration, suspension, discontinuation or termination shall be made without (i) stockholder approval if such approval is necessary to comply with the rules of the New York Stock Exchange or such other exchange as may constitute from time to time the principal trading market for the Company's Shares, and (ii) the consent of the affected Participant, if such action would materially impair the rights of such Participant under any outstanding Award.</w:t>
      </w:r>
    </w:p>
    <w:p>
      <w:pPr>
        <w:spacing w:after="0" w:line="1" w:lineRule="exact"/>
        <w:rPr>
          <w:rFonts w:ascii="Arial" w:cs="Arial" w:eastAsia="Arial" w:hAnsi="Arial"/>
          <w:sz w:val="16"/>
          <w:szCs w:val="16"/>
          <w:color w:val="auto"/>
        </w:rPr>
      </w:pPr>
    </w:p>
    <w:p>
      <w:pPr>
        <w:jc w:val="both"/>
        <w:ind w:firstLine="8"/>
        <w:spacing w:after="0" w:line="250" w:lineRule="auto"/>
        <w:tabs>
          <w:tab w:leader="none" w:pos="4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Committee has the authority to take any action consistent with the terms of the SSP, either before or after an Award has been granted, that it deems necessary or advisable to comply with any government laws or regulatory requirements of a foreign country, including, but not limited to, modifying or amending the terms and conditions governing any Awards, or establishing any local country plans as sub-plans to the SSP. In addition, under all circumstances, the Committee or Officer of the Company may make non-substantive administrative changes to the SSP so as to conform with or take advantage of governmental requirements, statutes or regulations.</w:t>
      </w:r>
    </w:p>
    <w:p>
      <w:pPr>
        <w:spacing w:after="0" w:line="2" w:lineRule="exact"/>
        <w:rPr>
          <w:rFonts w:ascii="Arial" w:cs="Arial" w:eastAsia="Arial" w:hAnsi="Arial"/>
          <w:sz w:val="18"/>
          <w:szCs w:val="18"/>
          <w:color w:val="auto"/>
        </w:rPr>
      </w:pPr>
    </w:p>
    <w:p>
      <w:pPr>
        <w:ind w:firstLine="8"/>
        <w:spacing w:after="0" w:line="250" w:lineRule="auto"/>
        <w:tabs>
          <w:tab w:leader="none" w:pos="4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Committee may amend the terms of any Award theretofore granted, prospectively or retroactively, but no such amendment shall materially impair the rights of any Participant without his or her consent.</w:t>
      </w:r>
    </w:p>
    <w:p>
      <w:pPr>
        <w:jc w:val="both"/>
        <w:ind w:firstLine="8"/>
        <w:spacing w:after="0" w:line="254" w:lineRule="auto"/>
        <w:tabs>
          <w:tab w:leader="none" w:pos="4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any provision of the SSP or any Award is invalid or unenforceable in any jurisdiction, (i) such provision shall be modified or eliminated, but only to the extent necessary to 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SSP or any Award.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Under the LTIP, no holder of any RSU Award shall have any rights to dividends or any other rights of a stockholder with respect to Shares subject to the Award prior to becoming the record owner of such Shares.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SSP, no holder of any Award shall have any rights to dividends or any other rights of a stockholder with respect to Shares subject to the Award prior to becoming the record owner of such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4" w:name="page95"/>
    <w:bookmarkEnd w:id="94"/>
    <w:p>
      <w:pPr>
        <w:ind w:left="980" w:hanging="324"/>
        <w:spacing w:after="0"/>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LTIP</w:t>
      </w:r>
    </w:p>
    <w:p>
      <w:pPr>
        <w:spacing w:after="0" w:line="225" w:lineRule="exact"/>
        <w:rPr>
          <w:rFonts w:ascii="Arial" w:cs="Arial" w:eastAsia="Arial" w:hAnsi="Arial"/>
          <w:sz w:val="18"/>
          <w:szCs w:val="18"/>
          <w:color w:val="auto"/>
        </w:rPr>
      </w:pPr>
    </w:p>
    <w:p>
      <w:pPr>
        <w:ind w:firstLine="8"/>
        <w:spacing w:after="0" w:line="258" w:lineRule="auto"/>
        <w:tabs>
          <w:tab w:leader="none" w:pos="3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Award may not be sold, exercised, pledged, assigned, hypothecated, transferred, or disposed of in any manner except as may be expressly set forth in the Award Agreement.</w:t>
      </w:r>
    </w:p>
    <w:p>
      <w:pPr>
        <w:spacing w:after="0" w:line="1" w:lineRule="exact"/>
        <w:rPr>
          <w:rFonts w:ascii="Arial" w:cs="Arial" w:eastAsia="Arial" w:hAnsi="Arial"/>
          <w:sz w:val="18"/>
          <w:szCs w:val="18"/>
          <w:color w:val="auto"/>
        </w:rPr>
      </w:pPr>
    </w:p>
    <w:p>
      <w:pPr>
        <w:ind w:firstLine="8"/>
        <w:spacing w:after="0" w:line="265" w:lineRule="auto"/>
        <w:tabs>
          <w:tab w:leader="none" w:pos="421" w:val="left"/>
        </w:tabs>
        <w:numPr>
          <w:ilvl w:val="0"/>
          <w:numId w:val="76"/>
        </w:numPr>
        <w:rPr>
          <w:rFonts w:ascii="Arial" w:cs="Arial" w:eastAsia="Arial" w:hAnsi="Arial"/>
          <w:sz w:val="17"/>
          <w:szCs w:val="17"/>
          <w:color w:val="auto"/>
        </w:rPr>
      </w:pPr>
      <w:r>
        <w:rPr>
          <w:rFonts w:ascii="Arial" w:cs="Arial" w:eastAsia="Arial" w:hAnsi="Arial"/>
          <w:sz w:val="17"/>
          <w:szCs w:val="17"/>
          <w:color w:val="auto"/>
        </w:rPr>
        <w:t>Neither the Award nor any benefits arising out of the LTIP shall constitute part of a Participant's employment or service contract with the Company or any Subsidiary. The Awards under the LTIP are not intended to be treated as compensation for any purpose under any other Company plan.</w:t>
      </w:r>
    </w:p>
    <w:p>
      <w:pPr>
        <w:ind w:firstLine="8"/>
        <w:spacing w:after="0" w:line="250" w:lineRule="auto"/>
        <w:tabs>
          <w:tab w:leader="none" w:pos="402"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Employee shall have any claim to be granted any Award under the Plan, and there is no obligation for uniformity of treatment of Participants under the Plan.</w:t>
      </w:r>
    </w:p>
    <w:p>
      <w:pPr>
        <w:jc w:val="both"/>
        <w:ind w:firstLine="8"/>
        <w:spacing w:after="0" w:line="250" w:lineRule="auto"/>
        <w:tabs>
          <w:tab w:leader="none" w:pos="4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 w:lineRule="exact"/>
        <w:rPr>
          <w:rFonts w:ascii="Arial" w:cs="Arial" w:eastAsia="Arial" w:hAnsi="Arial"/>
          <w:sz w:val="18"/>
          <w:szCs w:val="18"/>
          <w:color w:val="auto"/>
        </w:rPr>
      </w:pPr>
    </w:p>
    <w:p>
      <w:pPr>
        <w:jc w:val="both"/>
        <w:ind w:firstLine="8"/>
        <w:spacing w:after="0" w:line="265" w:lineRule="auto"/>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are then listed, and any applicable federal or state securities law, any instructions of the Special Master and the Committee may cause a legend or legends to be put on any certificates or other indicia of ownership of such Shares to make appropriate reference to such restrictions.</w:t>
      </w:r>
    </w:p>
    <w:p>
      <w:pPr>
        <w:jc w:val="both"/>
        <w:ind w:firstLine="8"/>
        <w:spacing w:after="0" w:line="250" w:lineRule="auto"/>
        <w:tabs>
          <w:tab w:leader="none" w:pos="3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Award granted under the Plan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1" w:lineRule="exact"/>
        <w:rPr>
          <w:rFonts w:ascii="Arial" w:cs="Arial" w:eastAsia="Arial" w:hAnsi="Arial"/>
          <w:sz w:val="18"/>
          <w:szCs w:val="18"/>
          <w:color w:val="auto"/>
        </w:rPr>
      </w:pPr>
    </w:p>
    <w:p>
      <w:pPr>
        <w:jc w:val="both"/>
        <w:ind w:firstLine="8"/>
        <w:spacing w:after="0" w:line="265" w:lineRule="auto"/>
        <w:tabs>
          <w:tab w:leader="none" w:pos="42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 and its Subsidiaries shall be authorized to withhold from any Award granted or payment due under the Plan the amount of withholding taxes due in respect of an Award or payment under the Plan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 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 minimum required tax withholding rate, to the extent such limitation is necessary to avoid a charge to the Company for financial reporting purposes) otherwise deliverable in connection with the Award.</w:t>
      </w:r>
    </w:p>
    <w:p>
      <w:pPr>
        <w:spacing w:after="0" w:line="1" w:lineRule="exact"/>
        <w:rPr>
          <w:rFonts w:ascii="Arial" w:cs="Arial" w:eastAsia="Arial" w:hAnsi="Arial"/>
          <w:sz w:val="17"/>
          <w:szCs w:val="17"/>
          <w:color w:val="auto"/>
        </w:rPr>
      </w:pPr>
    </w:p>
    <w:p>
      <w:pPr>
        <w:ind w:firstLine="8"/>
        <w:spacing w:after="0" w:line="265" w:lineRule="auto"/>
        <w:tabs>
          <w:tab w:leader="none" w:pos="415"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ind w:firstLine="8"/>
        <w:spacing w:after="0" w:line="250" w:lineRule="auto"/>
        <w:tabs>
          <w:tab w:leader="none" w:pos="4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jc w:val="both"/>
        <w:ind w:firstLine="8"/>
        <w:spacing w:after="0" w:line="250" w:lineRule="auto"/>
        <w:tabs>
          <w:tab w:leader="none" w:pos="3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9(j) of the LTIP may not be made without stockholder approval or Participant approval, if such approval is required by Section 78. The Committee also may impose conditions on the exercise or vesting of Awards in order to minimize the Company's obligation with respect to tax equalization for Employees on assignments outside their home country.</w:t>
      </w:r>
    </w:p>
    <w:p>
      <w:pPr>
        <w:spacing w:after="0" w:line="2" w:lineRule="exact"/>
        <w:rPr>
          <w:rFonts w:ascii="Arial" w:cs="Arial" w:eastAsia="Arial" w:hAnsi="Arial"/>
          <w:sz w:val="18"/>
          <w:szCs w:val="18"/>
          <w:color w:val="auto"/>
        </w:rPr>
      </w:pPr>
    </w:p>
    <w:p>
      <w:pPr>
        <w:jc w:val="both"/>
        <w:ind w:firstLine="8"/>
        <w:spacing w:after="0" w:line="265" w:lineRule="auto"/>
        <w:tabs>
          <w:tab w:leader="none" w:pos="398"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the Company shall have any unpaid claim against the Participant arising out of or in connection with the Participant's employment with the Company, prior to settlement of an Award, such claim may be offset against Awards under the LTIP (up to $5,000 per year) and upon settlement of any Award, such claim may be offset in total. Such claim may include, but is not limited to, unpaid taxes or corporate business credit card charges.</w:t>
      </w:r>
    </w:p>
    <w:p>
      <w:pPr>
        <w:jc w:val="both"/>
        <w:ind w:firstLine="8"/>
        <w:spacing w:after="0" w:line="254" w:lineRule="auto"/>
        <w:tabs>
          <w:tab w:leader="none" w:pos="4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 provision of the LTIP, no Plan elections, modifications or distributions will be allowed or implemented if they would cause the Participant to be subject to tax (including interest and penalties) under Section 409A of the Code. The settlement of Awards under the Plan may be delayed up to six months following a Participant's termination of employment if the Participant is a “specified employee” for purposes of Section 409A and such delay is necessary to avoid the imposition of tax (including interest and penalties) under Section 409A.</w:t>
      </w:r>
    </w:p>
    <w:p>
      <w:pPr>
        <w:spacing w:after="0" w:line="189" w:lineRule="exact"/>
        <w:rPr>
          <w:rFonts w:ascii="Arial" w:cs="Arial" w:eastAsia="Arial" w:hAnsi="Arial"/>
          <w:sz w:val="18"/>
          <w:szCs w:val="18"/>
          <w:color w:val="auto"/>
        </w:rPr>
      </w:pPr>
    </w:p>
    <w:p>
      <w:pPr>
        <w:ind w:left="920" w:hanging="264"/>
        <w:spacing w:after="0"/>
        <w:tabs>
          <w:tab w:leader="none" w:pos="9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SSP</w:t>
      </w:r>
    </w:p>
    <w:p>
      <w:pPr>
        <w:spacing w:after="0" w:line="225" w:lineRule="exact"/>
        <w:rPr>
          <w:sz w:val="20"/>
          <w:szCs w:val="20"/>
          <w:color w:val="auto"/>
        </w:rPr>
      </w:pPr>
    </w:p>
    <w:p>
      <w:pPr>
        <w:ind w:firstLine="8"/>
        <w:spacing w:after="0" w:line="258" w:lineRule="auto"/>
        <w:tabs>
          <w:tab w:leader="none" w:pos="4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Award may not be sold, exercised, pledged, assigned, hypothecated, transferred, or disposed of in any manner. For the avoidance of doubt, upon settlement of any Award, the cash or Shares delivered will not be subject to this restriction.</w:t>
      </w:r>
    </w:p>
    <w:p>
      <w:pPr>
        <w:spacing w:after="0" w:line="1" w:lineRule="exact"/>
        <w:rPr>
          <w:rFonts w:ascii="Arial" w:cs="Arial" w:eastAsia="Arial" w:hAnsi="Arial"/>
          <w:sz w:val="18"/>
          <w:szCs w:val="18"/>
          <w:color w:val="auto"/>
        </w:rPr>
      </w:pPr>
    </w:p>
    <w:p>
      <w:pPr>
        <w:ind w:firstLine="8"/>
        <w:spacing w:after="0" w:line="261" w:lineRule="auto"/>
        <w:tabs>
          <w:tab w:leader="none" w:pos="4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Neither the Award nor any benefits arising out of the SSP shall constitute part of a Participant's employment or service contract with the Company or any Subsidiary and, accordingly, except as provided in Section 6(a) and (c) if the SSP, the SSP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95" w:name="page96"/>
    <w:bookmarkEnd w:id="95"/>
    <w:p>
      <w:pPr>
        <w:spacing w:after="0" w:line="258" w:lineRule="auto"/>
        <w:rPr>
          <w:sz w:val="20"/>
          <w:szCs w:val="20"/>
          <w:color w:val="auto"/>
        </w:rPr>
      </w:pPr>
      <w:r>
        <w:rPr>
          <w:rFonts w:ascii="Arial" w:cs="Arial" w:eastAsia="Arial" w:hAnsi="Arial"/>
          <w:sz w:val="18"/>
          <w:szCs w:val="18"/>
          <w:color w:val="auto"/>
        </w:rPr>
        <w:t>the benefits under the Plan may be terminated at any time in the sole discretion of the Company without giving rise to liability on the part of the Company or any Subsidiary for severance payments.</w:t>
      </w:r>
    </w:p>
    <w:p>
      <w:pPr>
        <w:spacing w:after="0" w:line="1" w:lineRule="exact"/>
        <w:rPr>
          <w:sz w:val="20"/>
          <w:szCs w:val="20"/>
          <w:color w:val="auto"/>
        </w:rPr>
      </w:pPr>
    </w:p>
    <w:p>
      <w:pPr>
        <w:ind w:firstLine="8"/>
        <w:spacing w:after="0" w:line="250" w:lineRule="auto"/>
        <w:tabs>
          <w:tab w:leader="none" w:pos="40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Employee shall have any claim to be granted any Award under the Plan, and there is no obligation for uniformity of treatment of Participants under the Plan.</w:t>
      </w:r>
    </w:p>
    <w:p>
      <w:pPr>
        <w:jc w:val="both"/>
        <w:ind w:firstLine="8"/>
        <w:spacing w:after="0" w:line="250" w:lineRule="auto"/>
        <w:tabs>
          <w:tab w:leader="none" w:pos="4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 w:lineRule="exact"/>
        <w:rPr>
          <w:rFonts w:ascii="Arial" w:cs="Arial" w:eastAsia="Arial" w:hAnsi="Arial"/>
          <w:sz w:val="18"/>
          <w:szCs w:val="18"/>
          <w:color w:val="auto"/>
        </w:rPr>
      </w:pPr>
    </w:p>
    <w:p>
      <w:pPr>
        <w:jc w:val="both"/>
        <w:ind w:firstLine="8"/>
        <w:spacing w:after="0" w:line="250"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may be then listed, and any applicable federal or state securities law, and the Committee may cause a legend or legends to be put on any certificates or other indicia of ownership of such Shares to make appropriate reference to such restrictions.</w:t>
      </w:r>
    </w:p>
    <w:p>
      <w:pPr>
        <w:spacing w:after="0" w:line="1" w:lineRule="exact"/>
        <w:rPr>
          <w:rFonts w:ascii="Arial" w:cs="Arial" w:eastAsia="Arial" w:hAnsi="Arial"/>
          <w:sz w:val="18"/>
          <w:szCs w:val="18"/>
          <w:color w:val="auto"/>
        </w:rPr>
      </w:pPr>
    </w:p>
    <w:p>
      <w:pPr>
        <w:jc w:val="both"/>
        <w:ind w:firstLine="8"/>
        <w:spacing w:after="0" w:line="250" w:lineRule="auto"/>
        <w:tabs>
          <w:tab w:leader="none" w:pos="3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Award granted under the Plan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1" w:lineRule="exact"/>
        <w:rPr>
          <w:rFonts w:ascii="Arial" w:cs="Arial" w:eastAsia="Arial" w:hAnsi="Arial"/>
          <w:sz w:val="18"/>
          <w:szCs w:val="18"/>
          <w:color w:val="auto"/>
        </w:rPr>
      </w:pPr>
    </w:p>
    <w:p>
      <w:pPr>
        <w:jc w:val="both"/>
        <w:ind w:firstLine="8"/>
        <w:spacing w:after="0" w:line="265" w:lineRule="auto"/>
        <w:tabs>
          <w:tab w:leader="none" w:pos="42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 and its Subsidiaries shall be authorized to withhold from any Award granted or payment due under the Plan the amount of withholding taxes due in respect of an Award or payment under the Plan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 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 minimum required tax withholding rate to the extent such limitation is necessary to avoid a charge to the Company for financial reporting purposes) otherwise deliverable in connection with the Award.</w:t>
      </w:r>
    </w:p>
    <w:p>
      <w:pPr>
        <w:spacing w:after="0" w:line="1" w:lineRule="exact"/>
        <w:rPr>
          <w:rFonts w:ascii="Arial" w:cs="Arial" w:eastAsia="Arial" w:hAnsi="Arial"/>
          <w:sz w:val="17"/>
          <w:szCs w:val="17"/>
          <w:color w:val="auto"/>
        </w:rPr>
      </w:pPr>
    </w:p>
    <w:p>
      <w:pPr>
        <w:ind w:firstLine="8"/>
        <w:spacing w:after="0" w:line="265" w:lineRule="auto"/>
        <w:tabs>
          <w:tab w:leader="none" w:pos="415"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ind w:firstLine="8"/>
        <w:spacing w:after="0" w:line="250" w:lineRule="auto"/>
        <w:tabs>
          <w:tab w:leader="none" w:pos="4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jc w:val="both"/>
        <w:ind w:firstLine="8"/>
        <w:spacing w:after="0" w:line="250" w:lineRule="auto"/>
        <w:tabs>
          <w:tab w:leader="none" w:pos="3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7(j) of the SSP may not be made without stockholder approval or Participant approval, if such approval is required by Section 6 of the SSP. The Committee also may impose conditions on the exercise or vesting of Awards in order to minimize the Company's obligation with respect to tax equalization for Employees on assignments outside their home country.</w:t>
      </w:r>
    </w:p>
    <w:p>
      <w:pPr>
        <w:spacing w:after="0" w:line="2" w:lineRule="exact"/>
        <w:rPr>
          <w:rFonts w:ascii="Arial" w:cs="Arial" w:eastAsia="Arial" w:hAnsi="Arial"/>
          <w:sz w:val="18"/>
          <w:szCs w:val="18"/>
          <w:color w:val="auto"/>
        </w:rPr>
      </w:pPr>
    </w:p>
    <w:p>
      <w:pPr>
        <w:jc w:val="both"/>
        <w:ind w:firstLine="8"/>
        <w:spacing w:after="0" w:line="250" w:lineRule="auto"/>
        <w:tabs>
          <w:tab w:leader="none" w:pos="50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Company shall have any unpaid claim against the Participant arising out of or in connection with such Participant's employment with the Company, such claim may be offset against Awards delivered under the SSP. Such claim may include, but is not limited to, unpaid taxes or corporate business credit card charges.</w:t>
      </w:r>
    </w:p>
    <w:p>
      <w:pPr>
        <w:spacing w:after="0" w:line="1" w:lineRule="exact"/>
        <w:rPr>
          <w:rFonts w:ascii="Arial" w:cs="Arial" w:eastAsia="Arial" w:hAnsi="Arial"/>
          <w:sz w:val="18"/>
          <w:szCs w:val="18"/>
          <w:color w:val="auto"/>
        </w:rPr>
      </w:pPr>
    </w:p>
    <w:p>
      <w:pPr>
        <w:jc w:val="both"/>
        <w:ind w:firstLine="8"/>
        <w:spacing w:after="0" w:line="273" w:lineRule="auto"/>
        <w:tabs>
          <w:tab w:leader="none" w:pos="421"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Notwithstanding any provision of the SSP, no Plan elections, modifications or distributions will be allowed or implemented if they would cause the Participant to be subject to tax (including interest and penalties) under Section 409A of the Code. The settlement of Awards under the Plan may be delayed up to six months following a Participant's termination of employment if the Participant is a “specified employee” for purposes of such Section 409A, and such delay is necessary to avoid the imposition of tax (including interest and penalties) under Section 409A.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Of Plan</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amended LTIP is effective as of November 21, 2012, and the LTIP shall terminate on the day after the date when all Awards under the LTIP have been settled in accordance with the terms of the LTIP.</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amended SSP is effective as of June 5, 2013, and the SSP shall terminate on the day after the date when all Awards under the SSP have been settled in accordance with the terms of the SSP, unless sooner terminated by the Board pursuant to Section 6 of the SSP.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Income Tax Considerations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discussion is not a complete statement of the federal income tax consequences resulting from your participation in the Plans. This discussion outlines present provisions and interpretations of the Code, rulings and proposed regulations of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96" w:name="page97"/>
    <w:bookmarkEnd w:id="96"/>
    <w:p>
      <w:pPr>
        <w:jc w:val="both"/>
        <w:spacing w:after="0" w:line="277" w:lineRule="auto"/>
        <w:rPr>
          <w:sz w:val="20"/>
          <w:szCs w:val="20"/>
          <w:color w:val="auto"/>
        </w:rPr>
      </w:pPr>
      <w:r>
        <w:rPr>
          <w:rFonts w:ascii="Arial" w:cs="Arial" w:eastAsia="Arial" w:hAnsi="Arial"/>
          <w:sz w:val="18"/>
          <w:szCs w:val="18"/>
          <w:color w:val="auto"/>
        </w:rPr>
        <w:t>Internal Revenue Service, all of which are subject to future changes. In addition, state and local income tax laws may vary in effect. For these reasons, you should consult your own tax advisor as to your tax consequences arising from your participation in the Plans.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is not a complete statement of the federal income tax consequences resulting from your participation in the Plans. This discussion outlines present provisions and interpretations of the Code, rulings and proposed regulations of the Internal Revenue Service, all of which are subject to future changes. In addition, state and local income tax laws may vary in effect. For these reasons, you should consult your own tax advisor as to your tax consequences arising from your participation in the Plans.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w:t>
      </w:r>
      <w:r>
        <w:rPr>
          <w:rFonts w:ascii="Arial" w:cs="Arial" w:eastAsia="Arial" w:hAnsi="Arial"/>
          <w:sz w:val="18"/>
          <w:szCs w:val="18"/>
          <w:i w:val="1"/>
          <w:iCs w:val="1"/>
          <w:color w:val="auto"/>
        </w:rPr>
        <w:t>. Non-qualified stock options</w:t>
      </w:r>
      <w:r>
        <w:rPr>
          <w:rFonts w:ascii="Arial" w:cs="Arial" w:eastAsia="Arial" w:hAnsi="Arial"/>
          <w:sz w:val="18"/>
          <w:szCs w:val="18"/>
          <w:color w:val="auto"/>
        </w:rPr>
        <w:t>: When you exercise a non-qualified stock option, the difference between the stock option grant price and any higher fair market value of General Motors common stock on the date of exercise will generally be ordinary income to you (and will be subject to employment tax withholding). When you dispose of shares that you have acquired by the exercise of the stock option, any amount you receive in excess of the fair market value of the shares on the date of exercise will be a long-term or short-term capital gain, depending upon the length of time you held the shares. If the amount you receive is less than the market value of the shares on the date of exercise, the loss will be a long-term or short-term capital loss, depending upon the holding period. As of the date of this Prospectus, shares that you sell that have been held for at least one year are eligible for long-term capital gain or loss treatment.</w:t>
      </w:r>
    </w:p>
    <w:p>
      <w:pPr>
        <w:spacing w:after="0" w:line="189" w:lineRule="exact"/>
        <w:rPr>
          <w:sz w:val="20"/>
          <w:szCs w:val="20"/>
          <w:color w:val="auto"/>
        </w:rPr>
      </w:pPr>
    </w:p>
    <w:p>
      <w:pPr>
        <w:ind w:firstLine="8"/>
        <w:spacing w:after="0" w:line="342" w:lineRule="auto"/>
        <w:tabs>
          <w:tab w:leader="none" w:pos="355"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If you exercise an incentive stock option while you are an employee of General Motors or a subsidiary of General Motors, or</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three-month (one-year in the case of disability) period after your termination of employment, you will not recognize ordinary income at that time.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However, the excess of the fair market value of the shares that you acquire by such exercise over the stock option grant price will be an item of “adjustment” for federal alternative minimum tax purposes.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shares you acquire upon exercise are not disposed of until more than one year after the transfer date, the excess of the sales proceeds over the option price of such shares will be a long-term capital gain.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you dispose of the shares (including the surrender of such shares to exercise another incentive stock option or a non-qualified stock option) less than one year from the transfer date (so as to cause a “Disqualifying Disposition”), the excess of the amount realized on the disposition or fair market value of such shares at the time of exercise, whichever is less, over the option price will be ordinary income at the time of such Disqualifying Disposition. The remainder of the amount realized, if any, will be a short-term capital gain (and you will be responsible for any tax liability). Upon a Disqualifying Disposition of any of the shares received, those shares with the lowest tax basis will be deemed to be the shares first disposed of by you.</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incentive stock option is exercised more than three months (one year for disability) after termination of employment, the tax consequences are the same as described in (1) above for non-qualified stock options.</w:t>
      </w:r>
    </w:p>
    <w:p>
      <w:pPr>
        <w:spacing w:after="0" w:line="170" w:lineRule="exact"/>
        <w:rPr>
          <w:sz w:val="20"/>
          <w:szCs w:val="20"/>
          <w:color w:val="auto"/>
        </w:rPr>
      </w:pPr>
    </w:p>
    <w:p>
      <w:pPr>
        <w:jc w:val="both"/>
        <w:ind w:right="20" w:firstLine="8"/>
        <w:spacing w:after="0" w:line="264" w:lineRule="auto"/>
        <w:tabs>
          <w:tab w:leader="none" w:pos="328"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Restricted stock units and stock awards</w:t>
      </w:r>
      <w:r>
        <w:rPr>
          <w:rFonts w:ascii="Arial" w:cs="Arial" w:eastAsia="Arial" w:hAnsi="Arial"/>
          <w:sz w:val="18"/>
          <w:szCs w:val="18"/>
          <w:color w:val="auto"/>
        </w:rPr>
        <w:t>: When you receive payment for a vested restricted stock unit or a vested stock award, the amount of cash and/or</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any shares of General Motors common stock that you receive, determined as of the date of delivery, will be taxable to you as ordinary income (and will be subject to employment tax withholding).</w:t>
      </w:r>
    </w:p>
    <w:p>
      <w:pPr>
        <w:spacing w:after="0" w:line="181"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When you exercise a stock appreciation right, the difference between the stock appreciation right grant price and any higher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General Motors common stock on the date of exercise will generally be ordinary income to you (and will be subject to employment tax withholding).</w:t>
      </w:r>
    </w:p>
    <w:p>
      <w:pPr>
        <w:spacing w:after="0" w:line="181" w:lineRule="exact"/>
        <w:rPr>
          <w:rFonts w:ascii="Arial" w:cs="Arial" w:eastAsia="Arial" w:hAnsi="Arial"/>
          <w:sz w:val="18"/>
          <w:szCs w:val="18"/>
          <w:color w:val="auto"/>
        </w:rPr>
      </w:pPr>
    </w:p>
    <w:p>
      <w:pPr>
        <w:jc w:val="both"/>
        <w:ind w:firstLine="8"/>
        <w:spacing w:after="0" w:line="312" w:lineRule="auto"/>
        <w:tabs>
          <w:tab w:leader="none" w:pos="355"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Special rules if you use stock to pay all or a portion of the stock option grant price: </w:t>
      </w:r>
      <w:r>
        <w:rPr>
          <w:rFonts w:ascii="Arial" w:cs="Arial" w:eastAsia="Arial" w:hAnsi="Arial"/>
          <w:sz w:val="16"/>
          <w:szCs w:val="16"/>
          <w:color w:val="auto"/>
        </w:rPr>
        <w:t>You may use currently-owned shares of General Motors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as payment to acquire shares through the exercise of a non-qualified stock option or an incentive stock option. However, you may not use stock acquired during the prior six months from the exercise of a stock option. You may also use a combination of cash and stock to pay the grant price.</w:t>
      </w:r>
    </w:p>
    <w:p>
      <w:pPr>
        <w:spacing w:after="0" w:line="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you exercise a non-qualified stock option using currently-owned shares of General Motors common stock as all or part of the payment, you will not recognize any gain or loss with respect to the “old” stock surrendered (unless you acquired the surrendered stock from the exercise of an incentive stock option within the previous one year period). However, you will recognize ordinary income on the difference between the fair market value of all “new” stock that you receive at the time of exercise and the stock option grant price. This amount will also be subject to employment tax withholding. The number of “new” shares which is equal to the number of “old” shares that you surrendered will have the same tax basis and holding period as those “old” shares.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97" w:name="page98"/>
    <w:bookmarkEnd w:id="97"/>
    <w:p>
      <w:pPr>
        <w:jc w:val="both"/>
        <w:spacing w:after="0" w:line="277" w:lineRule="auto"/>
        <w:rPr>
          <w:sz w:val="20"/>
          <w:szCs w:val="20"/>
          <w:color w:val="auto"/>
        </w:rPr>
      </w:pPr>
      <w:r>
        <w:rPr>
          <w:rFonts w:ascii="Arial" w:cs="Arial" w:eastAsia="Arial" w:hAnsi="Arial"/>
          <w:sz w:val="18"/>
          <w:szCs w:val="18"/>
          <w:color w:val="auto"/>
        </w:rPr>
        <w:t>remaining “new” shares will have a holding period beginning on the date of exercise and a tax basis equal to the amount of ordinary income that you recognized on such exercise (plus the amount of any cash paid as part of the stock option price).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exercise an incentive stock option using currently-owned shares of General Motors common stock as all or a part of the payment, you will not recognize any gain or loss on the surrender of the “old” shares (unless you acquired the surrendered stock from exercising an incentive stock option within the previous one year period). As a result, the use of currently owned shares that have appreciated in value may enable you to obtain additional shares without incurring any current tax or additional cash expense. The number of “new” shares that you receive which equal the number of “old” shares surrendered will have a tax basis and holding period equal to the surrendered shares. The additional “new” shares will have a zero basis with a holding period that begins on the transfer date. All of the shares that you receive will be subject to the holding periods applicable to shares acquired upon the exercise of an incentive stock option.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means that if you dispose of the shares less than two years following the grant of the stock option or less than one year after your exercise of the stock option, you will have made a Disqualifying Disposition of those shares. The discussion of incentive stock options in item 2 above describes the tax consequences of Disqualifying Dispositions. You should consult with your tax advisor before exercising an incentive stock option by using currently-owned shares of General Motors common stock.</w:t>
      </w:r>
    </w:p>
    <w:p>
      <w:pPr>
        <w:spacing w:after="0" w:line="187" w:lineRule="exact"/>
        <w:rPr>
          <w:sz w:val="20"/>
          <w:szCs w:val="20"/>
          <w:color w:val="auto"/>
        </w:rPr>
      </w:pPr>
    </w:p>
    <w:p>
      <w:pPr>
        <w:jc w:val="both"/>
        <w:ind w:firstLine="8"/>
        <w:spacing w:after="0" w:line="302" w:lineRule="auto"/>
        <w:tabs>
          <w:tab w:leader="none" w:pos="315"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Other tax matters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If you are required pursuant to Paragraph 8(d) of the LTIP to pay General Motors an amount realized from an award, the following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may occur. If the award was delivered and repayment was made in the same calendar year, your Form W-2 will be adjusted to reduce your income by the amount paid. If the award was delivered and repayment was made in a calendar year after the year of delivery, you may claim a tax deduction, or in certain cases a tax credit, in the year of repayment for the amount repaid. The applicable tax rules are complex and you should consult your tax advisor.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Restrictions on Resale</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“Affiliates" of the Company, as defined in Rule 144 promulgated under the Securities Act ("Rule 144"), who acquire Common Stock under the Plans may not use this Prospectus for any resales of such shares and the certificate representing such shares may bear a legend restricting the transfer thereof. However, sales or other dispositions may be made pursuant to (1) the requirements of Rule 144, without being subject to the holding period requirement of such Rule, (2) another exemption from such registration under the Securities Act, or (3) a separate prospectus prepared in accordance with the applicable form under the Securities Act. Participants who are not affiliates of the Company may still sell their shares acquired pursuant to the terms of the Plan without compliance with the requirements of Rule 144 or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Motors Company has filed with the SEC a registration statement to register the shares of GM Common Stock offered to you under these Plans. As allowed by SEC rules, this Prospectus does not contain all of the information that you can find in the registration statement or exhibits or amendments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PROSPECTUS SHOULD BE RETAINED BY YOU FOR FUTURE REFERENCE.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APPENDIX A.1</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MOTORS COMPANY 2009 LONG-TERM INCENTIVE PLAN</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As Amended November 21, 2012</w:t>
      </w:r>
    </w:p>
    <w:p>
      <w:pPr>
        <w:spacing w:after="0" w:line="220" w:lineRule="exact"/>
        <w:rPr>
          <w:sz w:val="20"/>
          <w:szCs w:val="20"/>
          <w:color w:val="auto"/>
        </w:rPr>
      </w:pPr>
    </w:p>
    <w:p>
      <w:pPr>
        <w:ind w:right="420" w:firstLine="810"/>
        <w:spacing w:after="0" w:line="31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Purpose.</w:t>
      </w:r>
      <w:r>
        <w:rPr>
          <w:rFonts w:ascii="Arial" w:cs="Arial" w:eastAsia="Arial" w:hAnsi="Arial"/>
          <w:sz w:val="19"/>
          <w:szCs w:val="19"/>
          <w:color w:val="auto"/>
        </w:rPr>
        <w:t xml:space="preserve"> The purpose of the General Motors Company 2009 Long-Term Incentive Plan is to motivate and reward participating Employees toward the long-term success of the business by making them participants in that success. Capitalized terms used in the Plan shall have the definitions set forth in Section 11 of the Plan.</w:t>
      </w:r>
    </w:p>
    <w:p>
      <w:pPr>
        <w:spacing w:after="0" w:line="174" w:lineRule="exact"/>
        <w:rPr>
          <w:sz w:val="20"/>
          <w:szCs w:val="20"/>
          <w:color w:val="auto"/>
        </w:rPr>
      </w:pPr>
    </w:p>
    <w:p>
      <w:pPr>
        <w:ind w:firstLine="810"/>
        <w:spacing w:after="0" w:line="28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i w:val="1"/>
          <w:iCs w:val="1"/>
          <w:color w:val="auto"/>
        </w:rPr>
        <w:t>Administration.</w:t>
      </w:r>
      <w:r>
        <w:rPr>
          <w:rFonts w:ascii="Arial" w:cs="Arial" w:eastAsia="Arial" w:hAnsi="Arial"/>
          <w:sz w:val="19"/>
          <w:szCs w:val="19"/>
          <w:color w:val="auto"/>
        </w:rPr>
        <w:t xml:space="preserve"> The Plan shall be administered by the Committee. The Committee shall have full discretionary power and authority, subject to such orders or resolutions not inconsistent with the provisions of the Plan as may from time to time be adopted by the Board, to (i) select the Employees of the Company and its Subsidiaries to whom Awards may be granted hereunder; (ii) determine the number of Shares to be covered by each Award granted hereunder; (iii) determine whether, to what extent and under what circumstances Awards may be settled in cash, Shares or other property, or canceled, and (iv) interpret and administer the Plan and any Award Agreement, and establish such rules and regulations and appoint such agents as it shall deem appropriate for the proper administration of the Plan. The Committee may delegate to an appropriate Executive Officer of the Company responsibility for determining, within the limits established by the Committee, individual Awards for Employees who are not Executive Committee members or Executive Officers of the Company.</w:t>
      </w:r>
    </w:p>
    <w:p>
      <w:pPr>
        <w:spacing w:after="0" w:line="198" w:lineRule="exact"/>
        <w:rPr>
          <w:sz w:val="20"/>
          <w:szCs w:val="20"/>
          <w:color w:val="auto"/>
        </w:rPr>
      </w:pPr>
    </w:p>
    <w:p>
      <w:pPr>
        <w:jc w:val="both"/>
        <w:ind w:right="740" w:firstLine="648"/>
        <w:spacing w:after="0" w:line="253" w:lineRule="auto"/>
        <w:rPr>
          <w:sz w:val="20"/>
          <w:szCs w:val="20"/>
          <w:color w:val="auto"/>
        </w:rPr>
      </w:pPr>
      <w:r>
        <w:rPr>
          <w:rFonts w:ascii="Arial" w:cs="Arial" w:eastAsia="Arial" w:hAnsi="Arial"/>
          <w:sz w:val="22"/>
          <w:szCs w:val="22"/>
          <w:color w:val="auto"/>
        </w:rPr>
        <w:t>Terms of Awards granted to Employees subject to compliance with the provisions of the Interim Final Rule and any determinations by the Special Master for TARP Executive Compensation will be determined by the Committee and will be included in the Award Agreements for those Employees</w:t>
      </w:r>
    </w:p>
    <w:p>
      <w:pPr>
        <w:spacing w:after="0" w:line="186"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i w:val="1"/>
          <w:iCs w:val="1"/>
          <w:color w:val="auto"/>
        </w:rPr>
        <w:t>Shares Subject to the Plan.</w:t>
      </w:r>
    </w:p>
    <w:p>
      <w:pPr>
        <w:spacing w:after="0" w:line="260" w:lineRule="exact"/>
        <w:rPr>
          <w:sz w:val="20"/>
          <w:szCs w:val="20"/>
          <w:color w:val="auto"/>
        </w:rPr>
      </w:pPr>
    </w:p>
    <w:p>
      <w:pPr>
        <w:ind w:right="20" w:firstLine="832"/>
        <w:spacing w:after="0" w:line="289" w:lineRule="auto"/>
        <w:tabs>
          <w:tab w:leader="none" w:pos="1523" w:val="left"/>
        </w:tabs>
        <w:numPr>
          <w:ilvl w:val="0"/>
          <w:numId w:val="82"/>
        </w:numPr>
        <w:rPr>
          <w:rFonts w:ascii="Arial" w:cs="Arial" w:eastAsia="Arial" w:hAnsi="Arial"/>
          <w:sz w:val="19"/>
          <w:szCs w:val="19"/>
          <w:color w:val="auto"/>
        </w:rPr>
      </w:pPr>
      <w:r>
        <w:rPr>
          <w:rFonts w:ascii="Arial" w:cs="Arial" w:eastAsia="Arial" w:hAnsi="Arial"/>
          <w:sz w:val="19"/>
          <w:szCs w:val="19"/>
          <w:color w:val="auto"/>
        </w:rPr>
        <w:t>Subject to the provisions of Section 3(f) below, the aggregate number of Shares with respect to which Awards may be granted under this Plan shall not exceed 75,000,000 Shares. Shares subject to awards granted under the General Motors Company Salary Stock Plan and the General Motors Company Short-Term Incentive Plan shall reduce the number of Shares with respect to which Awards may be granted under this Plan. Each share subject to a Stock Option or Stock Appreciation Right will reduce the number of shares available for issuance under the Plan by one share, and each share subject to a Restricted Stock Unit or Stock Award will reduce the number of shares available for issuance by two and one-half shares. Subject to the provisions of Section 3(f), for awards that are intended to constitute qualified performance based compensation under 162m, grants of Options or Stock Appreciation Rights in any calendar year may not cover more than 1,000,000 shares and grants of RSUs or Stock Awards in any calendar year may not cover more than 250,000 shares.</w:t>
      </w:r>
    </w:p>
    <w:p>
      <w:pPr>
        <w:spacing w:after="0" w:line="198" w:lineRule="exact"/>
        <w:rPr>
          <w:rFonts w:ascii="Arial" w:cs="Arial" w:eastAsia="Arial" w:hAnsi="Arial"/>
          <w:sz w:val="19"/>
          <w:szCs w:val="19"/>
          <w:color w:val="auto"/>
        </w:rPr>
      </w:pPr>
    </w:p>
    <w:p>
      <w:pPr>
        <w:ind w:right="120" w:firstLine="832"/>
        <w:spacing w:after="0" w:line="250" w:lineRule="auto"/>
        <w:tabs>
          <w:tab w:leader="none" w:pos="1535" w:val="left"/>
        </w:tabs>
        <w:numPr>
          <w:ilvl w:val="0"/>
          <w:numId w:val="82"/>
        </w:numPr>
        <w:rPr>
          <w:rFonts w:ascii="Arial" w:cs="Arial" w:eastAsia="Arial" w:hAnsi="Arial"/>
          <w:sz w:val="22"/>
          <w:szCs w:val="22"/>
          <w:color w:val="auto"/>
        </w:rPr>
      </w:pPr>
      <w:r>
        <w:rPr>
          <w:rFonts w:ascii="Arial" w:cs="Arial" w:eastAsia="Arial" w:hAnsi="Arial"/>
          <w:sz w:val="22"/>
          <w:szCs w:val="22"/>
          <w:color w:val="auto"/>
        </w:rPr>
        <w:t>Awards granted under the Plan that are settled in cash will not count against the approved share reserve. Awards, other than Substitute Awards, that are forfeited or otherwise terminate without the issuance of Shares will no longer be charged against the maximum share limitation and will again be available for future grants. These Shares will return to the available share pool at the same ratio at which they were granted.</w:t>
      </w:r>
    </w:p>
    <w:p>
      <w:pPr>
        <w:spacing w:after="0" w:line="228" w:lineRule="exact"/>
        <w:rPr>
          <w:rFonts w:ascii="Arial" w:cs="Arial" w:eastAsia="Arial" w:hAnsi="Arial"/>
          <w:sz w:val="22"/>
          <w:szCs w:val="22"/>
          <w:color w:val="auto"/>
        </w:rPr>
      </w:pPr>
    </w:p>
    <w:p>
      <w:pPr>
        <w:ind w:right="480" w:firstLine="832"/>
        <w:spacing w:after="0" w:line="263" w:lineRule="auto"/>
        <w:tabs>
          <w:tab w:leader="none" w:pos="1523" w:val="left"/>
        </w:tabs>
        <w:numPr>
          <w:ilvl w:val="0"/>
          <w:numId w:val="82"/>
        </w:numPr>
        <w:rPr>
          <w:rFonts w:ascii="Arial" w:cs="Arial" w:eastAsia="Arial" w:hAnsi="Arial"/>
          <w:sz w:val="22"/>
          <w:szCs w:val="22"/>
          <w:color w:val="auto"/>
        </w:rPr>
      </w:pPr>
      <w:r>
        <w:rPr>
          <w:rFonts w:ascii="Arial" w:cs="Arial" w:eastAsia="Arial" w:hAnsi="Arial"/>
          <w:sz w:val="22"/>
          <w:szCs w:val="22"/>
          <w:color w:val="auto"/>
        </w:rPr>
        <w:t>Shares withheld by or delivered to the Company to satisfy the exercise or conversion price of an Award or in payment of taxes will not again be available for future grants.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99" w:name="page100"/>
    <w:bookmarkEnd w:id="99"/>
    <w:p>
      <w:pPr>
        <w:ind w:left="1540" w:hanging="708"/>
        <w:spacing w:after="0"/>
        <w:tabs>
          <w:tab w:leader="none" w:pos="15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Substitute Awards will not reduce the number of Shares authorized for grant hereunder.</w:t>
      </w:r>
    </w:p>
    <w:p>
      <w:pPr>
        <w:spacing w:after="0" w:line="260" w:lineRule="exact"/>
        <w:rPr>
          <w:rFonts w:ascii="Arial" w:cs="Arial" w:eastAsia="Arial" w:hAnsi="Arial"/>
          <w:sz w:val="22"/>
          <w:szCs w:val="22"/>
          <w:color w:val="auto"/>
        </w:rPr>
      </w:pPr>
    </w:p>
    <w:p>
      <w:pPr>
        <w:ind w:right="600" w:firstLine="832"/>
        <w:spacing w:after="0" w:line="263" w:lineRule="auto"/>
        <w:tabs>
          <w:tab w:leader="none" w:pos="1523"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Shares delivered in settlement of Awards hereunder may consist, in whole or in part, of authorized and unissued Shares, treasury Shares or Shares purchased in the open market or otherwise.</w:t>
      </w:r>
    </w:p>
    <w:p>
      <w:pPr>
        <w:spacing w:after="0" w:line="215" w:lineRule="exact"/>
        <w:rPr>
          <w:rFonts w:ascii="Arial" w:cs="Arial" w:eastAsia="Arial" w:hAnsi="Arial"/>
          <w:sz w:val="22"/>
          <w:szCs w:val="22"/>
          <w:color w:val="auto"/>
        </w:rPr>
      </w:pPr>
    </w:p>
    <w:p>
      <w:pPr>
        <w:ind w:firstLine="832"/>
        <w:spacing w:after="0" w:line="294" w:lineRule="auto"/>
        <w:tabs>
          <w:tab w:leader="none" w:pos="1499"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this Plan and the number of Shares subject to Awards granted under this Plan (provided the number of Shares subject to any Award shall always be a whole number), as may be determined to be appropriate by the Committee in order to prevent unintended enhancement or diminution of the benefits or potential benefits intended to be conferred on Participants pursuant to Awards granted hereunder.</w:t>
      </w:r>
    </w:p>
    <w:p>
      <w:pPr>
        <w:spacing w:after="0" w:line="190"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i w:val="1"/>
          <w:iCs w:val="1"/>
          <w:color w:val="auto"/>
        </w:rPr>
        <w:t>Eligibility.</w:t>
      </w:r>
    </w:p>
    <w:p>
      <w:pPr>
        <w:spacing w:after="0" w:line="260" w:lineRule="exact"/>
        <w:rPr>
          <w:sz w:val="20"/>
          <w:szCs w:val="20"/>
          <w:color w:val="auto"/>
        </w:rPr>
      </w:pPr>
    </w:p>
    <w:p>
      <w:pPr>
        <w:ind w:left="960" w:hanging="304"/>
        <w:spacing w:after="0"/>
        <w:tabs>
          <w:tab w:leader="none" w:pos="960" w:val="left"/>
        </w:tabs>
        <w:numPr>
          <w:ilvl w:val="0"/>
          <w:numId w:val="84"/>
        </w:numPr>
        <w:rPr>
          <w:rFonts w:ascii="Arial" w:cs="Arial" w:eastAsia="Arial" w:hAnsi="Arial"/>
          <w:sz w:val="22"/>
          <w:szCs w:val="22"/>
          <w:i w:val="1"/>
          <w:iCs w:val="1"/>
          <w:color w:val="auto"/>
        </w:rPr>
      </w:pPr>
      <w:r>
        <w:rPr>
          <w:rFonts w:ascii="Arial" w:cs="Arial" w:eastAsia="Arial" w:hAnsi="Arial"/>
          <w:sz w:val="22"/>
          <w:szCs w:val="22"/>
          <w:color w:val="auto"/>
        </w:rPr>
        <w:t>Any Employee shall be eligible to be selected as a Participant.</w:t>
      </w:r>
    </w:p>
    <w:p>
      <w:pPr>
        <w:spacing w:after="0" w:line="219" w:lineRule="exact"/>
        <w:rPr>
          <w:rFonts w:ascii="Arial" w:cs="Arial" w:eastAsia="Arial" w:hAnsi="Arial"/>
          <w:sz w:val="22"/>
          <w:szCs w:val="22"/>
          <w:i w:val="1"/>
          <w:iCs w:val="1"/>
          <w:color w:val="auto"/>
        </w:rPr>
      </w:pPr>
    </w:p>
    <w:p>
      <w:pPr>
        <w:ind w:left="960" w:hanging="304"/>
        <w:spacing w:after="0"/>
        <w:tabs>
          <w:tab w:leader="none" w:pos="960" w:val="left"/>
        </w:tabs>
        <w:numPr>
          <w:ilvl w:val="0"/>
          <w:numId w:val="8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Conditions Precedent. </w:t>
      </w:r>
      <w:r>
        <w:rPr>
          <w:rFonts w:ascii="Arial" w:cs="Arial" w:eastAsia="Arial" w:hAnsi="Arial"/>
          <w:sz w:val="19"/>
          <w:szCs w:val="19"/>
          <w:color w:val="auto"/>
        </w:rPr>
        <w:t>As a condition precedent to the vesting and settlement of any portion of an Award, Participants</w:t>
      </w:r>
    </w:p>
    <w:p>
      <w:pPr>
        <w:spacing w:after="0" w:line="56" w:lineRule="exact"/>
        <w:rPr>
          <w:rFonts w:ascii="Arial" w:cs="Arial" w:eastAsia="Arial" w:hAnsi="Arial"/>
          <w:sz w:val="19"/>
          <w:szCs w:val="19"/>
          <w:i w:val="1"/>
          <w:iCs w:val="1"/>
          <w:color w:val="auto"/>
        </w:rPr>
      </w:pPr>
    </w:p>
    <w:p>
      <w:pPr>
        <w:ind w:right="120"/>
        <w:spacing w:after="0" w:line="285" w:lineRule="auto"/>
        <w:rPr>
          <w:rFonts w:ascii="Arial" w:cs="Arial" w:eastAsia="Arial" w:hAnsi="Arial"/>
          <w:sz w:val="19"/>
          <w:szCs w:val="19"/>
          <w:i w:val="1"/>
          <w:iCs w:val="1"/>
          <w:color w:val="auto"/>
        </w:rPr>
      </w:pPr>
      <w:r>
        <w:rPr>
          <w:rFonts w:ascii="Arial" w:cs="Arial" w:eastAsia="Arial" w:hAnsi="Arial"/>
          <w:sz w:val="19"/>
          <w:szCs w:val="19"/>
          <w:color w:val="auto"/>
        </w:rPr>
        <w:t>shall: (i) continue to render services as an Employee (unless this condition is waived by the Committee), (ii) refrain from engaging in any activity which, in the opinion of the Chief Executive Officer or Vice President, Global Human Resources, is in any manner inimical or in any way contrary to the best interests of the Company, (For purposes of this provision, the determination of whether an action will cause damage to the Company, or is inimical or in any way contrary to the best interest of the Company shall be made in the sole discretion of the Chief Executive Officer or Vice President, Global Human Resources of the Company.), (iii) not for a period of 12 months following any voluntary termination of employment, directly or indirectly, knowingly induce any Employee or employee of an affiliate of the Company to leave their employment for participation, directly or indirectly, with any existing or future business venture associated with such individual, and (iv) furnish to the Company such information with respect to the satisfaction of the foregoing conditions precedent as the Committee shall reasonably request. Except as otherwise provided under paragraph 6(d)(i) below, the failure by any Participant to satisfy such conditions precedent shall result in the immediate cancellation of the unvested portion of any Award previously made to such Participant and such Participant shall not be entitled to receive any consideration in respect of such cancellation.</w:t>
      </w:r>
    </w:p>
    <w:p>
      <w:pPr>
        <w:spacing w:after="0" w:line="164" w:lineRule="exact"/>
        <w:rPr>
          <w:sz w:val="20"/>
          <w:szCs w:val="20"/>
          <w:color w:val="auto"/>
        </w:rPr>
      </w:pPr>
    </w:p>
    <w:p>
      <w:pPr>
        <w:ind w:right="860" w:firstLine="810"/>
        <w:spacing w:after="0" w:line="263" w:lineRule="auto"/>
        <w:rPr>
          <w:sz w:val="20"/>
          <w:szCs w:val="20"/>
          <w:color w:val="auto"/>
        </w:rPr>
      </w:pPr>
      <w:r>
        <w:rPr>
          <w:rFonts w:ascii="Arial" w:cs="Arial" w:eastAsia="Arial" w:hAnsi="Arial"/>
          <w:sz w:val="22"/>
          <w:szCs w:val="22"/>
          <w:color w:val="auto"/>
        </w:rPr>
        <w:t>Section 5. The Committee may require a Participant to enter into such agreements as the Committee considers appropriate and in the best interests of the Company.</w:t>
      </w:r>
    </w:p>
    <w:p>
      <w:pPr>
        <w:spacing w:after="0" w:line="215"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i w:val="1"/>
          <w:iCs w:val="1"/>
          <w:color w:val="auto"/>
        </w:rPr>
        <w:t>Stock Awards and Restricted Stock Units.</w:t>
      </w:r>
    </w:p>
    <w:p>
      <w:pPr>
        <w:spacing w:after="0" w:line="260" w:lineRule="exact"/>
        <w:rPr>
          <w:sz w:val="20"/>
          <w:szCs w:val="20"/>
          <w:color w:val="auto"/>
        </w:rPr>
      </w:pPr>
    </w:p>
    <w:p>
      <w:pPr>
        <w:ind w:right="60" w:firstLine="832"/>
        <w:spacing w:after="0" w:line="248" w:lineRule="auto"/>
        <w:tabs>
          <w:tab w:leader="none" w:pos="1523"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Grant and Performance Conditions</w:t>
      </w:r>
      <w:r>
        <w:rPr>
          <w:rFonts w:ascii="Arial" w:cs="Arial" w:eastAsia="Arial" w:hAnsi="Arial"/>
          <w:sz w:val="22"/>
          <w:szCs w:val="22"/>
          <w:color w:val="auto"/>
        </w:rPr>
        <w:t>. The Committee may grant Restricted Stock Unit Awards or Stock Awards to</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Participants, from time to time. Such Awards shall be valued by reference to a designated number of Shares. A Stock Award or RSU Award shall be subject to the terms and conditions set forth in this Section 6 and the terms set forth in the applicable Award Agreement. In the case of a discrepancy between the Plan and the RSU Award Agreement, the terms of the RSU Award Agreement will control.</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47" w:right="239" w:bottom="1440" w:gutter="0" w:footer="0" w:header="0"/>
        </w:sectPr>
      </w:pPr>
    </w:p>
    <w:bookmarkStart w:id="100" w:name="page101"/>
    <w:bookmarkEnd w:id="100"/>
    <w:p>
      <w:pPr>
        <w:ind w:left="-20" w:right="340" w:firstLine="832"/>
        <w:spacing w:after="0" w:line="263" w:lineRule="auto"/>
        <w:tabs>
          <w:tab w:leader="none" w:pos="1515" w:val="left"/>
        </w:tabs>
        <w:numPr>
          <w:ilvl w:val="0"/>
          <w:numId w:val="86"/>
        </w:numPr>
        <w:rPr>
          <w:rFonts w:ascii="Arial" w:cs="Arial" w:eastAsia="Arial" w:hAnsi="Arial"/>
          <w:sz w:val="21"/>
          <w:szCs w:val="21"/>
          <w:color w:val="auto"/>
        </w:rPr>
      </w:pPr>
      <w:r>
        <w:rPr>
          <w:rFonts w:ascii="Arial" w:cs="Arial" w:eastAsia="Arial" w:hAnsi="Arial"/>
          <w:sz w:val="21"/>
          <w:szCs w:val="21"/>
          <w:i w:val="1"/>
          <w:iCs w:val="1"/>
          <w:color w:val="auto"/>
        </w:rPr>
        <w:t>Nonforfeitability</w:t>
      </w:r>
      <w:r>
        <w:rPr>
          <w:rFonts w:ascii="Arial" w:cs="Arial" w:eastAsia="Arial" w:hAnsi="Arial"/>
          <w:sz w:val="21"/>
          <w:szCs w:val="21"/>
          <w:color w:val="auto"/>
        </w:rPr>
        <w:t>. No portion of a Stock Award or RSU Award shall become nonforfeitable or transferable, as</w:t>
      </w:r>
      <w:r>
        <w:rPr>
          <w:rFonts w:ascii="Arial" w:cs="Arial" w:eastAsia="Arial" w:hAnsi="Arial"/>
          <w:sz w:val="21"/>
          <w:szCs w:val="21"/>
          <w:i w:val="1"/>
          <w:iCs w:val="1"/>
          <w:color w:val="auto"/>
        </w:rPr>
        <w:t xml:space="preserve"> </w:t>
      </w:r>
      <w:r>
        <w:rPr>
          <w:rFonts w:ascii="Arial" w:cs="Arial" w:eastAsia="Arial" w:hAnsi="Arial"/>
          <w:sz w:val="21"/>
          <w:szCs w:val="21"/>
          <w:color w:val="auto"/>
        </w:rPr>
        <w:t>applicable, prior to a date specified by the Committee in the Award Agreement except as set forth in Section 6(d). A Participant must remain continuously employed by the Company or a Subsidiary through the nonforfeitability date specified in the Award Agreement except as set forth in Section 6(d). Awards shall be conditioned upon the achievement of Performance Conditions, if applicable, as specified in the Award Agreement.</w:t>
      </w:r>
    </w:p>
    <w:p>
      <w:pPr>
        <w:spacing w:after="0" w:line="216" w:lineRule="exact"/>
        <w:rPr>
          <w:rFonts w:ascii="Arial" w:cs="Arial" w:eastAsia="Arial" w:hAnsi="Arial"/>
          <w:sz w:val="21"/>
          <w:szCs w:val="21"/>
          <w:color w:val="auto"/>
        </w:rPr>
      </w:pPr>
    </w:p>
    <w:p>
      <w:pPr>
        <w:ind w:left="-20" w:firstLine="832"/>
        <w:spacing w:after="0" w:line="263" w:lineRule="auto"/>
        <w:tabs>
          <w:tab w:leader="none" w:pos="1503"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Payment and Delivery</w:t>
      </w:r>
      <w:r>
        <w:rPr>
          <w:rFonts w:ascii="Arial" w:cs="Arial" w:eastAsia="Arial" w:hAnsi="Arial"/>
          <w:sz w:val="22"/>
          <w:szCs w:val="22"/>
          <w:color w:val="auto"/>
        </w:rPr>
        <w:t>. No RSU Award shall be paid or settled prior to the first applicable Settlement Date, except</w:t>
      </w:r>
      <w:r>
        <w:rPr>
          <w:rFonts w:ascii="Arial" w:cs="Arial" w:eastAsia="Arial" w:hAnsi="Arial"/>
          <w:sz w:val="22"/>
          <w:szCs w:val="22"/>
          <w:i w:val="1"/>
          <w:iCs w:val="1"/>
          <w:color w:val="auto"/>
        </w:rPr>
        <w:t xml:space="preserve"> </w:t>
      </w:r>
      <w:r>
        <w:rPr>
          <w:rFonts w:ascii="Arial" w:cs="Arial" w:eastAsia="Arial" w:hAnsi="Arial"/>
          <w:sz w:val="22"/>
          <w:szCs w:val="22"/>
          <w:color w:val="auto"/>
        </w:rPr>
        <w:t>as provided in Section 6(d)(i).</w:t>
      </w:r>
    </w:p>
    <w:p>
      <w:pPr>
        <w:spacing w:after="0" w:line="215" w:lineRule="exact"/>
        <w:rPr>
          <w:rFonts w:ascii="Arial" w:cs="Arial" w:eastAsia="Arial" w:hAnsi="Arial"/>
          <w:sz w:val="22"/>
          <w:szCs w:val="22"/>
          <w:color w:val="auto"/>
        </w:rPr>
      </w:pPr>
    </w:p>
    <w:p>
      <w:pPr>
        <w:ind w:left="-20" w:right="660" w:firstLine="832"/>
        <w:spacing w:after="0" w:line="253" w:lineRule="auto"/>
        <w:tabs>
          <w:tab w:leader="none" w:pos="1515"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Termination of Employment</w:t>
      </w:r>
      <w:r>
        <w:rPr>
          <w:rFonts w:ascii="Arial" w:cs="Arial" w:eastAsia="Arial" w:hAnsi="Arial"/>
          <w:sz w:val="22"/>
          <w:szCs w:val="22"/>
          <w:color w:val="auto"/>
        </w:rPr>
        <w:t>. Except as set forth in this subsection, upon the termination of a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employment, any Award (or portion thereof) held by such Participant that has not become nonforfeitable in accordance with Section 6(b). at the time of such termination shall be forfeited.</w:t>
      </w:r>
    </w:p>
    <w:p>
      <w:pPr>
        <w:spacing w:after="0" w:line="226" w:lineRule="exact"/>
        <w:rPr>
          <w:rFonts w:ascii="Arial" w:cs="Arial" w:eastAsia="Arial" w:hAnsi="Arial"/>
          <w:sz w:val="22"/>
          <w:szCs w:val="22"/>
          <w:color w:val="auto"/>
        </w:rPr>
      </w:pPr>
    </w:p>
    <w:p>
      <w:pPr>
        <w:ind w:left="640" w:right="20" w:firstLine="969"/>
        <w:spacing w:after="0" w:line="259" w:lineRule="auto"/>
        <w:tabs>
          <w:tab w:leader="none" w:pos="2194" w:val="left"/>
        </w:tabs>
        <w:numPr>
          <w:ilvl w:val="1"/>
          <w:numId w:val="86"/>
        </w:numPr>
        <w:rPr>
          <w:rFonts w:ascii="Arial" w:cs="Arial" w:eastAsia="Arial" w:hAnsi="Arial"/>
          <w:sz w:val="21"/>
          <w:szCs w:val="21"/>
          <w:color w:val="auto"/>
        </w:rPr>
      </w:pPr>
      <w:r>
        <w:rPr>
          <w:rFonts w:ascii="Arial" w:cs="Arial" w:eastAsia="Arial" w:hAnsi="Arial"/>
          <w:sz w:val="21"/>
          <w:szCs w:val="21"/>
          <w:color w:val="auto"/>
        </w:rPr>
        <w:t>In the event that the Participant's employment terminates as a result of his or her death, a pro rata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death and the denominator of which is the number of months from the Grant Date to the date on which such Award would have become nonforfeitable in accordance with Section 6(b). In no event will such fraction exceed 1.0. The retained portion of any RSU Award will be settled in the form provided in Section 6(e) and the Settlement Date for such Awards will occur as soon as practicable after the date of death.</w:t>
      </w:r>
    </w:p>
    <w:p>
      <w:pPr>
        <w:spacing w:after="0" w:line="224" w:lineRule="exact"/>
        <w:rPr>
          <w:rFonts w:ascii="Arial" w:cs="Arial" w:eastAsia="Arial" w:hAnsi="Arial"/>
          <w:sz w:val="21"/>
          <w:szCs w:val="21"/>
          <w:color w:val="auto"/>
        </w:rPr>
      </w:pPr>
    </w:p>
    <w:p>
      <w:pPr>
        <w:ind w:left="640" w:right="180" w:firstLine="969"/>
        <w:spacing w:after="0" w:line="271" w:lineRule="auto"/>
        <w:tabs>
          <w:tab w:leader="none" w:pos="2255" w:val="left"/>
        </w:tabs>
        <w:numPr>
          <w:ilvl w:val="1"/>
          <w:numId w:val="86"/>
        </w:numPr>
        <w:rPr>
          <w:rFonts w:ascii="Arial" w:cs="Arial" w:eastAsia="Arial" w:hAnsi="Arial"/>
          <w:sz w:val="21"/>
          <w:szCs w:val="21"/>
          <w:color w:val="auto"/>
        </w:rPr>
      </w:pPr>
      <w:r>
        <w:rPr>
          <w:rFonts w:ascii="Arial" w:cs="Arial" w:eastAsia="Arial" w:hAnsi="Arial"/>
          <w:sz w:val="21"/>
          <w:szCs w:val="21"/>
          <w:color w:val="auto"/>
        </w:rPr>
        <w:t>In the event of the Participant's Disability, all Awards (or portions thereof) held by such Participant will be retained and any RSU awards will be subject to the payment and delivery provisions set forth in Section 6(c). The retained RSU Award (or portion thereof) will be settled in the form provided in Section 6(e).</w:t>
      </w:r>
    </w:p>
    <w:p>
      <w:pPr>
        <w:spacing w:after="0" w:line="208" w:lineRule="exact"/>
        <w:rPr>
          <w:rFonts w:ascii="Arial" w:cs="Arial" w:eastAsia="Arial" w:hAnsi="Arial"/>
          <w:sz w:val="21"/>
          <w:szCs w:val="21"/>
          <w:color w:val="auto"/>
        </w:rPr>
      </w:pPr>
    </w:p>
    <w:p>
      <w:pPr>
        <w:ind w:left="640" w:right="40" w:firstLine="969"/>
        <w:spacing w:after="0" w:line="288" w:lineRule="auto"/>
        <w:tabs>
          <w:tab w:leader="none" w:pos="2315" w:val="left"/>
        </w:tabs>
        <w:numPr>
          <w:ilvl w:val="1"/>
          <w:numId w:val="86"/>
        </w:numPr>
        <w:rPr>
          <w:rFonts w:ascii="Arial" w:cs="Arial" w:eastAsia="Arial" w:hAnsi="Arial"/>
          <w:sz w:val="19"/>
          <w:szCs w:val="19"/>
          <w:color w:val="auto"/>
        </w:rPr>
      </w:pPr>
      <w:r>
        <w:rPr>
          <w:rFonts w:ascii="Arial" w:cs="Arial" w:eastAsia="Arial" w:hAnsi="Arial"/>
          <w:sz w:val="19"/>
          <w:szCs w:val="19"/>
          <w:color w:val="auto"/>
        </w:rPr>
        <w:t>In the case of any Award which is not a TARP Award, in the event that the Participant retires from the Company at age 55 or older with ten or more years of service (or equivalent retirement eligibility in countries outside the United States) or for Awards granted after March 15, 2010 , retirement at age 55 or older with ten or more years of service (or equivalent retirement eligibility in countries outside the United States) or age 62 or older, subject to other terms and conditions of the Plan, a pro rata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retirement and the denominator of which is the number of months from the Grant Date to the date on which such Award would have become nonforfeitable in accordance with Section 6(b). In no event will such fraction exceed 1.0. Any retained RSU Awards will be settled on the Settlement Date in the form provided in Section 6(e).</w:t>
      </w:r>
    </w:p>
    <w:p>
      <w:pPr>
        <w:spacing w:after="0" w:line="200" w:lineRule="exact"/>
        <w:rPr>
          <w:rFonts w:ascii="Arial" w:cs="Arial" w:eastAsia="Arial" w:hAnsi="Arial"/>
          <w:sz w:val="19"/>
          <w:szCs w:val="19"/>
          <w:color w:val="auto"/>
        </w:rPr>
      </w:pPr>
    </w:p>
    <w:p>
      <w:pPr>
        <w:ind w:left="640" w:right="20" w:firstLine="969"/>
        <w:spacing w:after="0" w:line="302" w:lineRule="auto"/>
        <w:tabs>
          <w:tab w:leader="none" w:pos="2303" w:val="left"/>
        </w:tabs>
        <w:numPr>
          <w:ilvl w:val="1"/>
          <w:numId w:val="86"/>
        </w:numPr>
        <w:rPr>
          <w:rFonts w:ascii="Arial" w:cs="Arial" w:eastAsia="Arial" w:hAnsi="Arial"/>
          <w:sz w:val="19"/>
          <w:szCs w:val="19"/>
          <w:color w:val="auto"/>
        </w:rPr>
      </w:pPr>
      <w:r>
        <w:rPr>
          <w:rFonts w:ascii="Arial" w:cs="Arial" w:eastAsia="Arial" w:hAnsi="Arial"/>
          <w:sz w:val="19"/>
          <w:szCs w:val="19"/>
          <w:color w:val="auto"/>
        </w:rPr>
        <w:t>In the case of any TARP Award, in the event that the Participant retires from the Company at age 55 or older with ten or more years of service (or equivalent retirement eligibility in countries outside the United States) or for Awards granted after March 15, 2010 , the Participant retires at age 55 or older with ten or more years of service (or equivalent retirement eligibility in countries outside the United States) or age 62 or older, and such Participant has remained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591" w:right="259" w:bottom="1440" w:gutter="0" w:footer="0" w:header="0"/>
        </w:sectPr>
      </w:pPr>
    </w:p>
    <w:bookmarkStart w:id="101" w:name="page102"/>
    <w:bookmarkEnd w:id="101"/>
    <w:p>
      <w:pPr>
        <w:ind w:left="600" w:right="20"/>
        <w:spacing w:after="0" w:line="260" w:lineRule="auto"/>
        <w:rPr>
          <w:sz w:val="20"/>
          <w:szCs w:val="20"/>
          <w:color w:val="auto"/>
        </w:rPr>
      </w:pPr>
      <w:r>
        <w:rPr>
          <w:rFonts w:ascii="Arial" w:cs="Arial" w:eastAsia="Arial" w:hAnsi="Arial"/>
          <w:sz w:val="21"/>
          <w:szCs w:val="21"/>
          <w:color w:val="auto"/>
        </w:rPr>
        <w:t>continuously employed for two years from the Grant Date, subject to other terms and conditions of the Plan, a prorated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retirement and the denominator of which is the number of months from the Grant Date to the date on which such Award would have become nonforfeitable in accordance with Section 6(b). In no event will such fraction exceed 1.0. Any retained RSU Awards will be settled on the Settlement Date in the form provided in Section 6(e).</w:t>
      </w:r>
    </w:p>
    <w:p>
      <w:pPr>
        <w:spacing w:after="0" w:line="222" w:lineRule="exact"/>
        <w:rPr>
          <w:sz w:val="20"/>
          <w:szCs w:val="20"/>
          <w:color w:val="auto"/>
        </w:rPr>
      </w:pPr>
    </w:p>
    <w:p>
      <w:pPr>
        <w:ind w:left="600" w:right="140" w:firstLine="969"/>
        <w:spacing w:after="0" w:line="253" w:lineRule="auto"/>
        <w:tabs>
          <w:tab w:leader="none" w:pos="2203" w:val="left"/>
        </w:tabs>
        <w:numPr>
          <w:ilvl w:val="1"/>
          <w:numId w:val="87"/>
        </w:numPr>
        <w:rPr>
          <w:rFonts w:ascii="Arial" w:cs="Arial" w:eastAsia="Arial" w:hAnsi="Arial"/>
          <w:sz w:val="22"/>
          <w:szCs w:val="22"/>
          <w:color w:val="auto"/>
        </w:rPr>
      </w:pPr>
      <w:r>
        <w:rPr>
          <w:rFonts w:ascii="Arial" w:cs="Arial" w:eastAsia="Arial" w:hAnsi="Arial"/>
          <w:sz w:val="22"/>
          <w:szCs w:val="22"/>
          <w:color w:val="auto"/>
        </w:rPr>
        <w:t>Notwithstanding the above provisions, any Participant who retires or separates from the Company or a Subsidiary under the terms of an approved separation agreement or program will not be entitled to retain any portion of an Award.</w:t>
      </w:r>
    </w:p>
    <w:p>
      <w:pPr>
        <w:spacing w:after="0" w:line="226" w:lineRule="exact"/>
        <w:rPr>
          <w:rFonts w:ascii="Arial" w:cs="Arial" w:eastAsia="Arial" w:hAnsi="Arial"/>
          <w:sz w:val="22"/>
          <w:szCs w:val="22"/>
          <w:color w:val="auto"/>
        </w:rPr>
      </w:pPr>
    </w:p>
    <w:p>
      <w:pPr>
        <w:jc w:val="both"/>
        <w:ind w:left="-60" w:right="20" w:firstLine="832"/>
        <w:spacing w:after="0" w:line="297" w:lineRule="auto"/>
        <w:tabs>
          <w:tab w:leader="none" w:pos="1463" w:val="left"/>
        </w:tabs>
        <w:numPr>
          <w:ilvl w:val="0"/>
          <w:numId w:val="88"/>
        </w:numPr>
        <w:rPr>
          <w:rFonts w:ascii="Arial" w:cs="Arial" w:eastAsia="Arial" w:hAnsi="Arial"/>
          <w:sz w:val="19"/>
          <w:szCs w:val="19"/>
          <w:color w:val="auto"/>
        </w:rPr>
      </w:pPr>
      <w:r>
        <w:rPr>
          <w:rFonts w:ascii="Arial" w:cs="Arial" w:eastAsia="Arial" w:hAnsi="Arial"/>
          <w:sz w:val="19"/>
          <w:szCs w:val="19"/>
          <w:i w:val="1"/>
          <w:iCs w:val="1"/>
          <w:color w:val="auto"/>
        </w:rPr>
        <w:t>Form of Settlement</w:t>
      </w:r>
      <w:r>
        <w:rPr>
          <w:rFonts w:ascii="Arial" w:cs="Arial" w:eastAsia="Arial" w:hAnsi="Arial"/>
          <w:sz w:val="19"/>
          <w:szCs w:val="19"/>
          <w:color w:val="auto"/>
        </w:rPr>
        <w:t>. Each RSU Award shall be settled on any applicable Settlement Date by delivery of Shares. If</w:t>
      </w:r>
      <w:r>
        <w:rPr>
          <w:rFonts w:ascii="Arial" w:cs="Arial" w:eastAsia="Arial" w:hAnsi="Arial"/>
          <w:sz w:val="19"/>
          <w:szCs w:val="19"/>
          <w:i w:val="1"/>
          <w:iCs w:val="1"/>
          <w:color w:val="auto"/>
        </w:rPr>
        <w:t xml:space="preserve"> </w:t>
      </w:r>
      <w:r>
        <w:rPr>
          <w:rFonts w:ascii="Arial" w:cs="Arial" w:eastAsia="Arial" w:hAnsi="Arial"/>
          <w:sz w:val="19"/>
          <w:szCs w:val="19"/>
          <w:color w:val="auto"/>
        </w:rPr>
        <w:t>a Settlement Date for any RSU Award occurs prior to the date which is six months following the consummation of an underwritten public offering of Shares, the Award shall be settled by the delivery of the Fair Market Value of Shares, in cash. Such delivery shall take place promptly after the applicable Settlement Date; provided, however, that such delivery shall be made in all events not later than December 31 of the calendar year in which such Settlement Date occurs.</w:t>
      </w:r>
    </w:p>
    <w:p>
      <w:pPr>
        <w:spacing w:after="0" w:line="187" w:lineRule="exact"/>
        <w:rPr>
          <w:rFonts w:ascii="Arial" w:cs="Arial" w:eastAsia="Arial" w:hAnsi="Arial"/>
          <w:sz w:val="19"/>
          <w:szCs w:val="19"/>
          <w:color w:val="auto"/>
        </w:rPr>
      </w:pPr>
    </w:p>
    <w:p>
      <w:pPr>
        <w:ind w:left="-60" w:firstLine="832"/>
        <w:spacing w:after="0" w:line="287" w:lineRule="auto"/>
        <w:tabs>
          <w:tab w:leader="none" w:pos="1439" w:val="left"/>
        </w:tabs>
        <w:numPr>
          <w:ilvl w:val="0"/>
          <w:numId w:val="88"/>
        </w:numPr>
        <w:rPr>
          <w:rFonts w:ascii="Arial" w:cs="Arial" w:eastAsia="Arial" w:hAnsi="Arial"/>
          <w:sz w:val="21"/>
          <w:szCs w:val="21"/>
          <w:color w:val="auto"/>
        </w:rPr>
      </w:pPr>
      <w:r>
        <w:rPr>
          <w:rFonts w:ascii="Arial" w:cs="Arial" w:eastAsia="Arial" w:hAnsi="Arial"/>
          <w:sz w:val="21"/>
          <w:szCs w:val="21"/>
          <w:i w:val="1"/>
          <w:iCs w:val="1"/>
          <w:color w:val="auto"/>
        </w:rPr>
        <w:t>No Rights of a Shareholder</w:t>
      </w:r>
      <w:r>
        <w:rPr>
          <w:rFonts w:ascii="Arial" w:cs="Arial" w:eastAsia="Arial" w:hAnsi="Arial"/>
          <w:sz w:val="21"/>
          <w:szCs w:val="21"/>
          <w:color w:val="auto"/>
        </w:rPr>
        <w:t>. No holder of any RSU Award shall have any rights to dividends or any other rights of</w:t>
      </w:r>
      <w:r>
        <w:rPr>
          <w:rFonts w:ascii="Arial" w:cs="Arial" w:eastAsia="Arial" w:hAnsi="Arial"/>
          <w:sz w:val="21"/>
          <w:szCs w:val="21"/>
          <w:i w:val="1"/>
          <w:iCs w:val="1"/>
          <w:color w:val="auto"/>
        </w:rPr>
        <w:t xml:space="preserve"> </w:t>
      </w:r>
      <w:r>
        <w:rPr>
          <w:rFonts w:ascii="Arial" w:cs="Arial" w:eastAsia="Arial" w:hAnsi="Arial"/>
          <w:sz w:val="21"/>
          <w:szCs w:val="21"/>
          <w:color w:val="auto"/>
        </w:rPr>
        <w:t>a stockholder with respect to Shares subject to the Award prior to becoming the record owner of such Shares.</w:t>
      </w:r>
    </w:p>
    <w:p>
      <w:pPr>
        <w:spacing w:after="0" w:line="192" w:lineRule="exact"/>
        <w:rPr>
          <w:rFonts w:ascii="Arial" w:cs="Arial" w:eastAsia="Arial" w:hAnsi="Arial"/>
          <w:sz w:val="21"/>
          <w:szCs w:val="21"/>
          <w:color w:val="auto"/>
        </w:rPr>
      </w:pPr>
    </w:p>
    <w:p>
      <w:pPr>
        <w:ind w:left="-60" w:right="60" w:firstLine="832"/>
        <w:spacing w:after="0" w:line="253" w:lineRule="auto"/>
        <w:tabs>
          <w:tab w:leader="none" w:pos="1475"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Leave of Absence</w:t>
      </w:r>
      <w:r>
        <w:rPr>
          <w:rFonts w:ascii="Arial" w:cs="Arial" w:eastAsia="Arial" w:hAnsi="Arial"/>
          <w:sz w:val="22"/>
          <w:szCs w:val="22"/>
          <w:color w:val="auto"/>
        </w:rPr>
        <w:t>. Notwithstanding Section 6(d), a qualifying leave of absence shall not constitute a termination</w:t>
      </w:r>
      <w:r>
        <w:rPr>
          <w:rFonts w:ascii="Arial" w:cs="Arial" w:eastAsia="Arial" w:hAnsi="Arial"/>
          <w:sz w:val="22"/>
          <w:szCs w:val="22"/>
          <w:i w:val="1"/>
          <w:iCs w:val="1"/>
          <w:color w:val="auto"/>
        </w:rPr>
        <w:t xml:space="preserve"> </w:t>
      </w:r>
      <w:r>
        <w:rPr>
          <w:rFonts w:ascii="Arial" w:cs="Arial" w:eastAsia="Arial" w:hAnsi="Arial"/>
          <w:sz w:val="22"/>
          <w:szCs w:val="22"/>
          <w:color w:val="auto"/>
        </w:rPr>
        <w:t>of employment. A Participant's absence or leave shall be deemed to be a qualifying leave of absence if approved by the Committee in its sole discretion.</w:t>
      </w:r>
    </w:p>
    <w:p>
      <w:pPr>
        <w:spacing w:after="0" w:line="226" w:lineRule="exact"/>
        <w:rPr>
          <w:sz w:val="20"/>
          <w:szCs w:val="20"/>
          <w:color w:val="auto"/>
        </w:rPr>
      </w:pPr>
    </w:p>
    <w:p>
      <w:pPr>
        <w:ind w:left="760"/>
        <w:spacing w:after="0"/>
        <w:tabs>
          <w:tab w:leader="none" w:pos="27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i w:val="1"/>
          <w:iCs w:val="1"/>
          <w:color w:val="auto"/>
        </w:rPr>
        <w:t>Stock Options and Stock Appreciation Rights</w:t>
      </w:r>
    </w:p>
    <w:p>
      <w:pPr>
        <w:spacing w:after="0" w:line="260" w:lineRule="exact"/>
        <w:rPr>
          <w:sz w:val="20"/>
          <w:szCs w:val="20"/>
          <w:color w:val="auto"/>
        </w:rPr>
      </w:pPr>
    </w:p>
    <w:p>
      <w:pPr>
        <w:ind w:left="-60" w:right="320" w:firstLine="656"/>
        <w:spacing w:after="0" w:line="343" w:lineRule="auto"/>
        <w:tabs>
          <w:tab w:leader="none" w:pos="882" w:val="left"/>
        </w:tabs>
        <w:numPr>
          <w:ilvl w:val="0"/>
          <w:numId w:val="89"/>
        </w:numPr>
        <w:rPr>
          <w:rFonts w:ascii="Arial" w:cs="Arial" w:eastAsia="Arial" w:hAnsi="Arial"/>
          <w:sz w:val="19"/>
          <w:szCs w:val="19"/>
          <w:color w:val="auto"/>
        </w:rPr>
      </w:pPr>
      <w:r>
        <w:rPr>
          <w:rFonts w:ascii="Arial" w:cs="Arial" w:eastAsia="Arial" w:hAnsi="Arial"/>
          <w:sz w:val="19"/>
          <w:szCs w:val="19"/>
          <w:i w:val="1"/>
          <w:iCs w:val="1"/>
          <w:color w:val="auto"/>
        </w:rPr>
        <w:t xml:space="preserve">Grant Price. </w:t>
      </w:r>
      <w:r>
        <w:rPr>
          <w:rFonts w:ascii="Arial" w:cs="Arial" w:eastAsia="Arial" w:hAnsi="Arial"/>
          <w:sz w:val="19"/>
          <w:szCs w:val="19"/>
          <w:color w:val="auto"/>
        </w:rPr>
        <w:t>The Grant Price of any Option or SAR shall not be less than the Fair Market Value (and in no event less</w:t>
      </w:r>
      <w:r>
        <w:rPr>
          <w:rFonts w:ascii="Arial" w:cs="Arial" w:eastAsia="Arial" w:hAnsi="Arial"/>
          <w:sz w:val="19"/>
          <w:szCs w:val="19"/>
          <w:i w:val="1"/>
          <w:iCs w:val="1"/>
          <w:color w:val="auto"/>
        </w:rPr>
        <w:t xml:space="preserve"> </w:t>
      </w:r>
      <w:r>
        <w:rPr>
          <w:rFonts w:ascii="Arial" w:cs="Arial" w:eastAsia="Arial" w:hAnsi="Arial"/>
          <w:sz w:val="19"/>
          <w:szCs w:val="19"/>
          <w:color w:val="auto"/>
        </w:rPr>
        <w:t>than the par value) of the Shares on the date the Option or SAR is granted, except in the case of Substitute Awards.</w:t>
      </w:r>
    </w:p>
    <w:p>
      <w:pPr>
        <w:spacing w:after="0" w:line="104" w:lineRule="exact"/>
        <w:rPr>
          <w:rFonts w:ascii="Arial" w:cs="Arial" w:eastAsia="Arial" w:hAnsi="Arial"/>
          <w:sz w:val="19"/>
          <w:szCs w:val="19"/>
          <w:color w:val="auto"/>
        </w:rPr>
      </w:pPr>
    </w:p>
    <w:p>
      <w:pPr>
        <w:jc w:val="both"/>
        <w:ind w:left="-60" w:right="40" w:firstLine="656"/>
        <w:spacing w:after="0" w:line="250" w:lineRule="auto"/>
        <w:tabs>
          <w:tab w:leader="none" w:pos="894" w:val="left"/>
        </w:tabs>
        <w:numPr>
          <w:ilvl w:val="0"/>
          <w:numId w:val="89"/>
        </w:numPr>
        <w:rPr>
          <w:rFonts w:ascii="Arial" w:cs="Arial" w:eastAsia="Arial" w:hAnsi="Arial"/>
          <w:sz w:val="22"/>
          <w:szCs w:val="22"/>
          <w:color w:val="auto"/>
        </w:rPr>
      </w:pPr>
      <w:r>
        <w:rPr>
          <w:rFonts w:ascii="Arial" w:cs="Arial" w:eastAsia="Arial" w:hAnsi="Arial"/>
          <w:sz w:val="22"/>
          <w:szCs w:val="22"/>
          <w:i w:val="1"/>
          <w:iCs w:val="1"/>
          <w:color w:val="auto"/>
        </w:rPr>
        <w:t xml:space="preserve">ISO; Nonqualified Option. </w:t>
      </w:r>
      <w:r>
        <w:rPr>
          <w:rFonts w:ascii="Arial" w:cs="Arial" w:eastAsia="Arial" w:hAnsi="Arial"/>
          <w:sz w:val="22"/>
          <w:szCs w:val="22"/>
          <w:color w:val="auto"/>
        </w:rPr>
        <w:t>Determination as to whether Options granted shall be “Incentive Stock Options” (“ISO's),</w:t>
      </w:r>
      <w:r>
        <w:rPr>
          <w:rFonts w:ascii="Arial" w:cs="Arial" w:eastAsia="Arial" w:hAnsi="Arial"/>
          <w:sz w:val="22"/>
          <w:szCs w:val="22"/>
          <w:i w:val="1"/>
          <w:iCs w:val="1"/>
          <w:color w:val="auto"/>
        </w:rPr>
        <w:t xml:space="preserve"> </w:t>
      </w:r>
      <w:r>
        <w:rPr>
          <w:rFonts w:ascii="Arial" w:cs="Arial" w:eastAsia="Arial" w:hAnsi="Arial"/>
          <w:sz w:val="22"/>
          <w:szCs w:val="22"/>
          <w:color w:val="auto"/>
        </w:rPr>
        <w:t>Nonqualified Stock Options, and as to any restrictions which shall be placed on Options, shall be made by the Committee under such procedures as it may, from time to time, determine and each Option granted hereunder shall be identified as either an ISO or a Nonqualified Stock Option at the time of grant.</w:t>
      </w:r>
    </w:p>
    <w:p>
      <w:pPr>
        <w:spacing w:after="0" w:line="188" w:lineRule="exact"/>
        <w:rPr>
          <w:rFonts w:ascii="Arial" w:cs="Arial" w:eastAsia="Arial" w:hAnsi="Arial"/>
          <w:sz w:val="22"/>
          <w:szCs w:val="22"/>
          <w:color w:val="auto"/>
        </w:rPr>
      </w:pPr>
    </w:p>
    <w:p>
      <w:pPr>
        <w:ind w:left="-60" w:right="700" w:firstLine="656"/>
        <w:spacing w:after="0" w:line="263" w:lineRule="auto"/>
        <w:tabs>
          <w:tab w:leader="none" w:pos="882" w:val="left"/>
        </w:tabs>
        <w:numPr>
          <w:ilvl w:val="0"/>
          <w:numId w:val="89"/>
        </w:numPr>
        <w:rPr>
          <w:rFonts w:ascii="Arial" w:cs="Arial" w:eastAsia="Arial" w:hAnsi="Arial"/>
          <w:sz w:val="22"/>
          <w:szCs w:val="22"/>
          <w:color w:val="auto"/>
        </w:rPr>
      </w:pPr>
      <w:r>
        <w:rPr>
          <w:rFonts w:ascii="Arial" w:cs="Arial" w:eastAsia="Arial" w:hAnsi="Arial"/>
          <w:sz w:val="22"/>
          <w:szCs w:val="22"/>
          <w:i w:val="1"/>
          <w:iCs w:val="1"/>
          <w:color w:val="auto"/>
        </w:rPr>
        <w:t>Terms of Options or Stock Appreciation Rights</w:t>
      </w:r>
      <w:r>
        <w:rPr>
          <w:rFonts w:ascii="Arial" w:cs="Arial" w:eastAsia="Arial" w:hAnsi="Arial"/>
          <w:sz w:val="22"/>
          <w:szCs w:val="22"/>
          <w:color w:val="auto"/>
        </w:rPr>
        <w:t>. Options and SARs granted under this Plan shall be subject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provisions, except as otherwise determined by the Committee:</w:t>
      </w:r>
    </w:p>
    <w:p>
      <w:pPr>
        <w:spacing w:after="0" w:line="174" w:lineRule="exact"/>
        <w:rPr>
          <w:rFonts w:ascii="Arial" w:cs="Arial" w:eastAsia="Arial" w:hAnsi="Arial"/>
          <w:sz w:val="22"/>
          <w:szCs w:val="22"/>
          <w:color w:val="auto"/>
        </w:rPr>
      </w:pPr>
    </w:p>
    <w:p>
      <w:pPr>
        <w:ind w:left="600" w:right="320" w:firstLine="645"/>
        <w:spacing w:after="0" w:line="302" w:lineRule="auto"/>
        <w:tabs>
          <w:tab w:leader="none" w:pos="1506" w:val="left"/>
        </w:tabs>
        <w:numPr>
          <w:ilvl w:val="1"/>
          <w:numId w:val="89"/>
        </w:numPr>
        <w:rPr>
          <w:rFonts w:ascii="Arial" w:cs="Arial" w:eastAsia="Arial" w:hAnsi="Arial"/>
          <w:sz w:val="19"/>
          <w:szCs w:val="19"/>
          <w:color w:val="auto"/>
        </w:rPr>
      </w:pPr>
      <w:r>
        <w:rPr>
          <w:rFonts w:ascii="Arial" w:cs="Arial" w:eastAsia="Arial" w:hAnsi="Arial"/>
          <w:sz w:val="19"/>
          <w:szCs w:val="19"/>
          <w:color w:val="auto"/>
        </w:rPr>
        <w:t>Vesting and Exercise. Except in the case of death or except as set forth in Section 7(c)(iii)(B) or as set forth in Section 9, no Option or SAR shall vest or become exercisable prior to the first anniversary of the “Grant Date” (or such other date as may be established by the Committee or its delegate(s)); and after such date Options or SARs shall be exercisable only in accordance with the terms and conditions established at the time of grant and reflected in the Award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300" w:top="591" w:right="279" w:bottom="1440" w:gutter="0" w:footer="0" w:header="0"/>
        </w:sectPr>
      </w:pPr>
    </w:p>
    <w:bookmarkStart w:id="102" w:name="page103"/>
    <w:bookmarkEnd w:id="102"/>
    <w:p>
      <w:pPr>
        <w:ind w:right="260"/>
        <w:spacing w:after="0" w:line="302" w:lineRule="auto"/>
        <w:rPr>
          <w:sz w:val="20"/>
          <w:szCs w:val="20"/>
          <w:color w:val="auto"/>
        </w:rPr>
      </w:pPr>
      <w:r>
        <w:rPr>
          <w:rFonts w:ascii="Arial" w:cs="Arial" w:eastAsia="Arial" w:hAnsi="Arial"/>
          <w:sz w:val="19"/>
          <w:szCs w:val="19"/>
          <w:color w:val="auto"/>
        </w:rPr>
        <w:t>Agreement. Unless otherwise specified in the Award Agreement, beginning on the first anniversary of the Grant Date, Options or SARs will vest and become exercisable in one-third increments. Subject to paragraph 7(c)(iii), each increment will first vest and become exercisable on the first, second and third anniversaries of the Grant Date, respectively. Upon becoming exercisable, the Option or SAR will remain exercisable until expiration, except as set for in Section 7(c)(iii).</w:t>
      </w:r>
    </w:p>
    <w:p>
      <w:pPr>
        <w:spacing w:after="0" w:line="143" w:lineRule="exact"/>
        <w:rPr>
          <w:sz w:val="20"/>
          <w:szCs w:val="20"/>
          <w:color w:val="auto"/>
        </w:rPr>
      </w:pPr>
    </w:p>
    <w:p>
      <w:pPr>
        <w:ind w:right="320" w:firstLine="645"/>
        <w:spacing w:after="0" w:line="287" w:lineRule="auto"/>
        <w:tabs>
          <w:tab w:leader="none" w:pos="966" w:val="left"/>
        </w:tabs>
        <w:numPr>
          <w:ilvl w:val="0"/>
          <w:numId w:val="90"/>
        </w:numPr>
        <w:rPr>
          <w:rFonts w:ascii="Arial" w:cs="Arial" w:eastAsia="Arial" w:hAnsi="Arial"/>
          <w:sz w:val="21"/>
          <w:szCs w:val="21"/>
          <w:color w:val="auto"/>
        </w:rPr>
      </w:pPr>
      <w:r>
        <w:rPr>
          <w:rFonts w:ascii="Arial" w:cs="Arial" w:eastAsia="Arial" w:hAnsi="Arial"/>
          <w:sz w:val="21"/>
          <w:szCs w:val="21"/>
          <w:color w:val="auto"/>
        </w:rPr>
        <w:t>Term of Options or SARs. The normal expiration date of an Option or SAR shall be determined at the time of grant, provided that each Option or SAR shall expire not more than ten years after the Grant Date.</w:t>
      </w:r>
    </w:p>
    <w:p>
      <w:pPr>
        <w:spacing w:after="0" w:line="151" w:lineRule="exact"/>
        <w:rPr>
          <w:rFonts w:ascii="Arial" w:cs="Arial" w:eastAsia="Arial" w:hAnsi="Arial"/>
          <w:sz w:val="21"/>
          <w:szCs w:val="21"/>
          <w:color w:val="auto"/>
        </w:rPr>
      </w:pPr>
    </w:p>
    <w:p>
      <w:pPr>
        <w:ind w:right="140" w:firstLine="645"/>
        <w:spacing w:after="0" w:line="253" w:lineRule="auto"/>
        <w:tabs>
          <w:tab w:leader="none" w:pos="1026" w:val="left"/>
        </w:tabs>
        <w:numPr>
          <w:ilvl w:val="0"/>
          <w:numId w:val="90"/>
        </w:numPr>
        <w:rPr>
          <w:rFonts w:ascii="Arial" w:cs="Arial" w:eastAsia="Arial" w:hAnsi="Arial"/>
          <w:sz w:val="22"/>
          <w:szCs w:val="22"/>
          <w:color w:val="auto"/>
        </w:rPr>
      </w:pPr>
      <w:r>
        <w:rPr>
          <w:rFonts w:ascii="Arial" w:cs="Arial" w:eastAsia="Arial" w:hAnsi="Arial"/>
          <w:sz w:val="22"/>
          <w:szCs w:val="22"/>
          <w:color w:val="auto"/>
        </w:rPr>
        <w:t>Termination of Employment. Except as set forth in this subsection, upon the termination of a Participant's employment, any Award (or portion thereof) held by such Participant that has not vested in accordance with Section 7(c)(i) at the time of such termination shall be forfeited</w:t>
      </w:r>
    </w:p>
    <w:p>
      <w:pPr>
        <w:spacing w:after="0" w:line="185" w:lineRule="exact"/>
        <w:rPr>
          <w:rFonts w:ascii="Arial" w:cs="Arial" w:eastAsia="Arial" w:hAnsi="Arial"/>
          <w:sz w:val="22"/>
          <w:szCs w:val="22"/>
          <w:color w:val="auto"/>
        </w:rPr>
      </w:pPr>
    </w:p>
    <w:p>
      <w:pPr>
        <w:jc w:val="both"/>
        <w:ind w:left="640" w:right="60" w:firstLine="329"/>
        <w:spacing w:after="0" w:line="250" w:lineRule="auto"/>
        <w:tabs>
          <w:tab w:leader="none" w:pos="1318" w:val="left"/>
        </w:tabs>
        <w:numPr>
          <w:ilvl w:val="1"/>
          <w:numId w:val="90"/>
        </w:numPr>
        <w:rPr>
          <w:rFonts w:ascii="Arial" w:cs="Arial" w:eastAsia="Arial" w:hAnsi="Arial"/>
          <w:sz w:val="22"/>
          <w:szCs w:val="22"/>
          <w:color w:val="auto"/>
        </w:rPr>
      </w:pPr>
      <w:r>
        <w:rPr>
          <w:rFonts w:ascii="Arial" w:cs="Arial" w:eastAsia="Arial" w:hAnsi="Arial"/>
          <w:sz w:val="22"/>
          <w:szCs w:val="22"/>
          <w:color w:val="auto"/>
        </w:rPr>
        <w:t>If the Employee quits employment with the Company or is terminated by the Company for inadequate job performance, or for willful misconduct harmful to the Company, all unvested and vested Options or SARs held by such Participant shall be forfeited as of the date of such termination, or if earlier, as of the date that such grounds for termination by the Company first exist.</w:t>
      </w:r>
    </w:p>
    <w:p>
      <w:pPr>
        <w:spacing w:after="0" w:line="188" w:lineRule="exact"/>
        <w:rPr>
          <w:rFonts w:ascii="Arial" w:cs="Arial" w:eastAsia="Arial" w:hAnsi="Arial"/>
          <w:sz w:val="22"/>
          <w:szCs w:val="22"/>
          <w:color w:val="auto"/>
        </w:rPr>
      </w:pPr>
    </w:p>
    <w:p>
      <w:pPr>
        <w:ind w:left="640" w:right="200" w:firstLine="329"/>
        <w:spacing w:after="0" w:line="292" w:lineRule="auto"/>
        <w:tabs>
          <w:tab w:leader="none" w:pos="1306"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the Employee retires from the Company at age 55 or older with ten or more years of credited service (or for a Participant who is a tax resident of a location outside the United States at equivalent normal retirement age in such country) or age 62 or older in the United States, subject to the other terms and conditions of the Plan, all Options or SARs will vest immediately, and will be exercisable until the expiration date of such Option. Notwithstanding this provision, the Committee may from time to time determine in its discretion that holders of Options or SARs retiring from the Company during specified time periods under specified circumstances may vest in and retain some portion of their Options or SARs granted in the year the retirement occurs.</w:t>
      </w:r>
    </w:p>
    <w:p>
      <w:pPr>
        <w:spacing w:after="0" w:line="151" w:lineRule="exact"/>
        <w:rPr>
          <w:rFonts w:ascii="Arial" w:cs="Arial" w:eastAsia="Arial" w:hAnsi="Arial"/>
          <w:sz w:val="19"/>
          <w:szCs w:val="19"/>
          <w:color w:val="auto"/>
        </w:rPr>
      </w:pPr>
    </w:p>
    <w:p>
      <w:pPr>
        <w:ind w:left="640" w:right="240" w:firstLine="329"/>
        <w:spacing w:after="0" w:line="287" w:lineRule="auto"/>
        <w:tabs>
          <w:tab w:leader="none" w:pos="1306" w:val="left"/>
        </w:tabs>
        <w:numPr>
          <w:ilvl w:val="1"/>
          <w:numId w:val="90"/>
        </w:numPr>
        <w:rPr>
          <w:rFonts w:ascii="Arial" w:cs="Arial" w:eastAsia="Arial" w:hAnsi="Arial"/>
          <w:sz w:val="21"/>
          <w:szCs w:val="21"/>
          <w:color w:val="auto"/>
        </w:rPr>
      </w:pPr>
      <w:r>
        <w:rPr>
          <w:rFonts w:ascii="Arial" w:cs="Arial" w:eastAsia="Arial" w:hAnsi="Arial"/>
          <w:sz w:val="21"/>
          <w:szCs w:val="21"/>
          <w:color w:val="auto"/>
        </w:rPr>
        <w:t>If employment is terminated by reason of death, all Options shall immediately vest and remain exercisable until the third anniversary of the date of death or, if earlier, the expiration date of such Option.</w:t>
      </w:r>
    </w:p>
    <w:p>
      <w:pPr>
        <w:spacing w:after="0" w:line="151" w:lineRule="exact"/>
        <w:rPr>
          <w:rFonts w:ascii="Arial" w:cs="Arial" w:eastAsia="Arial" w:hAnsi="Arial"/>
          <w:sz w:val="21"/>
          <w:szCs w:val="21"/>
          <w:color w:val="auto"/>
        </w:rPr>
      </w:pPr>
    </w:p>
    <w:p>
      <w:pPr>
        <w:ind w:left="640" w:right="40" w:firstLine="329"/>
        <w:spacing w:after="0" w:line="312" w:lineRule="auto"/>
        <w:tabs>
          <w:tab w:leader="none" w:pos="1318"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an employee becomes disabled, Options will continue to vest and become exercisable in accordance with the original terms of the grant while the Employee remains on the disability leave and, subject to the other terms and conditions of the Plan, vested Options will remain exercisable for the full remaining term.</w:t>
      </w:r>
    </w:p>
    <w:p>
      <w:pPr>
        <w:spacing w:after="0" w:line="133" w:lineRule="exact"/>
        <w:rPr>
          <w:rFonts w:ascii="Arial" w:cs="Arial" w:eastAsia="Arial" w:hAnsi="Arial"/>
          <w:sz w:val="19"/>
          <w:szCs w:val="19"/>
          <w:color w:val="auto"/>
        </w:rPr>
      </w:pPr>
    </w:p>
    <w:p>
      <w:pPr>
        <w:ind w:left="640" w:right="40" w:firstLine="329"/>
        <w:spacing w:after="0" w:line="302" w:lineRule="auto"/>
        <w:tabs>
          <w:tab w:leader="none" w:pos="1294"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employment terminates for any reason other than as set forth above (including, for the avoidance of doubt, retirement not meeting the conditions set forth in Section 7(c)(iii)(B) or other voluntary termination with the consent of the Company), subject to the other terms and conditions of the Plan, all vested Options will remain exercisable until the third anniversary of the date of termination of employment or, if earlier, the expiration date of such Option.</w:t>
      </w:r>
    </w:p>
    <w:p>
      <w:pPr>
        <w:spacing w:after="0" w:line="142" w:lineRule="exact"/>
        <w:rPr>
          <w:rFonts w:ascii="Arial" w:cs="Arial" w:eastAsia="Arial" w:hAnsi="Arial"/>
          <w:sz w:val="19"/>
          <w:szCs w:val="19"/>
          <w:color w:val="auto"/>
        </w:rPr>
      </w:pPr>
    </w:p>
    <w:p>
      <w:pPr>
        <w:ind w:left="640" w:firstLine="329"/>
        <w:spacing w:after="0" w:line="253" w:lineRule="auto"/>
        <w:tabs>
          <w:tab w:leader="none" w:pos="1282" w:val="left"/>
        </w:tabs>
        <w:numPr>
          <w:ilvl w:val="1"/>
          <w:numId w:val="90"/>
        </w:numPr>
        <w:rPr>
          <w:rFonts w:ascii="Arial" w:cs="Arial" w:eastAsia="Arial" w:hAnsi="Arial"/>
          <w:sz w:val="22"/>
          <w:szCs w:val="22"/>
          <w:color w:val="auto"/>
        </w:rPr>
      </w:pPr>
      <w:r>
        <w:rPr>
          <w:rFonts w:ascii="Arial" w:cs="Arial" w:eastAsia="Arial" w:hAnsi="Arial"/>
          <w:sz w:val="22"/>
          <w:szCs w:val="22"/>
          <w:color w:val="auto"/>
        </w:rPr>
        <w:t>If employment terminates for any reason (other than death) prior to the first anniversary of the date an Option is granted, except as provided in Section 7(c)(iii)(B) the Option shall be forfeited and terminate on the date of termination of employment.</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60"/>
          </w:cols>
          <w:pgMar w:left="900" w:top="591" w:right="239" w:bottom="1440" w:gutter="0" w:footer="0" w:header="0"/>
        </w:sectPr>
      </w:pPr>
    </w:p>
    <w:bookmarkStart w:id="103" w:name="page104"/>
    <w:bookmarkEnd w:id="103"/>
    <w:p>
      <w:pPr>
        <w:ind w:left="620" w:right="720" w:firstLine="645"/>
        <w:spacing w:after="0" w:line="253" w:lineRule="auto"/>
        <w:tabs>
          <w:tab w:leader="none" w:pos="1634" w:val="left"/>
        </w:tabs>
        <w:numPr>
          <w:ilvl w:val="0"/>
          <w:numId w:val="91"/>
        </w:numPr>
        <w:rPr>
          <w:rFonts w:ascii="Arial" w:cs="Arial" w:eastAsia="Arial" w:hAnsi="Arial"/>
          <w:sz w:val="22"/>
          <w:szCs w:val="22"/>
          <w:color w:val="auto"/>
        </w:rPr>
      </w:pPr>
      <w:r>
        <w:rPr>
          <w:rFonts w:ascii="Arial" w:cs="Arial" w:eastAsia="Arial" w:hAnsi="Arial"/>
          <w:sz w:val="22"/>
          <w:szCs w:val="22"/>
          <w:color w:val="auto"/>
        </w:rPr>
        <w:t>Leave of Absence. Notwithstanding Section 7(c)(iii), a qualifying leave of absence shall not constitute a termination of employment. A Participant's absence or leave shall be deemed to be a qualifying leave of absence if approved by the Committee in its sole discretion.</w:t>
      </w:r>
    </w:p>
    <w:p>
      <w:pPr>
        <w:spacing w:after="0" w:line="185" w:lineRule="exact"/>
        <w:rPr>
          <w:rFonts w:ascii="Arial" w:cs="Arial" w:eastAsia="Arial" w:hAnsi="Arial"/>
          <w:sz w:val="22"/>
          <w:szCs w:val="22"/>
          <w:color w:val="auto"/>
        </w:rPr>
      </w:pPr>
    </w:p>
    <w:p>
      <w:pPr>
        <w:ind w:left="620" w:right="60" w:firstLine="645"/>
        <w:spacing w:after="0" w:line="261" w:lineRule="auto"/>
        <w:tabs>
          <w:tab w:leader="none" w:pos="1574" w:val="left"/>
        </w:tabs>
        <w:numPr>
          <w:ilvl w:val="0"/>
          <w:numId w:val="91"/>
        </w:numPr>
        <w:rPr>
          <w:rFonts w:ascii="Arial" w:cs="Arial" w:eastAsia="Arial" w:hAnsi="Arial"/>
          <w:sz w:val="21"/>
          <w:szCs w:val="21"/>
          <w:color w:val="auto"/>
        </w:rPr>
      </w:pPr>
      <w:r>
        <w:rPr>
          <w:rFonts w:ascii="Arial" w:cs="Arial" w:eastAsia="Arial" w:hAnsi="Arial"/>
          <w:sz w:val="21"/>
          <w:szCs w:val="21"/>
          <w:color w:val="auto"/>
        </w:rPr>
        <w:t>Payment of Exercise Price. All Shares purchased upon exercise of any Option shall be paid for in full at the time of purchase or adequate provision for such payment shall be made. Such payment shall be made (A) in cash, (B) through delivery or constructive delivery of Shares (provided that such Shares may be subject to such holding period or other requirement as the Committee may impose, (C) a combination of cash and stock or (D) through a broker-assisted cashless exercise facility if established by the Company. Any Shares delivered as a result of an Option exercise shall be valued at their Fair Market Value on the exercise date of the Option.</w:t>
      </w:r>
    </w:p>
    <w:p>
      <w:pPr>
        <w:spacing w:after="0" w:line="180" w:lineRule="exact"/>
        <w:rPr>
          <w:sz w:val="20"/>
          <w:szCs w:val="20"/>
          <w:color w:val="auto"/>
        </w:rPr>
      </w:pPr>
    </w:p>
    <w:p>
      <w:pPr>
        <w:ind w:left="780"/>
        <w:spacing w:after="0"/>
        <w:tabs>
          <w:tab w:leader="none" w:pos="27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i w:val="1"/>
          <w:iCs w:val="1"/>
          <w:color w:val="auto"/>
        </w:rPr>
        <w:t>Amendments, Termination and Recoupment.</w:t>
      </w:r>
    </w:p>
    <w:p>
      <w:pPr>
        <w:spacing w:after="0" w:line="260" w:lineRule="exact"/>
        <w:rPr>
          <w:sz w:val="20"/>
          <w:szCs w:val="20"/>
          <w:color w:val="auto"/>
        </w:rPr>
      </w:pPr>
    </w:p>
    <w:p>
      <w:pPr>
        <w:ind w:left="-40" w:firstLine="832"/>
        <w:spacing w:after="0" w:line="247" w:lineRule="auto"/>
        <w:tabs>
          <w:tab w:leader="none" w:pos="1483"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the rules of the New York Stock Exchange or such other national securities exchange as may be from time to time the principal trading market for Shares, and (ii) except as provided in Section 8(f), the consent of the affected Participant, if such action would materially impair the rights of such Participant under any outstanding Award.</w:t>
      </w:r>
    </w:p>
    <w:p>
      <w:pPr>
        <w:spacing w:after="0" w:line="234" w:lineRule="exact"/>
        <w:rPr>
          <w:rFonts w:ascii="Arial" w:cs="Arial" w:eastAsia="Arial" w:hAnsi="Arial"/>
          <w:sz w:val="22"/>
          <w:szCs w:val="22"/>
          <w:color w:val="auto"/>
        </w:rPr>
      </w:pPr>
    </w:p>
    <w:p>
      <w:pPr>
        <w:ind w:left="-40" w:right="40" w:firstLine="832"/>
        <w:spacing w:after="0" w:line="294" w:lineRule="auto"/>
        <w:tabs>
          <w:tab w:leader="none" w:pos="1495"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Committee may delegate to another committee, as it may appoint, the authority to take any action consistent with the terms of the Plan, either before or after an Award has been granted, which such other committee deems necessary or advisable to comply with any government laws or regulatory requirements of a foreign country, including, but not limited to, modifying or amending the terms and conditions governing any Awards, or establishing any local country plans as sub-plans to this Plan. In addition, under all circumstances, the Committee may make non-substantive administrative changes to the Plan so as to conform with or take advantage of governmental requirements, statutes or regulations.</w:t>
      </w:r>
    </w:p>
    <w:p>
      <w:pPr>
        <w:spacing w:after="0" w:line="190" w:lineRule="exact"/>
        <w:rPr>
          <w:rFonts w:ascii="Arial" w:cs="Arial" w:eastAsia="Arial" w:hAnsi="Arial"/>
          <w:sz w:val="19"/>
          <w:szCs w:val="19"/>
          <w:color w:val="auto"/>
        </w:rPr>
      </w:pPr>
    </w:p>
    <w:p>
      <w:pPr>
        <w:ind w:left="-40" w:right="40" w:firstLine="832"/>
        <w:spacing w:after="0" w:line="247" w:lineRule="auto"/>
        <w:tabs>
          <w:tab w:leader="none" w:pos="1483"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Committee may amend the terms of any Award and any Award Agreement theretofore granted, prospectively or retroactively, but no such amendment shall materially impair the rights of any Participant without his or her consent except as provided in Section 8(f). No such amendment shall reduce the exercise price of an outstanding Option or cancel or amend an outstanding Option for the purpose of re-pricing, replacing or re-granting such Option with an exercise price that is less than the exercise price of the original Option including cash payments in consideration of an underwater Option without stockholder approval.</w:t>
      </w:r>
    </w:p>
    <w:p>
      <w:pPr>
        <w:spacing w:after="0" w:line="234" w:lineRule="exact"/>
        <w:rPr>
          <w:rFonts w:ascii="Arial" w:cs="Arial" w:eastAsia="Arial" w:hAnsi="Arial"/>
          <w:sz w:val="22"/>
          <w:szCs w:val="22"/>
          <w:color w:val="auto"/>
        </w:rPr>
      </w:pPr>
    </w:p>
    <w:p>
      <w:pPr>
        <w:ind w:left="-40" w:firstLine="832"/>
        <w:spacing w:after="0" w:line="294" w:lineRule="auto"/>
        <w:tabs>
          <w:tab w:leader="none" w:pos="1495" w:val="left"/>
        </w:tabs>
        <w:numPr>
          <w:ilvl w:val="0"/>
          <w:numId w:val="92"/>
        </w:numPr>
        <w:rPr>
          <w:rFonts w:ascii="Arial" w:cs="Arial" w:eastAsia="Arial" w:hAnsi="Arial"/>
          <w:sz w:val="19"/>
          <w:szCs w:val="19"/>
          <w:color w:val="auto"/>
        </w:rPr>
      </w:pPr>
      <w:r>
        <w:rPr>
          <w:rFonts w:ascii="Arial" w:cs="Arial" w:eastAsia="Arial" w:hAnsi="Arial"/>
          <w:sz w:val="19"/>
          <w:szCs w:val="19"/>
          <w:color w:val="auto"/>
        </w:rPr>
        <w:t>Notwithstanding any provision of this Plan to the contrary, any Award made and any amount of cash or Shares delivered in settlement thereof to a Participant under this Plan is subject to being called for repayment to the Company in any situation where the Board of Directors or a Committee thereof determines that the Company's Policy on Recoupment of Compensation requires such repayment, or that repayment is otherwise required by the rules of any national securities exchange on which the stock of the Company may be listed. The determination regarding repayment under this provision shall be within the sole discretion of the Committee and shall be final and binding on the Participant and the Company.</w:t>
      </w:r>
    </w:p>
    <w:p>
      <w:pPr>
        <w:spacing w:after="0" w:line="190" w:lineRule="exact"/>
        <w:rPr>
          <w:rFonts w:ascii="Arial" w:cs="Arial" w:eastAsia="Arial" w:hAnsi="Arial"/>
          <w:sz w:val="19"/>
          <w:szCs w:val="19"/>
          <w:color w:val="auto"/>
        </w:rPr>
      </w:pPr>
    </w:p>
    <w:p>
      <w:pPr>
        <w:ind w:left="-40" w:right="500" w:firstLine="832"/>
        <w:spacing w:after="0" w:line="263" w:lineRule="auto"/>
        <w:tabs>
          <w:tab w:leader="none" w:pos="1483" w:val="left"/>
        </w:tabs>
        <w:numPr>
          <w:ilvl w:val="0"/>
          <w:numId w:val="92"/>
        </w:numPr>
        <w:rPr>
          <w:rFonts w:ascii="Arial" w:cs="Arial" w:eastAsia="Arial" w:hAnsi="Arial"/>
          <w:sz w:val="22"/>
          <w:szCs w:val="22"/>
          <w:color w:val="auto"/>
        </w:rPr>
      </w:pPr>
      <w:r>
        <w:rPr>
          <w:rFonts w:ascii="Arial" w:cs="Arial" w:eastAsia="Arial" w:hAnsi="Arial"/>
          <w:sz w:val="22"/>
          <w:szCs w:val="22"/>
          <w:color w:val="auto"/>
        </w:rPr>
        <w:t>If any provision of the Plan or any Award Agreement is invalid or unenforceable in any jurisdiction, (i) such provision shall be modified or eliminated, but only to the extent necessary 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591" w:right="259" w:bottom="1440" w:gutter="0" w:footer="0" w:header="0"/>
        </w:sectPr>
      </w:pPr>
    </w:p>
    <w:bookmarkStart w:id="104" w:name="page105"/>
    <w:bookmarkEnd w:id="104"/>
    <w:p>
      <w:pPr>
        <w:ind w:right="180"/>
        <w:spacing w:after="0" w:line="253" w:lineRule="auto"/>
        <w:rPr>
          <w:sz w:val="20"/>
          <w:szCs w:val="20"/>
          <w:color w:val="auto"/>
        </w:rPr>
      </w:pPr>
      <w:r>
        <w:rPr>
          <w:rFonts w:ascii="Arial" w:cs="Arial" w:eastAsia="Arial" w:hAnsi="Arial"/>
          <w:sz w:val="22"/>
          <w:szCs w:val="22"/>
          <w:color w:val="auto"/>
        </w:rPr>
        <w:t>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Plan or any Award.</w:t>
      </w:r>
    </w:p>
    <w:p>
      <w:pPr>
        <w:spacing w:after="0" w:line="226" w:lineRule="exact"/>
        <w:rPr>
          <w:sz w:val="20"/>
          <w:szCs w:val="20"/>
          <w:color w:val="auto"/>
        </w:rPr>
      </w:pPr>
    </w:p>
    <w:p>
      <w:pPr>
        <w:ind w:right="200" w:firstLine="832"/>
        <w:spacing w:after="0" w:line="302" w:lineRule="auto"/>
        <w:tabs>
          <w:tab w:leader="none" w:pos="1499"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Award hereunder that is or becomes a TARP Award is intended to comply with applicable Treasury regulations under TARP and shall be interpreted and amended as necessary to comply with any interpretations or guidance of the Special Master or his successor. In the event that an Award hereunder becomes a TARP Award, or is otherwise affected by any decision of the Special Master or his successor, the Company shall inform the affected Participant.</w:t>
      </w:r>
    </w:p>
    <w:p>
      <w:pPr>
        <w:spacing w:after="0" w:line="183"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i w:val="1"/>
          <w:iCs w:val="1"/>
          <w:color w:val="auto"/>
        </w:rPr>
        <w:t>General Provisions.</w:t>
      </w:r>
    </w:p>
    <w:p>
      <w:pPr>
        <w:spacing w:after="0" w:line="260" w:lineRule="exact"/>
        <w:rPr>
          <w:sz w:val="20"/>
          <w:szCs w:val="20"/>
          <w:color w:val="auto"/>
        </w:rPr>
      </w:pPr>
    </w:p>
    <w:p>
      <w:pPr>
        <w:ind w:right="20" w:firstLine="832"/>
        <w:spacing w:after="0" w:line="263" w:lineRule="auto"/>
        <w:tabs>
          <w:tab w:leader="none" w:pos="1523"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 Award may not be sold, exercised, pledged, assigned, hypothecated, transferred, or disposed of in any manner except as may be expressly set forth in the Award Agreement.</w:t>
      </w:r>
    </w:p>
    <w:p>
      <w:pPr>
        <w:spacing w:after="0" w:line="215" w:lineRule="exact"/>
        <w:rPr>
          <w:rFonts w:ascii="Arial" w:cs="Arial" w:eastAsia="Arial" w:hAnsi="Arial"/>
          <w:sz w:val="22"/>
          <w:szCs w:val="22"/>
          <w:color w:val="auto"/>
        </w:rPr>
      </w:pPr>
    </w:p>
    <w:p>
      <w:pPr>
        <w:jc w:val="both"/>
        <w:ind w:right="160" w:firstLine="832"/>
        <w:spacing w:after="0" w:line="253" w:lineRule="auto"/>
        <w:tabs>
          <w:tab w:leader="none" w:pos="1535" w:val="left"/>
        </w:tabs>
        <w:numPr>
          <w:ilvl w:val="0"/>
          <w:numId w:val="94"/>
        </w:numPr>
        <w:rPr>
          <w:rFonts w:ascii="Arial" w:cs="Arial" w:eastAsia="Arial" w:hAnsi="Arial"/>
          <w:sz w:val="22"/>
          <w:szCs w:val="22"/>
          <w:color w:val="auto"/>
        </w:rPr>
      </w:pPr>
      <w:r>
        <w:rPr>
          <w:rFonts w:ascii="Arial" w:cs="Arial" w:eastAsia="Arial" w:hAnsi="Arial"/>
          <w:sz w:val="22"/>
          <w:szCs w:val="22"/>
          <w:color w:val="auto"/>
        </w:rPr>
        <w:t>Neither the Award nor any benefits arising out of this Plan shall constitute part of a Participant's employment or service contract with the Company or any Subsidiary. The Awards under this Plan are not intended to be treated as compensation for any purpose under any other Company plan.</w:t>
      </w:r>
    </w:p>
    <w:p>
      <w:pPr>
        <w:spacing w:after="0" w:line="226" w:lineRule="exact"/>
        <w:rPr>
          <w:rFonts w:ascii="Arial" w:cs="Arial" w:eastAsia="Arial" w:hAnsi="Arial"/>
          <w:sz w:val="22"/>
          <w:szCs w:val="22"/>
          <w:color w:val="auto"/>
        </w:rPr>
      </w:pPr>
    </w:p>
    <w:p>
      <w:pPr>
        <w:ind w:right="720" w:firstLine="832"/>
        <w:spacing w:after="0" w:line="263" w:lineRule="auto"/>
        <w:tabs>
          <w:tab w:leader="none" w:pos="1523"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 Employee shall have any claim to be granted any Award under the Plan, and there is no obligation for uniformity of treatment of Participants under the Plan.</w:t>
      </w:r>
    </w:p>
    <w:p>
      <w:pPr>
        <w:spacing w:after="0" w:line="215" w:lineRule="exact"/>
        <w:rPr>
          <w:rFonts w:ascii="Arial" w:cs="Arial" w:eastAsia="Arial" w:hAnsi="Arial"/>
          <w:sz w:val="22"/>
          <w:szCs w:val="22"/>
          <w:color w:val="auto"/>
        </w:rPr>
      </w:pPr>
    </w:p>
    <w:p>
      <w:pPr>
        <w:ind w:right="40" w:firstLine="832"/>
        <w:spacing w:after="0" w:line="302" w:lineRule="auto"/>
        <w:tabs>
          <w:tab w:leader="none" w:pos="1535" w:val="left"/>
        </w:tabs>
        <w:numPr>
          <w:ilvl w:val="0"/>
          <w:numId w:val="94"/>
        </w:numPr>
        <w:rPr>
          <w:rFonts w:ascii="Arial" w:cs="Arial" w:eastAsia="Arial" w:hAnsi="Arial"/>
          <w:sz w:val="19"/>
          <w:szCs w:val="19"/>
          <w:color w:val="auto"/>
        </w:rPr>
      </w:pPr>
      <w:r>
        <w:rPr>
          <w:rFonts w:ascii="Arial" w:cs="Arial" w:eastAsia="Arial" w:hAnsi="Arial"/>
          <w:sz w:val="19"/>
          <w:szCs w:val="19"/>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83" w:lineRule="exact"/>
        <w:rPr>
          <w:rFonts w:ascii="Arial" w:cs="Arial" w:eastAsia="Arial" w:hAnsi="Arial"/>
          <w:sz w:val="19"/>
          <w:szCs w:val="19"/>
          <w:color w:val="auto"/>
        </w:rPr>
      </w:pPr>
    </w:p>
    <w:p>
      <w:pPr>
        <w:ind w:firstLine="832"/>
        <w:spacing w:after="0" w:line="297" w:lineRule="auto"/>
        <w:tabs>
          <w:tab w:leader="none" w:pos="1523"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are then listed, and any applicable federal or state securities law, any instructions of the Special Master and the Committee may cause a legend or legends to be put on any certificates or other indicia of ownership of such Shares to make appropriate reference to such restrictions.</w:t>
      </w:r>
    </w:p>
    <w:p>
      <w:pPr>
        <w:spacing w:after="0" w:line="187" w:lineRule="exact"/>
        <w:rPr>
          <w:rFonts w:ascii="Arial" w:cs="Arial" w:eastAsia="Arial" w:hAnsi="Arial"/>
          <w:sz w:val="19"/>
          <w:szCs w:val="19"/>
          <w:color w:val="auto"/>
        </w:rPr>
      </w:pPr>
    </w:p>
    <w:p>
      <w:pPr>
        <w:ind w:right="100" w:firstLine="832"/>
        <w:spacing w:after="0" w:line="250" w:lineRule="auto"/>
        <w:tabs>
          <w:tab w:leader="none" w:pos="1499"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 Award granted hereunder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228" w:lineRule="exact"/>
        <w:rPr>
          <w:rFonts w:ascii="Arial" w:cs="Arial" w:eastAsia="Arial" w:hAnsi="Arial"/>
          <w:sz w:val="22"/>
          <w:szCs w:val="22"/>
          <w:color w:val="auto"/>
        </w:rPr>
      </w:pPr>
    </w:p>
    <w:p>
      <w:pPr>
        <w:ind w:right="20" w:firstLine="832"/>
        <w:spacing w:after="0" w:line="260" w:lineRule="auto"/>
        <w:tabs>
          <w:tab w:leader="none" w:pos="1535"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Company and its Subsidiaries shall be authorized to withhold from any Award granted or payment due under the Plan the amount of withholding taxes due in respect of an Award or payment hereunder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 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591" w:right="299" w:bottom="1440" w:gutter="0" w:footer="0" w:header="0"/>
        </w:sectPr>
      </w:pPr>
    </w:p>
    <w:bookmarkStart w:id="105" w:name="page106"/>
    <w:bookmarkEnd w:id="105"/>
    <w:p>
      <w:pPr>
        <w:ind w:right="240"/>
        <w:spacing w:after="0" w:line="263" w:lineRule="auto"/>
        <w:rPr>
          <w:sz w:val="20"/>
          <w:szCs w:val="20"/>
          <w:color w:val="auto"/>
        </w:rPr>
      </w:pPr>
      <w:r>
        <w:rPr>
          <w:rFonts w:ascii="Arial" w:cs="Arial" w:eastAsia="Arial" w:hAnsi="Arial"/>
          <w:sz w:val="22"/>
          <w:szCs w:val="22"/>
          <w:color w:val="auto"/>
        </w:rPr>
        <w:t>minimum required tax withholding rate, to the extent such limitation is necessary to avoid a charge to the Company for financial reporting purposes) otherwise deliverable in connection with the Award.</w:t>
      </w:r>
    </w:p>
    <w:p>
      <w:pPr>
        <w:spacing w:after="0" w:line="215" w:lineRule="exact"/>
        <w:rPr>
          <w:sz w:val="20"/>
          <w:szCs w:val="20"/>
          <w:color w:val="auto"/>
        </w:rPr>
      </w:pPr>
    </w:p>
    <w:p>
      <w:pPr>
        <w:ind w:right="780" w:firstLine="832"/>
        <w:spacing w:after="0" w:line="253" w:lineRule="auto"/>
        <w:tabs>
          <w:tab w:leader="none" w:pos="1535"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226" w:lineRule="exact"/>
        <w:rPr>
          <w:rFonts w:ascii="Arial" w:cs="Arial" w:eastAsia="Arial" w:hAnsi="Arial"/>
          <w:sz w:val="22"/>
          <w:szCs w:val="22"/>
          <w:color w:val="auto"/>
        </w:rPr>
      </w:pPr>
    </w:p>
    <w:p>
      <w:pPr>
        <w:ind w:right="100" w:firstLine="832"/>
        <w:spacing w:after="0" w:line="343" w:lineRule="auto"/>
        <w:tabs>
          <w:tab w:leader="none" w:pos="1487"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spacing w:after="0" w:line="145" w:lineRule="exact"/>
        <w:rPr>
          <w:rFonts w:ascii="Arial" w:cs="Arial" w:eastAsia="Arial" w:hAnsi="Arial"/>
          <w:sz w:val="19"/>
          <w:szCs w:val="19"/>
          <w:color w:val="auto"/>
        </w:rPr>
      </w:pPr>
    </w:p>
    <w:p>
      <w:pPr>
        <w:ind w:right="20" w:firstLine="832"/>
        <w:spacing w:after="0" w:line="246" w:lineRule="auto"/>
        <w:tabs>
          <w:tab w:leader="none" w:pos="1487" w:val="left"/>
        </w:tabs>
        <w:numPr>
          <w:ilvl w:val="0"/>
          <w:numId w:val="95"/>
        </w:numPr>
        <w:rPr>
          <w:rFonts w:ascii="Arial" w:cs="Arial" w:eastAsia="Arial" w:hAnsi="Arial"/>
          <w:sz w:val="22"/>
          <w:szCs w:val="22"/>
          <w:color w:val="auto"/>
        </w:rPr>
      </w:pPr>
      <w:r>
        <w:rPr>
          <w:rFonts w:ascii="Arial" w:cs="Arial" w:eastAsia="Arial" w:hAnsi="Arial"/>
          <w:sz w:val="22"/>
          <w:szCs w:val="22"/>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9(j) may not be made without stockholder approval or Participant approval, if such approval is required by Section 8. The Committee also may impose conditions on the exercise or vesting of Awards in order to minimize the Company's obligation with respect to tax equalization for Employees on assignments outside their home country.</w:t>
      </w:r>
    </w:p>
    <w:p>
      <w:pPr>
        <w:spacing w:after="0" w:line="237" w:lineRule="exact"/>
        <w:rPr>
          <w:rFonts w:ascii="Arial" w:cs="Arial" w:eastAsia="Arial" w:hAnsi="Arial"/>
          <w:sz w:val="22"/>
          <w:szCs w:val="22"/>
          <w:color w:val="auto"/>
        </w:rPr>
      </w:pPr>
    </w:p>
    <w:p>
      <w:pPr>
        <w:ind w:right="160" w:firstLine="832"/>
        <w:spacing w:after="0" w:line="250" w:lineRule="auto"/>
        <w:tabs>
          <w:tab w:leader="none" w:pos="1535"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the Company shall have any unpaid claim against the Participant arising out of or in connection with the Participant's employment with the Company, prior to settlement of an Award, such claim may be offset against Awards under this Plan (up to $5,000 per year) and upon settlement of any Award, such claim may be offset in total. Such claim may include, but is not limited to, unpaid taxes or corporate business credit card charges.</w:t>
      </w:r>
    </w:p>
    <w:p>
      <w:pPr>
        <w:spacing w:after="0" w:line="228" w:lineRule="exact"/>
        <w:rPr>
          <w:rFonts w:ascii="Arial" w:cs="Arial" w:eastAsia="Arial" w:hAnsi="Arial"/>
          <w:sz w:val="22"/>
          <w:szCs w:val="22"/>
          <w:color w:val="auto"/>
        </w:rPr>
      </w:pPr>
    </w:p>
    <w:p>
      <w:pPr>
        <w:ind w:firstLine="832"/>
        <w:spacing w:after="0" w:line="248" w:lineRule="auto"/>
        <w:tabs>
          <w:tab w:leader="none" w:pos="1487"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Notwithstanding any provision of this Plan, no Plan elections, modifications or distributions will be allowed or implemented if they would cause the Participant to be subject to tax (including interest and penalties) under Section 409A of the Code. The settlement of Awards hereunder may be delayed up to six months following a Participant's termination of employment if the Participant is a “specified employee” for purposes of Section 409A and such delay is necessary to avoid the imposition of tax (including interest and penalties) under Section 409A.</w:t>
      </w:r>
    </w:p>
    <w:p>
      <w:pPr>
        <w:spacing w:after="0" w:line="233" w:lineRule="exact"/>
        <w:rPr>
          <w:sz w:val="20"/>
          <w:szCs w:val="20"/>
          <w:color w:val="auto"/>
        </w:rPr>
      </w:pPr>
    </w:p>
    <w:p>
      <w:pPr>
        <w:ind w:right="80" w:firstLine="810"/>
        <w:spacing w:after="0" w:line="26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i w:val="1"/>
          <w:iCs w:val="1"/>
          <w:color w:val="auto"/>
        </w:rPr>
        <w:t>Term of Plan.</w:t>
      </w:r>
      <w:r>
        <w:rPr>
          <w:rFonts w:ascii="Arial" w:cs="Arial" w:eastAsia="Arial" w:hAnsi="Arial"/>
          <w:sz w:val="22"/>
          <w:szCs w:val="22"/>
          <w:color w:val="auto"/>
        </w:rPr>
        <w:t xml:space="preserve"> The Plan shall terminate on the day after the date when all Awards hereunder have been settled in accordance with the terms of the Plan.</w:t>
      </w:r>
    </w:p>
    <w:p>
      <w:pPr>
        <w:spacing w:after="0" w:line="215" w:lineRule="exact"/>
        <w:rPr>
          <w:sz w:val="20"/>
          <w:szCs w:val="20"/>
          <w:color w:val="auto"/>
        </w:rPr>
      </w:pPr>
    </w:p>
    <w:p>
      <w:pPr>
        <w:ind w:left="820"/>
        <w:spacing w:after="0"/>
        <w:tabs>
          <w:tab w:leader="none" w:pos="29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i w:val="1"/>
          <w:iCs w:val="1"/>
          <w:color w:val="auto"/>
        </w:rPr>
        <w:t xml:space="preserve">Definitions. </w:t>
      </w:r>
      <w:r>
        <w:rPr>
          <w:rFonts w:ascii="Arial" w:cs="Arial" w:eastAsia="Arial" w:hAnsi="Arial"/>
          <w:sz w:val="19"/>
          <w:szCs w:val="19"/>
          <w:color w:val="auto"/>
        </w:rPr>
        <w:t>As used in the Plan, the following terms shall have the meanings set forth below:</w:t>
      </w:r>
    </w:p>
    <w:p>
      <w:pPr>
        <w:spacing w:after="0" w:line="260" w:lineRule="exact"/>
        <w:rPr>
          <w:sz w:val="20"/>
          <w:szCs w:val="20"/>
          <w:color w:val="auto"/>
        </w:rPr>
      </w:pPr>
    </w:p>
    <w:p>
      <w:pPr>
        <w:ind w:right="260" w:firstLine="832"/>
        <w:spacing w:after="0" w:line="263" w:lineRule="auto"/>
        <w:tabs>
          <w:tab w:leader="none" w:pos="1577" w:val="left"/>
        </w:tabs>
        <w:numPr>
          <w:ilvl w:val="0"/>
          <w:numId w:val="96"/>
        </w:numPr>
        <w:rPr>
          <w:rFonts w:ascii="Arial" w:cs="Arial" w:eastAsia="Arial" w:hAnsi="Arial"/>
          <w:sz w:val="22"/>
          <w:szCs w:val="22"/>
          <w:color w:val="auto"/>
        </w:rPr>
      </w:pPr>
      <w:r>
        <w:rPr>
          <w:rFonts w:ascii="Arial" w:cs="Arial" w:eastAsia="Arial" w:hAnsi="Arial"/>
          <w:sz w:val="22"/>
          <w:szCs w:val="22"/>
          <w:color w:val="auto"/>
        </w:rPr>
        <w:t>“Award” shall mean any Options, Stock Appreciation Rights, Stock Award or award of Restricted Stock Units granted hereunder.</w:t>
      </w:r>
    </w:p>
    <w:p>
      <w:pPr>
        <w:spacing w:after="0" w:line="215" w:lineRule="exact"/>
        <w:rPr>
          <w:rFonts w:ascii="Arial" w:cs="Arial" w:eastAsia="Arial" w:hAnsi="Arial"/>
          <w:sz w:val="22"/>
          <w:szCs w:val="22"/>
          <w:color w:val="auto"/>
        </w:rPr>
      </w:pPr>
    </w:p>
    <w:p>
      <w:pPr>
        <w:ind w:left="1540" w:hanging="708"/>
        <w:spacing w:after="0"/>
        <w:tabs>
          <w:tab w:leader="none" w:pos="15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“Award Agreement” shall mean the written instrument evidencing the terms of an Award hereunder.</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“Chief Executive Officer” shall mean the Chief Executive Officer of the Company.</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591" w:right="299" w:bottom="1440" w:gutter="0" w:footer="0" w:header="0"/>
        </w:sectPr>
      </w:pPr>
    </w:p>
    <w:bookmarkStart w:id="106" w:name="page107"/>
    <w:bookmarkEnd w:id="106"/>
    <w:p>
      <w:pPr>
        <w:ind w:left="-40" w:right="60" w:firstLine="832"/>
        <w:spacing w:after="0" w:line="263" w:lineRule="auto"/>
        <w:tabs>
          <w:tab w:leader="none" w:pos="1483"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 and any successor thereto, and any reference to any section of the Code shall also include any successor provision thereto.</w:t>
      </w:r>
    </w:p>
    <w:p>
      <w:pPr>
        <w:spacing w:after="0" w:line="215" w:lineRule="exact"/>
        <w:rPr>
          <w:rFonts w:ascii="Arial" w:cs="Arial" w:eastAsia="Arial" w:hAnsi="Arial"/>
          <w:sz w:val="22"/>
          <w:szCs w:val="22"/>
          <w:color w:val="auto"/>
        </w:rPr>
      </w:pPr>
    </w:p>
    <w:p>
      <w:pPr>
        <w:ind w:left="-40" w:firstLine="832"/>
        <w:spacing w:after="0" w:line="263" w:lineRule="auto"/>
        <w:tabs>
          <w:tab w:leader="none" w:pos="1459"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“Committee” shall mean the Executive Compensation Committee of the Board, its named successor, or such other persons or committee to whom the Board has delegated any authority, as may be appropriate.</w:t>
      </w:r>
    </w:p>
    <w:p>
      <w:pPr>
        <w:spacing w:after="0" w:line="215" w:lineRule="exact"/>
        <w:rPr>
          <w:rFonts w:ascii="Arial" w:cs="Arial" w:eastAsia="Arial" w:hAnsi="Arial"/>
          <w:sz w:val="22"/>
          <w:szCs w:val="22"/>
          <w:color w:val="auto"/>
        </w:rPr>
      </w:pPr>
    </w:p>
    <w:p>
      <w:pPr>
        <w:ind w:left="1500" w:hanging="708"/>
        <w:spacing w:after="0"/>
        <w:tabs>
          <w:tab w:leader="none" w:pos="15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“Company” shall mean General Motors Company, a Delaware Company, or its successor.</w:t>
      </w:r>
    </w:p>
    <w:p>
      <w:pPr>
        <w:spacing w:after="0" w:line="260" w:lineRule="exact"/>
        <w:rPr>
          <w:rFonts w:ascii="Arial" w:cs="Arial" w:eastAsia="Arial" w:hAnsi="Arial"/>
          <w:sz w:val="22"/>
          <w:szCs w:val="22"/>
          <w:color w:val="auto"/>
        </w:rPr>
      </w:pPr>
    </w:p>
    <w:p>
      <w:pPr>
        <w:ind w:left="-40" w:right="440" w:firstLine="832"/>
        <w:spacing w:after="0" w:line="253" w:lineRule="auto"/>
        <w:tabs>
          <w:tab w:leader="none" w:pos="1495" w:val="left"/>
        </w:tabs>
        <w:numPr>
          <w:ilvl w:val="0"/>
          <w:numId w:val="97"/>
        </w:numPr>
        <w:rPr>
          <w:rFonts w:ascii="Arial" w:cs="Arial" w:eastAsia="Arial" w:hAnsi="Arial"/>
          <w:sz w:val="22"/>
          <w:szCs w:val="22"/>
          <w:color w:val="auto"/>
        </w:rPr>
      </w:pPr>
      <w:r>
        <w:rPr>
          <w:rFonts w:ascii="Arial" w:cs="Arial" w:eastAsia="Arial" w:hAnsi="Arial"/>
          <w:sz w:val="22"/>
          <w:szCs w:val="22"/>
          <w:color w:val="auto"/>
        </w:rPr>
        <w:t>“Disability” shall mean the Participant is unable to engage in any gainful activity by reason of any medically determinable physical or mental impairment that can be expected to result in death or can be expected to last for a continuous period of not less than 12 months.</w:t>
      </w:r>
    </w:p>
    <w:p>
      <w:pPr>
        <w:spacing w:after="0" w:line="226" w:lineRule="exact"/>
        <w:rPr>
          <w:rFonts w:ascii="Arial" w:cs="Arial" w:eastAsia="Arial" w:hAnsi="Arial"/>
          <w:sz w:val="22"/>
          <w:szCs w:val="22"/>
          <w:color w:val="auto"/>
        </w:rPr>
      </w:pPr>
    </w:p>
    <w:p>
      <w:pPr>
        <w:ind w:left="1460" w:hanging="668"/>
        <w:spacing w:after="0"/>
        <w:tabs>
          <w:tab w:leader="none" w:pos="14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“Employee” shall mean any individual who is employed by the Company or any Subsidiary.</w:t>
      </w:r>
    </w:p>
    <w:p>
      <w:pPr>
        <w:spacing w:after="0" w:line="260" w:lineRule="exact"/>
        <w:rPr>
          <w:rFonts w:ascii="Arial" w:cs="Arial" w:eastAsia="Arial" w:hAnsi="Arial"/>
          <w:sz w:val="22"/>
          <w:szCs w:val="22"/>
          <w:color w:val="auto"/>
        </w:rPr>
      </w:pPr>
    </w:p>
    <w:p>
      <w:pPr>
        <w:ind w:left="1460" w:hanging="668"/>
        <w:spacing w:after="0"/>
        <w:tabs>
          <w:tab w:leader="none" w:pos="14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“Exchange Act” shall mean the U.S. Securities Exchange Act of 1934.</w:t>
      </w:r>
    </w:p>
    <w:p>
      <w:pPr>
        <w:spacing w:after="0" w:line="260" w:lineRule="exact"/>
        <w:rPr>
          <w:rFonts w:ascii="Arial" w:cs="Arial" w:eastAsia="Arial" w:hAnsi="Arial"/>
          <w:sz w:val="22"/>
          <w:szCs w:val="22"/>
          <w:color w:val="auto"/>
        </w:rPr>
      </w:pPr>
    </w:p>
    <w:p>
      <w:pPr>
        <w:ind w:left="-40" w:firstLine="832"/>
        <w:spacing w:after="0" w:line="287" w:lineRule="auto"/>
        <w:tabs>
          <w:tab w:leader="none" w:pos="1495" w:val="left"/>
        </w:tabs>
        <w:numPr>
          <w:ilvl w:val="0"/>
          <w:numId w:val="97"/>
        </w:numPr>
        <w:rPr>
          <w:rFonts w:ascii="Arial" w:cs="Arial" w:eastAsia="Arial" w:hAnsi="Arial"/>
          <w:sz w:val="21"/>
          <w:szCs w:val="21"/>
          <w:color w:val="auto"/>
        </w:rPr>
      </w:pPr>
      <w:r>
        <w:rPr>
          <w:rFonts w:ascii="Arial" w:cs="Arial" w:eastAsia="Arial" w:hAnsi="Arial"/>
          <w:sz w:val="21"/>
          <w:szCs w:val="21"/>
          <w:color w:val="auto"/>
        </w:rPr>
        <w:t>“Executive Officer” shall mean any Participant required to provide periodic statements of beneficial ownership of Company equity securities as an executive officer of the Company under Section 16(a) of the Exchange Act.</w:t>
      </w:r>
    </w:p>
    <w:p>
      <w:pPr>
        <w:spacing w:after="0" w:line="192" w:lineRule="exact"/>
        <w:rPr>
          <w:rFonts w:ascii="Arial" w:cs="Arial" w:eastAsia="Arial" w:hAnsi="Arial"/>
          <w:sz w:val="21"/>
          <w:szCs w:val="21"/>
          <w:color w:val="auto"/>
        </w:rPr>
      </w:pPr>
    </w:p>
    <w:p>
      <w:pPr>
        <w:ind w:left="-40" w:right="200" w:firstLine="832"/>
        <w:spacing w:after="0" w:line="261" w:lineRule="auto"/>
        <w:tabs>
          <w:tab w:leader="none" w:pos="1447" w:val="left"/>
        </w:tabs>
        <w:numPr>
          <w:ilvl w:val="0"/>
          <w:numId w:val="97"/>
        </w:numPr>
        <w:rPr>
          <w:rFonts w:ascii="Arial" w:cs="Arial" w:eastAsia="Arial" w:hAnsi="Arial"/>
          <w:sz w:val="21"/>
          <w:szCs w:val="21"/>
          <w:color w:val="auto"/>
        </w:rPr>
      </w:pPr>
      <w:r>
        <w:rPr>
          <w:rFonts w:ascii="Arial" w:cs="Arial" w:eastAsia="Arial" w:hAnsi="Arial"/>
          <w:sz w:val="21"/>
          <w:szCs w:val="21"/>
          <w:color w:val="auto"/>
        </w:rPr>
        <w:t>“Fair Market Value” shall mean the value of a Share, determined as follows: prior to the establishment of when-issued trading of the Shares on a national securities exchange, as determined by the Committee in its discretion; and after the establishment of when-issued trading of the Shares on a national securities exchange, the average of the high and low trading (or when-issued trading) prices for the Shares as reported on such national securities exchange for the applicable date or, if no such prices are reported for that date, the average of the high and low trading (or when-issued trading) prices on the immediately preceding date for which such prices were reported.</w:t>
      </w:r>
    </w:p>
    <w:p>
      <w:pPr>
        <w:spacing w:after="0" w:line="220" w:lineRule="exact"/>
        <w:rPr>
          <w:rFonts w:ascii="Arial" w:cs="Arial" w:eastAsia="Arial" w:hAnsi="Arial"/>
          <w:sz w:val="21"/>
          <w:szCs w:val="21"/>
          <w:color w:val="auto"/>
        </w:rPr>
      </w:pPr>
    </w:p>
    <w:p>
      <w:pPr>
        <w:ind w:left="1620" w:hanging="828"/>
        <w:spacing w:after="0"/>
        <w:tabs>
          <w:tab w:leader="none" w:pos="1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“Grant Date” shall mean the grant date specified in the Award Agreement.</w:t>
      </w:r>
    </w:p>
    <w:p>
      <w:pPr>
        <w:spacing w:after="0" w:line="260" w:lineRule="exact"/>
        <w:rPr>
          <w:rFonts w:ascii="Arial" w:cs="Arial" w:eastAsia="Arial" w:hAnsi="Arial"/>
          <w:sz w:val="22"/>
          <w:szCs w:val="22"/>
          <w:color w:val="auto"/>
        </w:rPr>
      </w:pPr>
    </w:p>
    <w:p>
      <w:pPr>
        <w:ind w:left="1500" w:hanging="708"/>
        <w:spacing w:after="0"/>
        <w:tabs>
          <w:tab w:leader="none" w:pos="15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“Grant Price” shall mean the average of the high and low trading price per Share on the Grant Date.</w:t>
      </w:r>
    </w:p>
    <w:p>
      <w:pPr>
        <w:spacing w:after="0" w:line="260" w:lineRule="exact"/>
        <w:rPr>
          <w:rFonts w:ascii="Arial" w:cs="Arial" w:eastAsia="Arial" w:hAnsi="Arial"/>
          <w:sz w:val="22"/>
          <w:szCs w:val="22"/>
          <w:color w:val="auto"/>
        </w:rPr>
      </w:pPr>
    </w:p>
    <w:p>
      <w:pPr>
        <w:ind w:left="-40" w:right="160" w:firstLine="832"/>
        <w:spacing w:after="0" w:line="263" w:lineRule="auto"/>
        <w:tabs>
          <w:tab w:leader="none" w:pos="1495"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“Incentive Stock Options” or “ISO” shall mean an Option granted hereunder that is intended to comply with the provisions of Section 422 of the Code.</w:t>
      </w:r>
    </w:p>
    <w:p>
      <w:pPr>
        <w:spacing w:after="0" w:line="215" w:lineRule="exact"/>
        <w:rPr>
          <w:rFonts w:ascii="Arial" w:cs="Arial" w:eastAsia="Arial" w:hAnsi="Arial"/>
          <w:sz w:val="22"/>
          <w:szCs w:val="22"/>
          <w:color w:val="auto"/>
        </w:rPr>
      </w:pPr>
    </w:p>
    <w:p>
      <w:pPr>
        <w:ind w:left="1500" w:hanging="708"/>
        <w:spacing w:after="0"/>
        <w:tabs>
          <w:tab w:leader="none" w:pos="15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“Nonqualified Option” shall mean an Option that is not an ISO.</w:t>
      </w:r>
    </w:p>
    <w:p>
      <w:pPr>
        <w:spacing w:after="0" w:line="260" w:lineRule="exact"/>
        <w:rPr>
          <w:rFonts w:ascii="Arial" w:cs="Arial" w:eastAsia="Arial" w:hAnsi="Arial"/>
          <w:sz w:val="22"/>
          <w:szCs w:val="22"/>
          <w:color w:val="auto"/>
        </w:rPr>
      </w:pPr>
    </w:p>
    <w:p>
      <w:pPr>
        <w:ind w:left="-40" w:right="20" w:firstLine="832"/>
        <w:spacing w:after="0" w:line="253" w:lineRule="auto"/>
        <w:tabs>
          <w:tab w:leader="none" w:pos="1495" w:val="left"/>
        </w:tabs>
        <w:numPr>
          <w:ilvl w:val="0"/>
          <w:numId w:val="97"/>
        </w:numPr>
        <w:rPr>
          <w:rFonts w:ascii="Arial" w:cs="Arial" w:eastAsia="Arial" w:hAnsi="Arial"/>
          <w:sz w:val="22"/>
          <w:szCs w:val="22"/>
          <w:color w:val="auto"/>
        </w:rPr>
      </w:pPr>
      <w:r>
        <w:rPr>
          <w:rFonts w:ascii="Arial" w:cs="Arial" w:eastAsia="Arial" w:hAnsi="Arial"/>
          <w:sz w:val="22"/>
          <w:szCs w:val="22"/>
          <w:color w:val="auto"/>
        </w:rPr>
        <w:t>“Options” or “Stock Options” shall mean any right granted to a Participant under the Plan pursuant to and described in Section 7 allowing such Participant to purchase Shares at such price or prices and during such period or periods, as the Committee shall determine and shall include ISOs and Nonqualified Options.</w:t>
      </w:r>
    </w:p>
    <w:p>
      <w:pPr>
        <w:spacing w:after="0" w:line="226" w:lineRule="exact"/>
        <w:rPr>
          <w:rFonts w:ascii="Arial" w:cs="Arial" w:eastAsia="Arial" w:hAnsi="Arial"/>
          <w:sz w:val="22"/>
          <w:szCs w:val="22"/>
          <w:color w:val="auto"/>
        </w:rPr>
      </w:pPr>
    </w:p>
    <w:p>
      <w:pPr>
        <w:ind w:left="1460" w:hanging="668"/>
        <w:spacing w:after="0"/>
        <w:tabs>
          <w:tab w:leader="none" w:pos="14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“Participant” shall mean an Employee who is selected by the Committee to receive an Award under the Plan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591" w:right="279" w:bottom="1440" w:gutter="0" w:footer="0" w:header="0"/>
        </w:sectPr>
      </w:pPr>
    </w:p>
    <w:bookmarkStart w:id="107" w:name="page108"/>
    <w:bookmarkEnd w:id="107"/>
    <w:p>
      <w:pPr>
        <w:ind w:left="1440" w:hanging="688"/>
        <w:spacing w:after="0"/>
        <w:tabs>
          <w:tab w:leader="none" w:pos="14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“Plan” shall mean this General Motors Company 2009 Long-Term Incentive Plan, as amended from time to time.</w:t>
      </w:r>
    </w:p>
    <w:p>
      <w:pPr>
        <w:spacing w:after="0" w:line="294" w:lineRule="exact"/>
        <w:rPr>
          <w:rFonts w:ascii="Arial" w:cs="Arial" w:eastAsia="Arial" w:hAnsi="Arial"/>
          <w:sz w:val="19"/>
          <w:szCs w:val="19"/>
          <w:color w:val="auto"/>
        </w:rPr>
      </w:pPr>
    </w:p>
    <w:p>
      <w:pPr>
        <w:ind w:left="-80" w:right="20" w:firstLine="832"/>
        <w:spacing w:after="0" w:line="258" w:lineRule="auto"/>
        <w:tabs>
          <w:tab w:leader="none" w:pos="1407" w:val="left"/>
        </w:tabs>
        <w:numPr>
          <w:ilvl w:val="0"/>
          <w:numId w:val="98"/>
        </w:numPr>
        <w:rPr>
          <w:rFonts w:ascii="Arial" w:cs="Arial" w:eastAsia="Arial" w:hAnsi="Arial"/>
          <w:sz w:val="21"/>
          <w:szCs w:val="21"/>
          <w:color w:val="auto"/>
        </w:rPr>
      </w:pPr>
      <w:r>
        <w:rPr>
          <w:rFonts w:ascii="Arial" w:cs="Arial" w:eastAsia="Arial" w:hAnsi="Arial"/>
          <w:sz w:val="21"/>
          <w:szCs w:val="21"/>
          <w:color w:val="auto"/>
        </w:rPr>
        <w:t>“Performance Conditions” shall mean measures of the operational performance of the Company or other performance criteria selected by the Committee, the degree of achievement of which will determine the portion of an Award that is earned by the Participant as specified in the Award Agreement. In creating these measures, the Committee may establish the specific goals based upon or relating to one or more of the following business criteria: asset turnover, cash flow, contribution margin, cost objectives, cost reduction, earnings before interest and taxes (EBIT), earnings before interest, taxes, depreciation and amortization (EBITDA), earnings per share, economic value added, free cash flow, increase in customer base, initial public offering, inventory turnover, liquidity, market share, net income, net income margin, operating cash flow, operating profit margin, pre-tax income, productivity, profit margin, quality, return on assets, return on net assets, return on capital, return on equity, revenue, revenue growth, and/or warranty. The business criteria may be expressed in absolute terms or relative to the performance of other companies or to an index.</w:t>
      </w:r>
    </w:p>
    <w:p>
      <w:pPr>
        <w:spacing w:after="0" w:line="226" w:lineRule="exact"/>
        <w:rPr>
          <w:rFonts w:ascii="Arial" w:cs="Arial" w:eastAsia="Arial" w:hAnsi="Arial"/>
          <w:sz w:val="21"/>
          <w:szCs w:val="21"/>
          <w:color w:val="auto"/>
        </w:rPr>
      </w:pPr>
    </w:p>
    <w:p>
      <w:pPr>
        <w:ind w:left="-80" w:right="200" w:firstLine="832"/>
        <w:spacing w:after="0" w:line="263" w:lineRule="auto"/>
        <w:tabs>
          <w:tab w:leader="none" w:pos="1455" w:val="left"/>
        </w:tabs>
        <w:numPr>
          <w:ilvl w:val="0"/>
          <w:numId w:val="98"/>
        </w:numPr>
        <w:rPr>
          <w:rFonts w:ascii="Arial" w:cs="Arial" w:eastAsia="Arial" w:hAnsi="Arial"/>
          <w:sz w:val="22"/>
          <w:szCs w:val="22"/>
          <w:color w:val="auto"/>
        </w:rPr>
      </w:pPr>
      <w:r>
        <w:rPr>
          <w:rFonts w:ascii="Arial" w:cs="Arial" w:eastAsia="Arial" w:hAnsi="Arial"/>
          <w:sz w:val="22"/>
          <w:szCs w:val="22"/>
          <w:color w:val="auto"/>
        </w:rPr>
        <w:t>“Proration Date” shall be a date established by the Committee at the time of grant of an Award and specified in the Award Agreement. If no such date is established, the Proration Date shall be the Grant Date.</w:t>
      </w:r>
    </w:p>
    <w:p>
      <w:pPr>
        <w:spacing w:after="0" w:line="215" w:lineRule="exact"/>
        <w:rPr>
          <w:rFonts w:ascii="Arial" w:cs="Arial" w:eastAsia="Arial" w:hAnsi="Arial"/>
          <w:sz w:val="22"/>
          <w:szCs w:val="22"/>
          <w:color w:val="auto"/>
        </w:rPr>
      </w:pPr>
    </w:p>
    <w:p>
      <w:pPr>
        <w:ind w:left="1460" w:hanging="708"/>
        <w:spacing w:after="0"/>
        <w:tabs>
          <w:tab w:leader="none" w:pos="14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“Restricted Stock Unit” or “RSU” shall mean any unit granted pursuant to and described in Section 6.</w:t>
      </w:r>
    </w:p>
    <w:p>
      <w:pPr>
        <w:spacing w:after="0" w:line="260" w:lineRule="exact"/>
        <w:rPr>
          <w:rFonts w:ascii="Arial" w:cs="Arial" w:eastAsia="Arial" w:hAnsi="Arial"/>
          <w:sz w:val="22"/>
          <w:szCs w:val="22"/>
          <w:color w:val="auto"/>
        </w:rPr>
      </w:pPr>
    </w:p>
    <w:p>
      <w:pPr>
        <w:ind w:left="-80" w:right="240" w:firstLine="832"/>
        <w:spacing w:after="0" w:line="263" w:lineRule="auto"/>
        <w:tabs>
          <w:tab w:leader="none" w:pos="1503" w:val="left"/>
        </w:tabs>
        <w:numPr>
          <w:ilvl w:val="0"/>
          <w:numId w:val="98"/>
        </w:numPr>
        <w:rPr>
          <w:rFonts w:ascii="Arial" w:cs="Arial" w:eastAsia="Arial" w:hAnsi="Arial"/>
          <w:sz w:val="22"/>
          <w:szCs w:val="22"/>
          <w:color w:val="auto"/>
        </w:rPr>
      </w:pPr>
      <w:r>
        <w:rPr>
          <w:rFonts w:ascii="Arial" w:cs="Arial" w:eastAsia="Arial" w:hAnsi="Arial"/>
          <w:sz w:val="22"/>
          <w:szCs w:val="22"/>
          <w:color w:val="auto"/>
        </w:rPr>
        <w:t>“Settlement Date” shall mean the date on which the Award becomes nonforfeitable and payable in accordance with the provisions of the Plan and the Award Agreement.</w:t>
      </w:r>
    </w:p>
    <w:p>
      <w:pPr>
        <w:spacing w:after="0" w:line="215" w:lineRule="exact"/>
        <w:rPr>
          <w:rFonts w:ascii="Arial" w:cs="Arial" w:eastAsia="Arial" w:hAnsi="Arial"/>
          <w:sz w:val="22"/>
          <w:szCs w:val="22"/>
          <w:color w:val="auto"/>
        </w:rPr>
      </w:pPr>
    </w:p>
    <w:p>
      <w:pPr>
        <w:ind w:left="1460" w:hanging="708"/>
        <w:spacing w:after="0"/>
        <w:tabs>
          <w:tab w:leader="none" w:pos="14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“Shares” shall mean shares of the common stock of the Company, $0.01 par value.</w:t>
      </w:r>
    </w:p>
    <w:p>
      <w:pPr>
        <w:spacing w:after="0" w:line="260" w:lineRule="exact"/>
        <w:rPr>
          <w:rFonts w:ascii="Arial" w:cs="Arial" w:eastAsia="Arial" w:hAnsi="Arial"/>
          <w:sz w:val="22"/>
          <w:szCs w:val="22"/>
          <w:color w:val="auto"/>
        </w:rPr>
      </w:pPr>
    </w:p>
    <w:p>
      <w:pPr>
        <w:ind w:left="-80" w:right="60" w:firstLine="832"/>
        <w:spacing w:after="0" w:line="253" w:lineRule="auto"/>
        <w:tabs>
          <w:tab w:leader="none" w:pos="1455" w:val="left"/>
        </w:tabs>
        <w:numPr>
          <w:ilvl w:val="0"/>
          <w:numId w:val="98"/>
        </w:numPr>
        <w:rPr>
          <w:rFonts w:ascii="Arial" w:cs="Arial" w:eastAsia="Arial" w:hAnsi="Arial"/>
          <w:sz w:val="22"/>
          <w:szCs w:val="22"/>
          <w:color w:val="auto"/>
        </w:rPr>
      </w:pPr>
      <w:r>
        <w:rPr>
          <w:rFonts w:ascii="Arial" w:cs="Arial" w:eastAsia="Arial" w:hAnsi="Arial"/>
          <w:sz w:val="22"/>
          <w:szCs w:val="22"/>
          <w:color w:val="auto"/>
        </w:rPr>
        <w:t>“Special Master” shall mean the Office of the Special Master for TARP Executive Compensation, established by the United States Secretary of the Treasury under the American Recovery and Reinvestment Act of 2009 or any other office or agency which succeeds to the powers thereof.</w:t>
      </w:r>
    </w:p>
    <w:p>
      <w:pPr>
        <w:spacing w:after="0" w:line="226" w:lineRule="exact"/>
        <w:rPr>
          <w:rFonts w:ascii="Arial" w:cs="Arial" w:eastAsia="Arial" w:hAnsi="Arial"/>
          <w:sz w:val="22"/>
          <w:szCs w:val="22"/>
          <w:color w:val="auto"/>
        </w:rPr>
      </w:pPr>
    </w:p>
    <w:p>
      <w:pPr>
        <w:ind w:left="-80" w:right="240" w:firstLine="832"/>
        <w:spacing w:after="0" w:line="253" w:lineRule="auto"/>
        <w:tabs>
          <w:tab w:leader="none" w:pos="1443" w:val="left"/>
        </w:tabs>
        <w:numPr>
          <w:ilvl w:val="0"/>
          <w:numId w:val="98"/>
        </w:numPr>
        <w:rPr>
          <w:rFonts w:ascii="Arial" w:cs="Arial" w:eastAsia="Arial" w:hAnsi="Arial"/>
          <w:sz w:val="22"/>
          <w:szCs w:val="22"/>
          <w:color w:val="auto"/>
        </w:rPr>
      </w:pPr>
      <w:r>
        <w:rPr>
          <w:rFonts w:ascii="Arial" w:cs="Arial" w:eastAsia="Arial" w:hAnsi="Arial"/>
          <w:sz w:val="22"/>
          <w:szCs w:val="22"/>
          <w:color w:val="auto"/>
        </w:rPr>
        <w:t>“Stock Appreciation Right” shall mean an Award denominated in Shares that entitles the Participant within the exercise period to receive a payment equal to the increase in value between the Grant Price and the fair market value of the underlying Shares at date of exercise.</w:t>
      </w:r>
    </w:p>
    <w:p>
      <w:pPr>
        <w:spacing w:after="0" w:line="226" w:lineRule="exact"/>
        <w:rPr>
          <w:sz w:val="20"/>
          <w:szCs w:val="20"/>
          <w:color w:val="auto"/>
        </w:rPr>
      </w:pPr>
    </w:p>
    <w:p>
      <w:pPr>
        <w:ind w:left="-80" w:right="200" w:firstLine="832"/>
        <w:spacing w:after="0" w:line="263" w:lineRule="auto"/>
        <w:tabs>
          <w:tab w:leader="none" w:pos="1539" w:val="left"/>
        </w:tabs>
        <w:numPr>
          <w:ilvl w:val="0"/>
          <w:numId w:val="99"/>
        </w:numPr>
        <w:rPr>
          <w:rFonts w:ascii="Arial" w:cs="Arial" w:eastAsia="Arial" w:hAnsi="Arial"/>
          <w:sz w:val="22"/>
          <w:szCs w:val="22"/>
          <w:color w:val="auto"/>
        </w:rPr>
      </w:pPr>
      <w:r>
        <w:rPr>
          <w:rFonts w:ascii="Arial" w:cs="Arial" w:eastAsia="Arial" w:hAnsi="Arial"/>
          <w:sz w:val="22"/>
          <w:szCs w:val="22"/>
          <w:color w:val="auto"/>
        </w:rPr>
        <w:t>“Stock Award” shall mean an Award of shares hereunder which may be subject to such restrictions on transfer and/or forfeitability conditions as are specified in the applicable Award Agreement.</w:t>
      </w:r>
    </w:p>
    <w:p>
      <w:pPr>
        <w:spacing w:after="0" w:line="215" w:lineRule="exact"/>
        <w:rPr>
          <w:sz w:val="20"/>
          <w:szCs w:val="20"/>
          <w:color w:val="auto"/>
        </w:rPr>
      </w:pPr>
    </w:p>
    <w:p>
      <w:pPr>
        <w:ind w:left="-80" w:firstLine="818"/>
        <w:spacing w:after="0" w:line="271" w:lineRule="auto"/>
        <w:tabs>
          <w:tab w:leader="none" w:pos="114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“Subsidiary” shall mean (i) a company of which capital stock having ordinary voting power to elect a majority of the board of directors of such company is owned, directly or indirectly, by the Company or (ii) any unincorporated entity in respect of which the Company can exercise, directly or indirectly, comparable control to that described in clause (i).</w:t>
      </w:r>
    </w:p>
    <w:p>
      <w:pPr>
        <w:spacing w:after="0" w:line="208" w:lineRule="exact"/>
        <w:rPr>
          <w:rFonts w:ascii="Arial" w:cs="Arial" w:eastAsia="Arial" w:hAnsi="Arial"/>
          <w:sz w:val="21"/>
          <w:szCs w:val="21"/>
          <w:color w:val="auto"/>
        </w:rPr>
      </w:pPr>
    </w:p>
    <w:p>
      <w:pPr>
        <w:ind w:left="-80" w:right="280" w:firstLine="818"/>
        <w:spacing w:after="0" w:line="263" w:lineRule="auto"/>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“Substitute Award” shall mean an Award granted hereunder in assumption or replacement of an award issued by a company acquired by the Company or with which the Company or its Subsidiary combines.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591" w:right="319" w:bottom="1440" w:gutter="0" w:footer="0" w:header="0"/>
        </w:sectPr>
      </w:pPr>
    </w:p>
    <w:bookmarkStart w:id="108" w:name="page109"/>
    <w:bookmarkEnd w:id="108"/>
    <w:p>
      <w:pPr>
        <w:jc w:val="both"/>
        <w:ind w:left="-80" w:right="420" w:firstLine="818"/>
        <w:spacing w:after="0" w:line="253" w:lineRule="auto"/>
        <w:tabs>
          <w:tab w:leader="none" w:pos="11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“TARP Award” shall mean an Award hereunder that is at any time required to comply with the requirements for “long-term restricted stock” set forth in Treasury Regulations Section 31 CFR 30.1 (Q-1) and as interpreted and applied by the Special Master.</w:t>
      </w:r>
    </w:p>
    <w:p>
      <w:pPr>
        <w:spacing w:after="0" w:line="226" w:lineRule="exact"/>
        <w:rPr>
          <w:rFonts w:ascii="Arial" w:cs="Arial" w:eastAsia="Arial" w:hAnsi="Arial"/>
          <w:sz w:val="22"/>
          <w:szCs w:val="22"/>
          <w:color w:val="auto"/>
        </w:rPr>
      </w:pPr>
    </w:p>
    <w:p>
      <w:pPr>
        <w:ind w:left="1120" w:hanging="382"/>
        <w:spacing w:after="0"/>
        <w:tabs>
          <w:tab w:leader="none" w:pos="112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“Unit” shall mean a Restricted Stock Unit or RSU.</w:t>
      </w:r>
    </w:p>
    <w:p>
      <w:pPr>
        <w:spacing w:after="0" w:line="271" w:lineRule="exact"/>
        <w:rPr>
          <w:rFonts w:ascii="Arial" w:cs="Arial" w:eastAsia="Arial" w:hAnsi="Arial"/>
          <w:sz w:val="21"/>
          <w:szCs w:val="21"/>
          <w:color w:val="auto"/>
        </w:rPr>
      </w:pPr>
    </w:p>
    <w:p>
      <w:pPr>
        <w:ind w:left="1080" w:hanging="342"/>
        <w:spacing w:after="0"/>
        <w:tabs>
          <w:tab w:leader="none" w:pos="10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“Vice President, Global Human Resources” shall mean the Vice President, Global Human Resources of the Company.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320" w:top="591" w:right="2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APPENDIX A.2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MOTORS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SALARY STOCK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As amended June 5, 2013</w:t>
      </w:r>
    </w:p>
    <w:p>
      <w:pPr>
        <w:spacing w:after="0" w:line="202" w:lineRule="exact"/>
        <w:rPr>
          <w:sz w:val="20"/>
          <w:szCs w:val="20"/>
          <w:color w:val="auto"/>
        </w:rPr>
      </w:pPr>
    </w:p>
    <w:p>
      <w:pPr>
        <w:ind w:right="120" w:firstLine="810"/>
        <w:spacing w:after="0" w:line="312"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i w:val="1"/>
          <w:iCs w:val="1"/>
          <w:color w:val="auto"/>
        </w:rPr>
        <w:t>Purpose.</w:t>
      </w:r>
      <w:r>
        <w:rPr>
          <w:rFonts w:ascii="Arial" w:cs="Arial" w:eastAsia="Arial" w:hAnsi="Arial"/>
          <w:sz w:val="19"/>
          <w:szCs w:val="19"/>
          <w:color w:val="auto"/>
        </w:rPr>
        <w:t xml:space="preserve"> The purpose of the General Motors Company Salary Stock Plan is to compensate participating Employees in a manner that is consistent with the Company's obligations under the ARRA and under the terms of the Treasury Agreement. Capitalized terms used in the Plan shall have the definitions set forth in Section 9 of the Plan.</w:t>
      </w:r>
    </w:p>
    <w:p>
      <w:pPr>
        <w:spacing w:after="0" w:line="174" w:lineRule="exact"/>
        <w:rPr>
          <w:sz w:val="20"/>
          <w:szCs w:val="20"/>
          <w:color w:val="auto"/>
        </w:rPr>
      </w:pPr>
    </w:p>
    <w:p>
      <w:pPr>
        <w:ind w:right="20" w:firstLine="810"/>
        <w:spacing w:after="0" w:line="259"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i w:val="1"/>
          <w:iCs w:val="1"/>
          <w:color w:val="auto"/>
        </w:rPr>
        <w:t>Administration.</w:t>
      </w:r>
      <w:r>
        <w:rPr>
          <w:rFonts w:ascii="Arial" w:cs="Arial" w:eastAsia="Arial" w:hAnsi="Arial"/>
          <w:sz w:val="21"/>
          <w:szCs w:val="21"/>
          <w:color w:val="auto"/>
        </w:rPr>
        <w:t xml:space="preserve"> The Plan shall be administered by the Committee. The Committee shall have full discretionary power and authority, subject to such orders or resolutions not inconsistent with the provisions of the Plan as may from time to time be adopted by the Board, to (i) select the Employees to whom Awards may be granted hereunder; (ii) determine the amount of base salary and other compensation to be delivered in the form of an Award hereunder; (iii) determine whether, to what extent and under what circumstances Awards may be settled in cash, Shares or other property, and (iv) interpret and administer the Plan, and establish such rules and regulations and appoint such agents as it shall deem appropriate for the proper administration of the Plan. The Committee may delegate to an appropriate Executive Officer of the Company responsibility for determining, within the limits established by the Committee, individual Awards for Employees who are not Executive Committee members or Executive Officers of the Company.</w:t>
      </w:r>
    </w:p>
    <w:p>
      <w:pPr>
        <w:spacing w:after="0" w:line="221" w:lineRule="exact"/>
        <w:rPr>
          <w:sz w:val="20"/>
          <w:szCs w:val="20"/>
          <w:color w:val="auto"/>
        </w:rPr>
      </w:pPr>
    </w:p>
    <w:p>
      <w:pPr>
        <w:ind w:left="820"/>
        <w:spacing w:after="0"/>
        <w:tabs>
          <w:tab w:leader="none" w:pos="290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i w:val="1"/>
          <w:iCs w:val="1"/>
          <w:color w:val="auto"/>
        </w:rPr>
        <w:t>Shares Subject to the Plan.</w:t>
      </w:r>
    </w:p>
    <w:p>
      <w:pPr>
        <w:spacing w:after="0" w:line="260" w:lineRule="exact"/>
        <w:rPr>
          <w:sz w:val="20"/>
          <w:szCs w:val="20"/>
          <w:color w:val="auto"/>
        </w:rPr>
      </w:pPr>
    </w:p>
    <w:p>
      <w:pPr>
        <w:ind w:right="180" w:firstLine="832"/>
        <w:spacing w:after="0" w:line="250" w:lineRule="auto"/>
        <w:tabs>
          <w:tab w:leader="none" w:pos="152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Subject to the provisions of Section 3(c) below, the aggregate number of Shares with respect to which Awards may be granted under this Plan shall not exceed 75,000,000 Shares minus the number of Shares granted under the Short Term Incentive Plan and the Long-Term Incentive Plan. Awards granted under the Plan that are settled in cash will not count against the approved Share reserve.</w:t>
      </w:r>
    </w:p>
    <w:p>
      <w:pPr>
        <w:spacing w:after="0" w:line="228" w:lineRule="exact"/>
        <w:rPr>
          <w:rFonts w:ascii="Arial" w:cs="Arial" w:eastAsia="Arial" w:hAnsi="Arial"/>
          <w:sz w:val="22"/>
          <w:szCs w:val="22"/>
          <w:color w:val="auto"/>
        </w:rPr>
      </w:pPr>
    </w:p>
    <w:p>
      <w:pPr>
        <w:ind w:right="580" w:firstLine="832"/>
        <w:spacing w:after="0" w:line="263" w:lineRule="auto"/>
        <w:tabs>
          <w:tab w:leader="none" w:pos="153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 Shares delivered in settlement of Awards hereunder may consist, in whole or in part, of authorized and unissued Shares, treasury Shares or Shares purchased in the open market or otherwise.</w:t>
      </w:r>
    </w:p>
    <w:p>
      <w:pPr>
        <w:spacing w:after="0" w:line="215" w:lineRule="exact"/>
        <w:rPr>
          <w:rFonts w:ascii="Arial" w:cs="Arial" w:eastAsia="Arial" w:hAnsi="Arial"/>
          <w:sz w:val="22"/>
          <w:szCs w:val="22"/>
          <w:color w:val="auto"/>
        </w:rPr>
      </w:pPr>
    </w:p>
    <w:p>
      <w:pPr>
        <w:ind w:firstLine="832"/>
        <w:spacing w:after="0" w:line="294" w:lineRule="auto"/>
        <w:tabs>
          <w:tab w:leader="none" w:pos="152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this Plan and the number of Shares subject to Awards granted under this Plan (provided the number of Shares subject to any Award shall always be a whole number), as may be determined to be appropriate by the Committee in order to prevent unintended enhancement or diminution of the benefits or potential benefits intended to be conferred on Participants pursuant to Awards granted hereunder.</w:t>
      </w:r>
    </w:p>
    <w:p>
      <w:pPr>
        <w:spacing w:after="0" w:line="190" w:lineRule="exact"/>
        <w:rPr>
          <w:rFonts w:ascii="Arial" w:cs="Arial" w:eastAsia="Arial" w:hAnsi="Arial"/>
          <w:sz w:val="19"/>
          <w:szCs w:val="19"/>
          <w:color w:val="auto"/>
        </w:rPr>
      </w:pPr>
    </w:p>
    <w:p>
      <w:pPr>
        <w:ind w:right="300" w:firstLine="832"/>
        <w:spacing w:after="0" w:line="287" w:lineRule="auto"/>
        <w:tabs>
          <w:tab w:leader="none" w:pos="1535" w:val="left"/>
        </w:tabs>
        <w:numPr>
          <w:ilvl w:val="0"/>
          <w:numId w:val="102"/>
        </w:numPr>
        <w:rPr>
          <w:rFonts w:ascii="Arial" w:cs="Arial" w:eastAsia="Arial" w:hAnsi="Arial"/>
          <w:sz w:val="21"/>
          <w:szCs w:val="21"/>
          <w:color w:val="auto"/>
        </w:rPr>
      </w:pPr>
      <w:r>
        <w:rPr>
          <w:rFonts w:ascii="Arial" w:cs="Arial" w:eastAsia="Arial" w:hAnsi="Arial"/>
          <w:sz w:val="21"/>
          <w:szCs w:val="21"/>
          <w:color w:val="auto"/>
        </w:rPr>
        <w:t>For avoidance of doubt, Shares which are tendered or withheld to pay tax withholding obligations arising from the grant, or settlement of an Award will not again become available for grant under the terms of this Plan.</w:t>
      </w:r>
    </w:p>
    <w:p>
      <w:pPr>
        <w:spacing w:after="0" w:line="192" w:lineRule="exact"/>
        <w:rPr>
          <w:sz w:val="20"/>
          <w:szCs w:val="20"/>
          <w:color w:val="auto"/>
        </w:rPr>
      </w:pPr>
    </w:p>
    <w:p>
      <w:pPr>
        <w:ind w:left="820"/>
        <w:spacing w:after="0"/>
        <w:tabs>
          <w:tab w:leader="none" w:pos="290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i w:val="1"/>
          <w:iCs w:val="1"/>
          <w:color w:val="auto"/>
        </w:rPr>
        <w:t xml:space="preserve">Eligibility. </w:t>
      </w:r>
      <w:r>
        <w:rPr>
          <w:rFonts w:ascii="Arial" w:cs="Arial" w:eastAsia="Arial" w:hAnsi="Arial"/>
          <w:sz w:val="19"/>
          <w:szCs w:val="19"/>
          <w:color w:val="auto"/>
        </w:rPr>
        <w:t>Any Employee shall be eligible to be selected as a Participant.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110" w:name="page111"/>
    <w:bookmarkEnd w:id="110"/>
    <w:p>
      <w:pPr>
        <w:ind w:left="800"/>
        <w:spacing w:after="0"/>
        <w:tabs>
          <w:tab w:leader="none" w:pos="288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i w:val="1"/>
          <w:iCs w:val="1"/>
          <w:color w:val="auto"/>
        </w:rPr>
        <w:t>Restricted Stock Units.</w:t>
      </w:r>
    </w:p>
    <w:p>
      <w:pPr>
        <w:spacing w:after="0" w:line="260" w:lineRule="exact"/>
        <w:rPr>
          <w:sz w:val="20"/>
          <w:szCs w:val="20"/>
          <w:color w:val="auto"/>
        </w:rPr>
      </w:pPr>
    </w:p>
    <w:p>
      <w:pPr>
        <w:jc w:val="both"/>
        <w:ind w:left="-20" w:right="160" w:firstLine="832"/>
        <w:spacing w:after="0" w:line="253" w:lineRule="auto"/>
        <w:tabs>
          <w:tab w:leader="none" w:pos="1503"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Salary Stock</w:t>
      </w:r>
      <w:r>
        <w:rPr>
          <w:rFonts w:ascii="Arial" w:cs="Arial" w:eastAsia="Arial" w:hAnsi="Arial"/>
          <w:sz w:val="22"/>
          <w:szCs w:val="22"/>
          <w:color w:val="auto"/>
        </w:rPr>
        <w:t>. The Committee has the power to grant Restricted Stock Unit Awards to Participants on each Issue</w:t>
      </w:r>
      <w:r>
        <w:rPr>
          <w:rFonts w:ascii="Arial" w:cs="Arial" w:eastAsia="Arial" w:hAnsi="Arial"/>
          <w:sz w:val="22"/>
          <w:szCs w:val="22"/>
          <w:i w:val="1"/>
          <w:iCs w:val="1"/>
          <w:color w:val="auto"/>
        </w:rPr>
        <w:t xml:space="preserve"> </w:t>
      </w:r>
      <w:r>
        <w:rPr>
          <w:rFonts w:ascii="Arial" w:cs="Arial" w:eastAsia="Arial" w:hAnsi="Arial"/>
          <w:sz w:val="22"/>
          <w:szCs w:val="22"/>
          <w:color w:val="auto"/>
        </w:rPr>
        <w:t>Date. Units are valued by reference to a designated number of Shares. An RSU Award shall be subject to the terms and conditions set forth in this Plan.</w:t>
      </w:r>
    </w:p>
    <w:p>
      <w:pPr>
        <w:spacing w:after="0" w:line="226" w:lineRule="exact"/>
        <w:rPr>
          <w:rFonts w:ascii="Arial" w:cs="Arial" w:eastAsia="Arial" w:hAnsi="Arial"/>
          <w:sz w:val="22"/>
          <w:szCs w:val="22"/>
          <w:color w:val="auto"/>
        </w:rPr>
      </w:pPr>
    </w:p>
    <w:p>
      <w:pPr>
        <w:ind w:left="-20" w:right="160" w:firstLine="832"/>
        <w:spacing w:after="0" w:line="263" w:lineRule="auto"/>
        <w:tabs>
          <w:tab w:leader="none" w:pos="1515"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Vesting</w:t>
      </w:r>
      <w:r>
        <w:rPr>
          <w:rFonts w:ascii="Arial" w:cs="Arial" w:eastAsia="Arial" w:hAnsi="Arial"/>
          <w:sz w:val="22"/>
          <w:szCs w:val="22"/>
          <w:color w:val="auto"/>
        </w:rPr>
        <w:t>. All Awards granted hereunder shall be vested and nonforfeitable upon grant thereof except as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for in this Plan.</w:t>
      </w:r>
    </w:p>
    <w:p>
      <w:pPr>
        <w:spacing w:after="0" w:line="215" w:lineRule="exact"/>
        <w:rPr>
          <w:rFonts w:ascii="Arial" w:cs="Arial" w:eastAsia="Arial" w:hAnsi="Arial"/>
          <w:sz w:val="22"/>
          <w:szCs w:val="22"/>
          <w:color w:val="auto"/>
        </w:rPr>
      </w:pPr>
    </w:p>
    <w:p>
      <w:pPr>
        <w:ind w:left="-20" w:right="720" w:firstLine="832"/>
        <w:spacing w:after="0" w:line="263" w:lineRule="auto"/>
        <w:tabs>
          <w:tab w:leader="none" w:pos="1503"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Form of Settlement</w:t>
      </w:r>
      <w:r>
        <w:rPr>
          <w:rFonts w:ascii="Arial" w:cs="Arial" w:eastAsia="Arial" w:hAnsi="Arial"/>
          <w:sz w:val="22"/>
          <w:szCs w:val="22"/>
          <w:color w:val="auto"/>
        </w:rPr>
        <w:t>. Each RSU shall be settled by delivery of the Fair Market Value of one Share as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anniversary date of grant in cash or one share of stock.</w:t>
      </w:r>
    </w:p>
    <w:p>
      <w:pPr>
        <w:spacing w:after="0" w:line="215" w:lineRule="exact"/>
        <w:rPr>
          <w:rFonts w:ascii="Arial" w:cs="Arial" w:eastAsia="Arial" w:hAnsi="Arial"/>
          <w:sz w:val="22"/>
          <w:szCs w:val="22"/>
          <w:color w:val="auto"/>
        </w:rPr>
      </w:pPr>
    </w:p>
    <w:p>
      <w:pPr>
        <w:ind w:left="-20" w:right="220" w:firstLine="832"/>
        <w:spacing w:after="0" w:line="343" w:lineRule="auto"/>
        <w:tabs>
          <w:tab w:leader="none" w:pos="1515" w:val="left"/>
        </w:tabs>
        <w:numPr>
          <w:ilvl w:val="0"/>
          <w:numId w:val="103"/>
        </w:numPr>
        <w:rPr>
          <w:rFonts w:ascii="Arial" w:cs="Arial" w:eastAsia="Arial" w:hAnsi="Arial"/>
          <w:sz w:val="19"/>
          <w:szCs w:val="19"/>
          <w:color w:val="auto"/>
        </w:rPr>
      </w:pPr>
      <w:r>
        <w:rPr>
          <w:rFonts w:ascii="Arial" w:cs="Arial" w:eastAsia="Arial" w:hAnsi="Arial"/>
          <w:sz w:val="19"/>
          <w:szCs w:val="19"/>
          <w:i w:val="1"/>
          <w:iCs w:val="1"/>
          <w:color w:val="auto"/>
        </w:rPr>
        <w:t>Settlement</w:t>
      </w:r>
      <w:r>
        <w:rPr>
          <w:rFonts w:ascii="Arial" w:cs="Arial" w:eastAsia="Arial" w:hAnsi="Arial"/>
          <w:sz w:val="19"/>
          <w:szCs w:val="19"/>
          <w:color w:val="auto"/>
        </w:rPr>
        <w:t>. (i) Except as set forth in Section 5(d)(iii), one third of the RSUs granted on any Issue Date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settled on each of the first, second and third anniversaries of the Issue Date thereof, if permitted under Section 409A of the Code.</w:t>
      </w:r>
    </w:p>
    <w:p>
      <w:pPr>
        <w:spacing w:after="0" w:line="145" w:lineRule="exact"/>
        <w:rPr>
          <w:rFonts w:ascii="Arial" w:cs="Arial" w:eastAsia="Arial" w:hAnsi="Arial"/>
          <w:sz w:val="19"/>
          <w:szCs w:val="19"/>
          <w:color w:val="auto"/>
        </w:rPr>
      </w:pPr>
    </w:p>
    <w:p>
      <w:pPr>
        <w:jc w:val="both"/>
        <w:ind w:left="640" w:firstLine="969"/>
        <w:spacing w:after="0" w:line="312" w:lineRule="auto"/>
        <w:tabs>
          <w:tab w:leader="none" w:pos="225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If a Participant's employment terminates as a result of his or her death or Disability prior to the settlement date(s) applicable to his or her Award, all Awards then held by such Participant will be settled as soon as is practicable after the date of termination of employment. The form of settlement shall be as provided in Section 5(c).</w:t>
      </w:r>
    </w:p>
    <w:p>
      <w:pPr>
        <w:spacing w:after="0" w:line="174" w:lineRule="exact"/>
        <w:rPr>
          <w:rFonts w:ascii="Arial" w:cs="Arial" w:eastAsia="Arial" w:hAnsi="Arial"/>
          <w:sz w:val="19"/>
          <w:szCs w:val="19"/>
          <w:color w:val="auto"/>
        </w:rPr>
      </w:pPr>
    </w:p>
    <w:p>
      <w:pPr>
        <w:jc w:val="both"/>
        <w:ind w:left="640" w:right="180" w:firstLine="969"/>
        <w:spacing w:after="0" w:line="253" w:lineRule="auto"/>
        <w:tabs>
          <w:tab w:leader="none" w:pos="2315" w:val="left"/>
        </w:tabs>
        <w:numPr>
          <w:ilvl w:val="1"/>
          <w:numId w:val="103"/>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the Committee may grant Awards hereunder with different settlement schedules, as long as such different schedules do not contravene the instructions of the Special Master and do not violate ARRA.</w:t>
      </w:r>
    </w:p>
    <w:p>
      <w:pPr>
        <w:spacing w:after="0" w:line="226" w:lineRule="exact"/>
        <w:rPr>
          <w:rFonts w:ascii="Arial" w:cs="Arial" w:eastAsia="Arial" w:hAnsi="Arial"/>
          <w:sz w:val="22"/>
          <w:szCs w:val="22"/>
          <w:color w:val="auto"/>
        </w:rPr>
      </w:pPr>
    </w:p>
    <w:p>
      <w:pPr>
        <w:ind w:left="-20" w:right="340" w:firstLine="832"/>
        <w:spacing w:after="0" w:line="287" w:lineRule="auto"/>
        <w:tabs>
          <w:tab w:leader="none" w:pos="1503" w:val="left"/>
        </w:tabs>
        <w:numPr>
          <w:ilvl w:val="0"/>
          <w:numId w:val="103"/>
        </w:numPr>
        <w:rPr>
          <w:rFonts w:ascii="Arial" w:cs="Arial" w:eastAsia="Arial" w:hAnsi="Arial"/>
          <w:sz w:val="21"/>
          <w:szCs w:val="21"/>
          <w:color w:val="auto"/>
        </w:rPr>
      </w:pPr>
      <w:r>
        <w:rPr>
          <w:rFonts w:ascii="Arial" w:cs="Arial" w:eastAsia="Arial" w:hAnsi="Arial"/>
          <w:sz w:val="21"/>
          <w:szCs w:val="21"/>
          <w:i w:val="1"/>
          <w:iCs w:val="1"/>
          <w:color w:val="auto"/>
        </w:rPr>
        <w:t>No Rights of a Shareholder</w:t>
      </w:r>
      <w:r>
        <w:rPr>
          <w:rFonts w:ascii="Arial" w:cs="Arial" w:eastAsia="Arial" w:hAnsi="Arial"/>
          <w:sz w:val="21"/>
          <w:szCs w:val="21"/>
          <w:color w:val="auto"/>
        </w:rPr>
        <w:t>. No holder of any Award shall have any rights to dividends or any other rights of a</w:t>
      </w:r>
      <w:r>
        <w:rPr>
          <w:rFonts w:ascii="Arial" w:cs="Arial" w:eastAsia="Arial" w:hAnsi="Arial"/>
          <w:sz w:val="21"/>
          <w:szCs w:val="21"/>
          <w:i w:val="1"/>
          <w:iCs w:val="1"/>
          <w:color w:val="auto"/>
        </w:rPr>
        <w:t xml:space="preserve"> </w:t>
      </w:r>
      <w:r>
        <w:rPr>
          <w:rFonts w:ascii="Arial" w:cs="Arial" w:eastAsia="Arial" w:hAnsi="Arial"/>
          <w:sz w:val="21"/>
          <w:szCs w:val="21"/>
          <w:color w:val="auto"/>
        </w:rPr>
        <w:t>stockholder with respect to Shares subject to the Award prior to becoming the record owner of such Shares.</w:t>
      </w:r>
    </w:p>
    <w:p>
      <w:pPr>
        <w:spacing w:after="0" w:line="192" w:lineRule="exact"/>
        <w:rPr>
          <w:sz w:val="20"/>
          <w:szCs w:val="20"/>
          <w:color w:val="auto"/>
        </w:rPr>
      </w:pPr>
    </w:p>
    <w:p>
      <w:pPr>
        <w:ind w:left="800"/>
        <w:spacing w:after="0"/>
        <w:tabs>
          <w:tab w:leader="none" w:pos="288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i w:val="1"/>
          <w:iCs w:val="1"/>
          <w:color w:val="auto"/>
        </w:rPr>
        <w:t>Amendments, Termination and Recoupment.</w:t>
      </w:r>
    </w:p>
    <w:p>
      <w:pPr>
        <w:spacing w:after="0" w:line="260" w:lineRule="exact"/>
        <w:rPr>
          <w:sz w:val="20"/>
          <w:szCs w:val="20"/>
          <w:color w:val="auto"/>
        </w:rPr>
      </w:pPr>
    </w:p>
    <w:p>
      <w:pPr>
        <w:ind w:left="-20" w:right="140" w:firstLine="832"/>
        <w:spacing w:after="0" w:line="260" w:lineRule="auto"/>
        <w:tabs>
          <w:tab w:leader="none" w:pos="1503"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the rules of the New York Stock Exchange or such other exchange as may constitute from time to time the principal trading market for the Company's Shares, and (ii) the consent of the affected Participant, if such action would materially impair the rights of such Participant under any outstanding Award. The Board has delegated to the Vice President, Global Human Resources authority to approve non-material amendments necessary or advisable with the advice of the Company's Legal Staff.</w:t>
      </w:r>
    </w:p>
    <w:p>
      <w:pPr>
        <w:spacing w:after="0" w:line="221" w:lineRule="exact"/>
        <w:rPr>
          <w:rFonts w:ascii="Arial" w:cs="Arial" w:eastAsia="Arial" w:hAnsi="Arial"/>
          <w:sz w:val="21"/>
          <w:szCs w:val="21"/>
          <w:color w:val="auto"/>
        </w:rPr>
      </w:pPr>
    </w:p>
    <w:p>
      <w:pPr>
        <w:ind w:left="-20" w:right="80" w:firstLine="832"/>
        <w:spacing w:after="0" w:line="247" w:lineRule="auto"/>
        <w:tabs>
          <w:tab w:leader="none" w:pos="151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Committee has the authority to take any action consistent with the terms of the Plan, either before or after an Award has been granted, that it deems necessary or advisable to comply with any government laws or regulatory requirements of a foreign country, including, but not limited to, modifying or amending the terms and conditions governing any Awards, or establishing any local country plans as sub-plans to this Plan. In addition, under all circumstances, the Committee or Officer of the Company may make non-substantive administrative changes to the Plan so as to conform with or take advantage of governmental requirements, statutes or regulations.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591" w:right="259" w:bottom="1440" w:gutter="0" w:footer="0" w:header="0"/>
        </w:sectPr>
      </w:pPr>
    </w:p>
    <w:bookmarkStart w:id="111" w:name="page112"/>
    <w:bookmarkEnd w:id="111"/>
    <w:p>
      <w:pPr>
        <w:ind w:right="420" w:firstLine="832"/>
        <w:spacing w:after="0" w:line="287" w:lineRule="auto"/>
        <w:tabs>
          <w:tab w:leader="none" w:pos="1523"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Committee may amend the terms of any Award theretofore granted, prospectively or retroactively, but no such amendment shall materially impair the rights of any Participant without his or her consent.</w:t>
      </w:r>
    </w:p>
    <w:p>
      <w:pPr>
        <w:spacing w:after="0" w:line="192" w:lineRule="exact"/>
        <w:rPr>
          <w:rFonts w:ascii="Arial" w:cs="Arial" w:eastAsia="Arial" w:hAnsi="Arial"/>
          <w:sz w:val="21"/>
          <w:szCs w:val="21"/>
          <w:color w:val="auto"/>
        </w:rPr>
      </w:pPr>
    </w:p>
    <w:p>
      <w:pPr>
        <w:jc w:val="both"/>
        <w:ind w:right="160" w:firstLine="832"/>
        <w:spacing w:after="0" w:line="265" w:lineRule="auto"/>
        <w:tabs>
          <w:tab w:leader="none" w:pos="153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If any provision of the Plan or any Award is invalid or unenforceable in any jurisdiction, (i) such provision shall be modified or eliminated, but only to the extent necessary to 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Plan or any Award.</w:t>
      </w:r>
    </w:p>
    <w:p>
      <w:pPr>
        <w:spacing w:after="0" w:line="216" w:lineRule="exact"/>
        <w:rPr>
          <w:rFonts w:ascii="Arial" w:cs="Arial" w:eastAsia="Arial" w:hAnsi="Arial"/>
          <w:sz w:val="21"/>
          <w:szCs w:val="21"/>
          <w:color w:val="auto"/>
        </w:rPr>
      </w:pPr>
    </w:p>
    <w:p>
      <w:pPr>
        <w:ind w:firstLine="832"/>
        <w:spacing w:after="0" w:line="290" w:lineRule="auto"/>
        <w:tabs>
          <w:tab w:leader="none" w:pos="152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Notwithstanding any provision of this Plan to the contrary, any RSUs accrued or granted and undelivered hereunder, are subject to forfeiture as may be determined by the Chief Executive Officer or Vice President, Global Human Resources, (i) if the Participant accruing or granted such Award engages or has engaged or indicates an intention to engage in an act (or omission to act) that causes or has the potential to cause tangible or intangible damage or injury to the Company in a non-trivial manner or to a non-trivial degree, or (ii) engages in any activity which is in any manner inimical or in any way contrary to the best interests of the Company, or (iii) as may be directed by the Special Master. For purposes of this provision, the determination of whether an action will cause damage to the Company, or is inimical or in any way contrary to the best interest of the Company shall be made in the sole discretion of the Chief Executive Officer or Vice President, Human Resources of the Company.</w:t>
      </w:r>
    </w:p>
    <w:p>
      <w:pPr>
        <w:spacing w:after="0" w:line="197" w:lineRule="exact"/>
        <w:rPr>
          <w:sz w:val="20"/>
          <w:szCs w:val="20"/>
          <w:color w:val="auto"/>
        </w:rPr>
      </w:pPr>
    </w:p>
    <w:p>
      <w:pPr>
        <w:ind w:left="820"/>
        <w:spacing w:after="0"/>
        <w:tabs>
          <w:tab w:leader="none" w:pos="290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i w:val="1"/>
          <w:iCs w:val="1"/>
          <w:color w:val="auto"/>
        </w:rPr>
        <w:t>General Provisions.</w:t>
      </w:r>
    </w:p>
    <w:p>
      <w:pPr>
        <w:spacing w:after="0" w:line="260" w:lineRule="exact"/>
        <w:rPr>
          <w:sz w:val="20"/>
          <w:szCs w:val="20"/>
          <w:color w:val="auto"/>
        </w:rPr>
      </w:pPr>
    </w:p>
    <w:p>
      <w:pPr>
        <w:ind w:right="40" w:firstLine="832"/>
        <w:spacing w:after="0" w:line="343" w:lineRule="auto"/>
        <w:tabs>
          <w:tab w:leader="none" w:pos="152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 Award may not be sold, exercised, pledged, assigned, hypothecated, transferred, or disposed of in any manner. For the avoidance of doubt, upon settlement of any Award, the cash or Shares delivered will not be subject to this restriction.</w:t>
      </w:r>
    </w:p>
    <w:p>
      <w:pPr>
        <w:spacing w:after="0" w:line="145" w:lineRule="exact"/>
        <w:rPr>
          <w:rFonts w:ascii="Arial" w:cs="Arial" w:eastAsia="Arial" w:hAnsi="Arial"/>
          <w:sz w:val="19"/>
          <w:szCs w:val="19"/>
          <w:color w:val="auto"/>
        </w:rPr>
      </w:pPr>
    </w:p>
    <w:p>
      <w:pPr>
        <w:jc w:val="both"/>
        <w:ind w:right="200" w:firstLine="832"/>
        <w:spacing w:after="0" w:line="265" w:lineRule="auto"/>
        <w:tabs>
          <w:tab w:leader="none" w:pos="153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Neither the Award nor any benefits arising out of this Plan shall constitute part of a Participant's employment or service contract with the Company or any Subsidiary and, accordingly, except as provided in Section 6(a) and (c) above, this Plan and the benefits hereunder may be terminated at any time in the sole discretion of the Company without giving rise to liability on the part of the Company or any Subsidiary for severance payments.</w:t>
      </w:r>
    </w:p>
    <w:p>
      <w:pPr>
        <w:spacing w:after="0" w:line="216" w:lineRule="exact"/>
        <w:rPr>
          <w:rFonts w:ascii="Arial" w:cs="Arial" w:eastAsia="Arial" w:hAnsi="Arial"/>
          <w:sz w:val="21"/>
          <w:szCs w:val="21"/>
          <w:color w:val="auto"/>
        </w:rPr>
      </w:pPr>
    </w:p>
    <w:p>
      <w:pPr>
        <w:ind w:right="780" w:firstLine="832"/>
        <w:spacing w:after="0" w:line="263" w:lineRule="auto"/>
        <w:tabs>
          <w:tab w:leader="none" w:pos="152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No Employee shall have any claim to be granted any Award under the Plan, and there is no obligation for uniformity of treatment of Participants under the Plan.</w:t>
      </w:r>
    </w:p>
    <w:p>
      <w:pPr>
        <w:spacing w:after="0" w:line="215" w:lineRule="exact"/>
        <w:rPr>
          <w:rFonts w:ascii="Arial" w:cs="Arial" w:eastAsia="Arial" w:hAnsi="Arial"/>
          <w:sz w:val="22"/>
          <w:szCs w:val="22"/>
          <w:color w:val="auto"/>
        </w:rPr>
      </w:pPr>
    </w:p>
    <w:p>
      <w:pPr>
        <w:ind w:right="100" w:firstLine="832"/>
        <w:spacing w:after="0" w:line="302" w:lineRule="auto"/>
        <w:tabs>
          <w:tab w:leader="none" w:pos="153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83" w:lineRule="exact"/>
        <w:rPr>
          <w:rFonts w:ascii="Arial" w:cs="Arial" w:eastAsia="Arial" w:hAnsi="Arial"/>
          <w:sz w:val="19"/>
          <w:szCs w:val="19"/>
          <w:color w:val="auto"/>
        </w:rPr>
      </w:pPr>
    </w:p>
    <w:p>
      <w:pPr>
        <w:ind w:right="20" w:firstLine="832"/>
        <w:spacing w:after="0" w:line="248" w:lineRule="auto"/>
        <w:tabs>
          <w:tab w:leader="none" w:pos="152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may be then listed, and any applicable federal or state securities law, and the Committee may cause a legend or legends to be put on any certificates or other indicia of ownership of such Shares to make appropriate reference to such restrictions.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112" w:name="page113"/>
    <w:bookmarkEnd w:id="112"/>
    <w:p>
      <w:pPr>
        <w:ind w:right="100" w:firstLine="832"/>
        <w:spacing w:after="0" w:line="250" w:lineRule="auto"/>
        <w:tabs>
          <w:tab w:leader="none" w:pos="149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No Award granted hereunder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228" w:lineRule="exact"/>
        <w:rPr>
          <w:rFonts w:ascii="Arial" w:cs="Arial" w:eastAsia="Arial" w:hAnsi="Arial"/>
          <w:sz w:val="22"/>
          <w:szCs w:val="22"/>
          <w:color w:val="auto"/>
        </w:rPr>
      </w:pPr>
    </w:p>
    <w:p>
      <w:pPr>
        <w:ind w:right="20" w:firstLine="832"/>
        <w:spacing w:after="0" w:line="290" w:lineRule="auto"/>
        <w:tabs>
          <w:tab w:leader="none" w:pos="153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Company and its Subsidiaries shall be authorized to withhold from any Award granted or payment due under the Plan the amount of withholding taxes due in respect of an Award or payment hereunder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 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 minimum required tax withholding rate to the extent such limitation is necessary to avoid a charge to the Company for financial reporting purposes) otherwise deliverable in connection with the Award.</w:t>
      </w:r>
    </w:p>
    <w:p>
      <w:pPr>
        <w:spacing w:after="0" w:line="197" w:lineRule="exact"/>
        <w:rPr>
          <w:rFonts w:ascii="Arial" w:cs="Arial" w:eastAsia="Arial" w:hAnsi="Arial"/>
          <w:sz w:val="19"/>
          <w:szCs w:val="19"/>
          <w:color w:val="auto"/>
        </w:rPr>
      </w:pPr>
    </w:p>
    <w:p>
      <w:pPr>
        <w:ind w:right="780" w:firstLine="832"/>
        <w:spacing w:after="0" w:line="253" w:lineRule="auto"/>
        <w:tabs>
          <w:tab w:leader="none" w:pos="153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226" w:lineRule="exact"/>
        <w:rPr>
          <w:rFonts w:ascii="Arial" w:cs="Arial" w:eastAsia="Arial" w:hAnsi="Arial"/>
          <w:sz w:val="22"/>
          <w:szCs w:val="22"/>
          <w:color w:val="auto"/>
        </w:rPr>
      </w:pPr>
    </w:p>
    <w:p>
      <w:pPr>
        <w:ind w:right="100" w:firstLine="832"/>
        <w:spacing w:after="0" w:line="343" w:lineRule="auto"/>
        <w:tabs>
          <w:tab w:leader="none" w:pos="148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spacing w:after="0" w:line="145" w:lineRule="exact"/>
        <w:rPr>
          <w:rFonts w:ascii="Arial" w:cs="Arial" w:eastAsia="Arial" w:hAnsi="Arial"/>
          <w:sz w:val="19"/>
          <w:szCs w:val="19"/>
          <w:color w:val="auto"/>
        </w:rPr>
      </w:pPr>
    </w:p>
    <w:p>
      <w:pPr>
        <w:ind w:right="20" w:firstLine="832"/>
        <w:spacing w:after="0" w:line="246" w:lineRule="auto"/>
        <w:tabs>
          <w:tab w:leader="none" w:pos="148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7(j) may not be made without stockholder approval or Participant approval, if such approval is required by Section 6. The Committee also may impose conditions on the exercise or vesting of Awards in order to minimize the Company's obligation with respect to tax equalization for Employees on assignments outside their home country.</w:t>
      </w:r>
    </w:p>
    <w:p>
      <w:pPr>
        <w:spacing w:after="0" w:line="237" w:lineRule="exact"/>
        <w:rPr>
          <w:rFonts w:ascii="Arial" w:cs="Arial" w:eastAsia="Arial" w:hAnsi="Arial"/>
          <w:sz w:val="22"/>
          <w:szCs w:val="22"/>
          <w:color w:val="auto"/>
        </w:rPr>
      </w:pPr>
    </w:p>
    <w:p>
      <w:pPr>
        <w:ind w:right="180" w:firstLine="832"/>
        <w:spacing w:after="0" w:line="253" w:lineRule="auto"/>
        <w:tabs>
          <w:tab w:leader="none" w:pos="153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the Company shall have any unpaid claim against the Participant arising out of or in connection with such Participant's employment with the Company, such claim may be offset against Awards delivered under this Plan. Such claim may include, but is not limited to, unpaid taxes or corporate business credit card charges.</w:t>
      </w:r>
    </w:p>
    <w:p>
      <w:pPr>
        <w:spacing w:after="0" w:line="226" w:lineRule="exact"/>
        <w:rPr>
          <w:rFonts w:ascii="Arial" w:cs="Arial" w:eastAsia="Arial" w:hAnsi="Arial"/>
          <w:sz w:val="22"/>
          <w:szCs w:val="22"/>
          <w:color w:val="auto"/>
        </w:rPr>
      </w:pPr>
    </w:p>
    <w:p>
      <w:pPr>
        <w:jc w:val="both"/>
        <w:ind w:firstLine="832"/>
        <w:spacing w:after="0" w:line="263" w:lineRule="auto"/>
        <w:tabs>
          <w:tab w:leader="none" w:pos="1487" w:val="left"/>
        </w:tabs>
        <w:numPr>
          <w:ilvl w:val="0"/>
          <w:numId w:val="107"/>
        </w:numPr>
        <w:rPr>
          <w:rFonts w:ascii="Arial" w:cs="Arial" w:eastAsia="Arial" w:hAnsi="Arial"/>
          <w:sz w:val="21"/>
          <w:szCs w:val="21"/>
          <w:color w:val="auto"/>
        </w:rPr>
      </w:pPr>
      <w:r>
        <w:rPr>
          <w:rFonts w:ascii="Arial" w:cs="Arial" w:eastAsia="Arial" w:hAnsi="Arial"/>
          <w:sz w:val="21"/>
          <w:szCs w:val="21"/>
          <w:color w:val="auto"/>
        </w:rPr>
        <w:t>Notwithstanding any provision of this Plan, no Plan elections, modifications or distributions will be allowed or implemented if they would cause the Participant to be subject to tax (including interest and penalties) under Section 409A of the Code. The settlement of Awards hereunder may be delayed up to six months following a Participant's termination of employment if the Participant is a “specified employee” for purposes of such Section 409A, and such delay is necessary to avoid the imposition of tax (including interest and penalties) under Section 409A.</w:t>
      </w:r>
    </w:p>
    <w:p>
      <w:pPr>
        <w:spacing w:after="0" w:line="216" w:lineRule="exact"/>
        <w:rPr>
          <w:sz w:val="20"/>
          <w:szCs w:val="20"/>
          <w:color w:val="auto"/>
        </w:rPr>
      </w:pPr>
    </w:p>
    <w:p>
      <w:pPr>
        <w:ind w:right="240" w:firstLine="810"/>
        <w:spacing w:after="0" w:line="263"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i w:val="1"/>
          <w:iCs w:val="1"/>
          <w:color w:val="auto"/>
        </w:rPr>
        <w:t>Term of Plan.</w:t>
      </w:r>
      <w:r>
        <w:rPr>
          <w:rFonts w:ascii="Arial" w:cs="Arial" w:eastAsia="Arial" w:hAnsi="Arial"/>
          <w:sz w:val="22"/>
          <w:szCs w:val="22"/>
          <w:color w:val="auto"/>
        </w:rPr>
        <w:t xml:space="preserve"> The Plan shall terminate on the day after the date when all Awards hereunder are settled in accordance with the terms of the Plan, unless sooner terminated by the Board pursuant to Section 6.</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591" w:right="299" w:bottom="1440" w:gutter="0" w:footer="0" w:header="0"/>
        </w:sectPr>
      </w:pPr>
    </w:p>
    <w:bookmarkStart w:id="113" w:name="page114"/>
    <w:bookmarkEnd w:id="113"/>
    <w:p>
      <w:pPr>
        <w:ind w:left="780"/>
        <w:spacing w:after="0"/>
        <w:tabs>
          <w:tab w:leader="none" w:pos="286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19"/>
          <w:szCs w:val="19"/>
          <w:i w:val="1"/>
          <w:iCs w:val="1"/>
          <w:color w:val="auto"/>
        </w:rPr>
        <w:t xml:space="preserve">Definitions. </w:t>
      </w:r>
      <w:r>
        <w:rPr>
          <w:rFonts w:ascii="Arial" w:cs="Arial" w:eastAsia="Arial" w:hAnsi="Arial"/>
          <w:sz w:val="19"/>
          <w:szCs w:val="19"/>
          <w:color w:val="auto"/>
        </w:rPr>
        <w:t>As used in the Plan, the following terms shall have the meanings set forth below:</w:t>
      </w:r>
    </w:p>
    <w:p>
      <w:pPr>
        <w:spacing w:after="0" w:line="260" w:lineRule="exact"/>
        <w:rPr>
          <w:sz w:val="20"/>
          <w:szCs w:val="20"/>
          <w:color w:val="auto"/>
        </w:rPr>
      </w:pPr>
    </w:p>
    <w:p>
      <w:pPr>
        <w:ind w:left="1500" w:hanging="708"/>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“ARRA” shall mean the American Recovery and Reinvestment Act of 2009.</w:t>
      </w:r>
    </w:p>
    <w:p>
      <w:pPr>
        <w:spacing w:after="0" w:line="260" w:lineRule="exact"/>
        <w:rPr>
          <w:rFonts w:ascii="Arial" w:cs="Arial" w:eastAsia="Arial" w:hAnsi="Arial"/>
          <w:sz w:val="22"/>
          <w:szCs w:val="22"/>
          <w:color w:val="auto"/>
        </w:rPr>
      </w:pPr>
    </w:p>
    <w:p>
      <w:pPr>
        <w:ind w:left="1500" w:hanging="708"/>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“Award” shall mean an award hereunder of Restricted Stock Units.</w:t>
      </w:r>
    </w:p>
    <w:p>
      <w:pPr>
        <w:spacing w:after="0" w:line="260" w:lineRule="exact"/>
        <w:rPr>
          <w:rFonts w:ascii="Arial" w:cs="Arial" w:eastAsia="Arial" w:hAnsi="Arial"/>
          <w:sz w:val="22"/>
          <w:szCs w:val="22"/>
          <w:color w:val="auto"/>
        </w:rPr>
      </w:pPr>
    </w:p>
    <w:p>
      <w:pPr>
        <w:ind w:left="1500" w:hanging="708"/>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60" w:lineRule="exact"/>
        <w:rPr>
          <w:rFonts w:ascii="Arial" w:cs="Arial" w:eastAsia="Arial" w:hAnsi="Arial"/>
          <w:sz w:val="22"/>
          <w:szCs w:val="22"/>
          <w:color w:val="auto"/>
        </w:rPr>
      </w:pPr>
    </w:p>
    <w:p>
      <w:pPr>
        <w:ind w:left="1500" w:hanging="708"/>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“Chief Executive Officer” shall mean the Chief Executive Officer of the Company.</w:t>
      </w:r>
    </w:p>
    <w:p>
      <w:pPr>
        <w:spacing w:after="0" w:line="260" w:lineRule="exact"/>
        <w:rPr>
          <w:rFonts w:ascii="Arial" w:cs="Arial" w:eastAsia="Arial" w:hAnsi="Arial"/>
          <w:sz w:val="22"/>
          <w:szCs w:val="22"/>
          <w:color w:val="auto"/>
        </w:rPr>
      </w:pPr>
    </w:p>
    <w:p>
      <w:pPr>
        <w:ind w:left="-40" w:right="60" w:firstLine="832"/>
        <w:spacing w:after="0" w:line="263" w:lineRule="auto"/>
        <w:tabs>
          <w:tab w:leader="none" w:pos="148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 and any successor thereto, and any reference to any section of the Code shall also include any successor provision thereto.</w:t>
      </w:r>
    </w:p>
    <w:p>
      <w:pPr>
        <w:spacing w:after="0" w:line="215" w:lineRule="exact"/>
        <w:rPr>
          <w:rFonts w:ascii="Arial" w:cs="Arial" w:eastAsia="Arial" w:hAnsi="Arial"/>
          <w:sz w:val="22"/>
          <w:szCs w:val="22"/>
          <w:color w:val="auto"/>
        </w:rPr>
      </w:pPr>
    </w:p>
    <w:p>
      <w:pPr>
        <w:ind w:left="-40" w:firstLine="832"/>
        <w:spacing w:after="0" w:line="263" w:lineRule="auto"/>
        <w:tabs>
          <w:tab w:leader="none" w:pos="145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“Committee” shall mean the Executive Compensation Committee of the Board, its named successor, or such other persons or committee to whom the Board has delegated any authority, as may be appropriate.</w:t>
      </w:r>
    </w:p>
    <w:p>
      <w:pPr>
        <w:spacing w:after="0" w:line="215" w:lineRule="exact"/>
        <w:rPr>
          <w:rFonts w:ascii="Arial" w:cs="Arial" w:eastAsia="Arial" w:hAnsi="Arial"/>
          <w:sz w:val="22"/>
          <w:szCs w:val="22"/>
          <w:color w:val="auto"/>
        </w:rPr>
      </w:pPr>
    </w:p>
    <w:p>
      <w:pPr>
        <w:ind w:left="1500" w:hanging="708"/>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“Company” shall mean General Motors Company, a Delaware Company, or its successor.</w:t>
      </w:r>
    </w:p>
    <w:p>
      <w:pPr>
        <w:spacing w:after="0" w:line="260" w:lineRule="exact"/>
        <w:rPr>
          <w:rFonts w:ascii="Arial" w:cs="Arial" w:eastAsia="Arial" w:hAnsi="Arial"/>
          <w:sz w:val="22"/>
          <w:szCs w:val="22"/>
          <w:color w:val="auto"/>
        </w:rPr>
      </w:pPr>
    </w:p>
    <w:p>
      <w:pPr>
        <w:ind w:left="-40" w:right="440" w:firstLine="832"/>
        <w:spacing w:after="0" w:line="253" w:lineRule="auto"/>
        <w:tabs>
          <w:tab w:leader="none" w:pos="149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“Disability” shall mean the Participant is unable to engage in any gainful activity by reason of any medically determinable physical or mental impairment that can be expected to result in death or can be expected to last for a continuous period of not less than 12 months</w:t>
      </w:r>
    </w:p>
    <w:p>
      <w:pPr>
        <w:spacing w:after="0" w:line="226" w:lineRule="exact"/>
        <w:rPr>
          <w:rFonts w:ascii="Arial" w:cs="Arial" w:eastAsia="Arial" w:hAnsi="Arial"/>
          <w:sz w:val="22"/>
          <w:szCs w:val="22"/>
          <w:color w:val="auto"/>
        </w:rPr>
      </w:pPr>
    </w:p>
    <w:p>
      <w:pPr>
        <w:ind w:left="-40" w:right="120" w:firstLine="832"/>
        <w:spacing w:after="0" w:line="253" w:lineRule="auto"/>
        <w:tabs>
          <w:tab w:leader="none" w:pos="150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“Employee” shall mean any individual who is employed by the Company or any Subsidiary who is classified by the Company as an executive or who is in the group of employees whose compensation structure or compensation is subject to approval by the Special Master.</w:t>
      </w:r>
    </w:p>
    <w:p>
      <w:pPr>
        <w:spacing w:after="0" w:line="226" w:lineRule="exact"/>
        <w:rPr>
          <w:rFonts w:ascii="Arial" w:cs="Arial" w:eastAsia="Arial" w:hAnsi="Arial"/>
          <w:sz w:val="22"/>
          <w:szCs w:val="22"/>
          <w:color w:val="auto"/>
        </w:rPr>
      </w:pPr>
    </w:p>
    <w:p>
      <w:pPr>
        <w:ind w:left="-40" w:right="40" w:firstLine="832"/>
        <w:spacing w:after="0" w:line="343" w:lineRule="auto"/>
        <w:tabs>
          <w:tab w:leader="none" w:pos="144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“Executive Officer” shall mean any Participant required to provide periodic statements of beneficial ownership of Company equity securities as an executive officer of the Company under Section 16(a) of the Securities Exchange Act of 1934.</w:t>
      </w:r>
    </w:p>
    <w:p>
      <w:pPr>
        <w:spacing w:after="0" w:line="145" w:lineRule="exact"/>
        <w:rPr>
          <w:rFonts w:ascii="Arial" w:cs="Arial" w:eastAsia="Arial" w:hAnsi="Arial"/>
          <w:sz w:val="19"/>
          <w:szCs w:val="19"/>
          <w:color w:val="auto"/>
        </w:rPr>
      </w:pPr>
    </w:p>
    <w:p>
      <w:pPr>
        <w:ind w:left="-40" w:right="160" w:firstLine="832"/>
        <w:spacing w:after="0" w:line="261" w:lineRule="auto"/>
        <w:tabs>
          <w:tab w:leader="none" w:pos="149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“Fair Market Value” shall mean the value of a Share, determined as follows: prior to the establishment of when-issued trading of the Shares on a national securities exchange, as determined by the Committee in its discretion; and after the establishment of when-issued trading of the Shares on a national securities exchange, the average of the high and low trading (or when-issued trading) prices for the Shares as reported on such national securities exchange for the applicable date or, if no such prices are reported for that date, the average of the high and low trading (or when-issued trading) prices on the immediately preceding date for which such prices were reported.</w:t>
      </w:r>
    </w:p>
    <w:p>
      <w:pPr>
        <w:spacing w:after="0" w:line="220" w:lineRule="exact"/>
        <w:rPr>
          <w:rFonts w:ascii="Arial" w:cs="Arial" w:eastAsia="Arial" w:hAnsi="Arial"/>
          <w:sz w:val="21"/>
          <w:szCs w:val="21"/>
          <w:color w:val="auto"/>
        </w:rPr>
      </w:pPr>
    </w:p>
    <w:p>
      <w:pPr>
        <w:ind w:left="-40" w:right="360" w:firstLine="832"/>
        <w:spacing w:after="0" w:line="263" w:lineRule="auto"/>
        <w:tabs>
          <w:tab w:leader="none" w:pos="144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“Issue Date” shall mean the last business day of each calendar quarter or any other date designated as an Issue Date by the Committee.</w:t>
      </w:r>
    </w:p>
    <w:p>
      <w:pPr>
        <w:spacing w:after="0" w:line="215" w:lineRule="exact"/>
        <w:rPr>
          <w:rFonts w:ascii="Arial" w:cs="Arial" w:eastAsia="Arial" w:hAnsi="Arial"/>
          <w:sz w:val="22"/>
          <w:szCs w:val="22"/>
          <w:color w:val="auto"/>
        </w:rPr>
      </w:pPr>
    </w:p>
    <w:p>
      <w:pPr>
        <w:ind w:left="1560" w:hanging="768"/>
        <w:spacing w:after="0"/>
        <w:tabs>
          <w:tab w:leader="none" w:pos="15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“Participant” shall mean an Employee who is selected by the Committee to receive an Award under the Plan.</w:t>
      </w:r>
    </w:p>
    <w:p>
      <w:pPr>
        <w:spacing w:after="0" w:line="294" w:lineRule="exact"/>
        <w:rPr>
          <w:rFonts w:ascii="Arial" w:cs="Arial" w:eastAsia="Arial" w:hAnsi="Arial"/>
          <w:sz w:val="19"/>
          <w:szCs w:val="19"/>
          <w:color w:val="auto"/>
        </w:rPr>
      </w:pPr>
    </w:p>
    <w:p>
      <w:pPr>
        <w:ind w:left="1500" w:hanging="708"/>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“Plan” shall mean this General Motors Company Salary Stock Plan.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80" w:top="591" w:right="279" w:bottom="1440" w:gutter="0" w:footer="0" w:header="0"/>
        </w:sectPr>
      </w:pPr>
    </w:p>
    <w:bookmarkStart w:id="114" w:name="page115"/>
    <w:bookmarkEnd w:id="114"/>
    <w:p>
      <w:pPr>
        <w:ind w:left="1540" w:hanging="708"/>
        <w:spacing w:after="0"/>
        <w:tabs>
          <w:tab w:leader="none" w:pos="15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“Restricted Stock Unit” or “RSU” shall mean any unit granted pursuant to and described in Section 6.</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“Shares” shall mean shares of the common stock of the Company, $0.01 par value.</w:t>
      </w:r>
    </w:p>
    <w:p>
      <w:pPr>
        <w:spacing w:after="0" w:line="260" w:lineRule="exact"/>
        <w:rPr>
          <w:rFonts w:ascii="Arial" w:cs="Arial" w:eastAsia="Arial" w:hAnsi="Arial"/>
          <w:sz w:val="22"/>
          <w:szCs w:val="22"/>
          <w:color w:val="auto"/>
        </w:rPr>
      </w:pPr>
    </w:p>
    <w:p>
      <w:pPr>
        <w:ind w:right="60" w:firstLine="832"/>
        <w:spacing w:after="0" w:line="343" w:lineRule="auto"/>
        <w:tabs>
          <w:tab w:leader="none" w:pos="153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“Special Master” shall mean the Office of the Special Master for TARP Executive Compensation, established by the Secretary of the U.S. Treasury under the ARRA or any other office or agency which succeeds to the powers thereof.</w:t>
      </w:r>
    </w:p>
    <w:p>
      <w:pPr>
        <w:spacing w:after="0" w:line="145" w:lineRule="exact"/>
        <w:rPr>
          <w:rFonts w:ascii="Arial" w:cs="Arial" w:eastAsia="Arial" w:hAnsi="Arial"/>
          <w:sz w:val="19"/>
          <w:szCs w:val="19"/>
          <w:color w:val="auto"/>
        </w:rPr>
      </w:pPr>
    </w:p>
    <w:p>
      <w:pPr>
        <w:jc w:val="both"/>
        <w:ind w:firstLine="832"/>
        <w:spacing w:after="0" w:line="312" w:lineRule="auto"/>
        <w:tabs>
          <w:tab w:leader="none" w:pos="149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“Subsidiary” shall mean (i) a company of which capital stock having ordinary voting power to elect a majority of the board of directors of such company is owned, directly or indirectly, by the Company or (ii) any unincorporated entity in respect of which the Company can exercise, directly or indirectly, comparable control to that described in clause (i).</w:t>
      </w:r>
    </w:p>
    <w:p>
      <w:pPr>
        <w:spacing w:after="0" w:line="174" w:lineRule="exact"/>
        <w:rPr>
          <w:rFonts w:ascii="Arial" w:cs="Arial" w:eastAsia="Arial" w:hAnsi="Arial"/>
          <w:sz w:val="19"/>
          <w:szCs w:val="19"/>
          <w:color w:val="auto"/>
        </w:rPr>
      </w:pPr>
    </w:p>
    <w:p>
      <w:pPr>
        <w:ind w:firstLine="832"/>
        <w:spacing w:after="0" w:line="263" w:lineRule="auto"/>
        <w:tabs>
          <w:tab w:leader="none" w:pos="151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“Treasury Agreement” shall mean the Secured Credit Agreement among the Company, the U.S. Treasury, and the guarantors named therein dated July 10, 2009 as it may be subsequently restated or amended.</w:t>
      </w:r>
    </w:p>
    <w:p>
      <w:pPr>
        <w:spacing w:after="0" w:line="215" w:lineRule="exact"/>
        <w:rPr>
          <w:rFonts w:ascii="Arial" w:cs="Arial" w:eastAsia="Arial" w:hAnsi="Arial"/>
          <w:sz w:val="22"/>
          <w:szCs w:val="22"/>
          <w:color w:val="auto"/>
        </w:rPr>
      </w:pPr>
    </w:p>
    <w:p>
      <w:pPr>
        <w:ind w:left="1540" w:hanging="708"/>
        <w:spacing w:after="0"/>
        <w:tabs>
          <w:tab w:leader="none" w:pos="15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“Unit” shall mean a Restricted Stock Unit or RSU.</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“U.S. Treasury” shall mean the United States Department of the Treasury.</w:t>
      </w:r>
    </w:p>
    <w:p>
      <w:pPr>
        <w:spacing w:after="0" w:line="260" w:lineRule="exact"/>
        <w:rPr>
          <w:rFonts w:ascii="Arial" w:cs="Arial" w:eastAsia="Arial" w:hAnsi="Arial"/>
          <w:sz w:val="22"/>
          <w:szCs w:val="22"/>
          <w:color w:val="auto"/>
        </w:rPr>
      </w:pPr>
    </w:p>
    <w:p>
      <w:pPr>
        <w:ind w:left="1540" w:hanging="708"/>
        <w:spacing w:after="0"/>
        <w:tabs>
          <w:tab w:leader="none" w:pos="15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Vice President, Global Human Resources shall mean the Vice President, Global Human Resources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591" w:right="3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225" w:lineRule="exact"/>
        <w:rPr>
          <w:sz w:val="20"/>
          <w:szCs w:val="20"/>
          <w:color w:val="auto"/>
        </w:rPr>
      </w:pPr>
    </w:p>
    <w:p>
      <w:pPr>
        <w:ind w:left="380" w:hanging="183"/>
        <w:spacing w:after="0"/>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Daniel F. Akerson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30, 2013</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225" w:lineRule="exact"/>
        <w:rPr>
          <w:sz w:val="20"/>
          <w:szCs w:val="20"/>
          <w:color w:val="auto"/>
        </w:rPr>
      </w:pPr>
    </w:p>
    <w:p>
      <w:pPr>
        <w:ind w:left="380" w:hanging="183"/>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Daniel Ammann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30, 2013</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2013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Daniel F. Akerson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Daniel Ammann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30,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lowerLetter"/>
      <w:start w:val="1"/>
    </w:lvl>
  </w:abstractNum>
  <w:abstractNum w:abstractNumId="3">
    <w:nsid w:val="235BA861"/>
    <w:multiLevelType w:val="hybridMultilevel"/>
    <w:lvl w:ilvl="0">
      <w:lvlJc w:val="left"/>
      <w:lvlText w:val="(%1)"/>
      <w:numFmt w:val="decimal"/>
      <w:start w:val="2"/>
    </w:lvl>
  </w:abstractNum>
  <w:abstractNum w:abstractNumId="4">
    <w:nsid w:val="47398C89"/>
    <w:multiLevelType w:val="hybridMultilevel"/>
    <w:lvl w:ilvl="0">
      <w:lvlJc w:val="left"/>
      <w:lvlText w:val="(%1)"/>
      <w:numFmt w:val="lowerLetter"/>
      <w:start w:val="1"/>
    </w:lvl>
  </w:abstractNum>
  <w:abstractNum w:abstractNumId="5">
    <w:nsid w:val="354FE9F9"/>
    <w:multiLevelType w:val="hybridMultilevel"/>
    <w:lvl w:ilvl="0">
      <w:lvlJc w:val="left"/>
      <w:lvlText w:val="(%1)"/>
      <w:numFmt w:val="lowerLetter"/>
      <w:start w:val="1"/>
    </w:lvl>
  </w:abstractNum>
  <w:abstractNum w:abstractNumId="6">
    <w:nsid w:val="15B5AF5C"/>
    <w:multiLevelType w:val="hybridMultilevel"/>
    <w:lvl w:ilvl="0">
      <w:lvlJc w:val="left"/>
      <w:lvlText w:val="(%1)"/>
      <w:numFmt w:val="lowerLetter"/>
      <w:start w:val="1"/>
    </w:lvl>
  </w:abstractNum>
  <w:abstractNum w:abstractNumId="7">
    <w:nsid w:val="741226BB"/>
    <w:multiLevelType w:val="hybridMultilevel"/>
    <w:lvl w:ilvl="0">
      <w:lvlJc w:val="left"/>
      <w:lvlText w:val="(%1)"/>
      <w:numFmt w:val="lowerLetter"/>
      <w:start w:val="1"/>
    </w:lvl>
  </w:abstractNum>
  <w:abstractNum w:abstractNumId="8">
    <w:nsid w:val="D34B6A8"/>
    <w:multiLevelType w:val="hybridMultilevel"/>
    <w:lvl w:ilvl="0">
      <w:lvlJc w:val="left"/>
      <w:lvlText w:val="(%1)"/>
      <w:numFmt w:val="lowerLetter"/>
      <w:start w:val="1"/>
    </w:lvl>
  </w:abstractNum>
  <w:abstractNum w:abstractNumId="9">
    <w:nsid w:val="10233C99"/>
    <w:multiLevelType w:val="hybridMultilevel"/>
    <w:lvl w:ilvl="0">
      <w:lvlJc w:val="left"/>
      <w:lvlText w:val="(%1)"/>
      <w:numFmt w:val="lowerLetter"/>
      <w:start w:val="1"/>
    </w:lvl>
  </w:abstractNum>
  <w:abstractNum w:abstractNumId="10">
    <w:nsid w:val="3F6AB60F"/>
    <w:multiLevelType w:val="hybridMultilevel"/>
    <w:lvl w:ilvl="0">
      <w:lvlJc w:val="left"/>
      <w:lvlText w:val="(%1)"/>
      <w:numFmt w:val="lowerLetter"/>
      <w:start w:val="1"/>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lowerLetter"/>
      <w:start w:val="1"/>
    </w:lvl>
  </w:abstractNum>
  <w:abstractNum w:abstractNumId="13">
    <w:nsid w:val="77AE35EB"/>
    <w:multiLevelType w:val="hybridMultilevel"/>
    <w:lvl w:ilvl="0">
      <w:lvlJc w:val="left"/>
      <w:lvlText w:val="(%1)"/>
      <w:numFmt w:val="lowerLetter"/>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decimal"/>
      <w:start w:val="2"/>
    </w:lvl>
  </w:abstractNum>
  <w:abstractNum w:abstractNumId="18">
    <w:nsid w:val="25A70BF7"/>
    <w:multiLevelType w:val="hybridMultilevel"/>
    <w:lvl w:ilvl="0">
      <w:lvlJc w:val="left"/>
      <w:lvlText w:val="(%1)"/>
      <w:numFmt w:val="decimal"/>
      <w:start w:val="3"/>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lowerLetter"/>
      <w:start w:val="1"/>
    </w:lvl>
    <w:lvl w:ilvl="1">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1."/>
      <w:numFmt w:val="decimal"/>
      <w:start w:val="3"/>
    </w:lvl>
  </w:abstractNum>
  <w:abstractNum w:abstractNumId="25">
    <w:nsid w:val="6590700B"/>
    <w:multiLevelType w:val="hybridMultilevel"/>
    <w:lvl w:ilvl="0">
      <w:lvlJc w:val="left"/>
      <w:lvlText w:val="%1."/>
      <w:numFmt w:val="decimal"/>
      <w:start w:val="7"/>
    </w:lvl>
  </w:abstractNum>
  <w:abstractNum w:abstractNumId="26">
    <w:nsid w:val="15014ACB"/>
    <w:multiLevelType w:val="hybridMultilevel"/>
    <w:lvl w:ilvl="0">
      <w:lvlJc w:val="left"/>
      <w:lvlText w:val="%1."/>
      <w:numFmt w:val="decimal"/>
      <w:start w:val="11"/>
    </w:lvl>
  </w:abstractNum>
  <w:abstractNum w:abstractNumId="27">
    <w:nsid w:val="5F5E7FD0"/>
    <w:multiLevelType w:val="hybridMultilevel"/>
    <w:lvl w:ilvl="0">
      <w:lvlJc w:val="left"/>
      <w:lvlText w:val="%1)"/>
      <w:numFmt w:val="lowerLetter"/>
      <w:start w:val="1"/>
    </w:lvl>
  </w:abstractNum>
  <w:abstractNum w:abstractNumId="28">
    <w:nsid w:val="98A3148"/>
    <w:multiLevelType w:val="hybridMultilevel"/>
    <w:lvl w:ilvl="0">
      <w:lvlJc w:val="left"/>
      <w:lvlText w:val="%1)"/>
      <w:numFmt w:val="lowerLetter"/>
      <w:start w:val="16"/>
    </w:lvl>
  </w:abstractNum>
  <w:abstractNum w:abstractNumId="29">
    <w:nsid w:val="799D0247"/>
    <w:multiLevelType w:val="hybridMultilevel"/>
    <w:lvl w:ilvl="0">
      <w:lvlJc w:val="left"/>
      <w:lvlText w:val="(%1)"/>
      <w:numFmt w:val="lowerLetter"/>
      <w:start w:val="1"/>
    </w:lvl>
  </w:abstractNum>
  <w:abstractNum w:abstractNumId="30">
    <w:nsid w:val="6B94764"/>
    <w:multiLevelType w:val="hybridMultilevel"/>
    <w:lvl w:ilvl="0">
      <w:lvlJc w:val="left"/>
      <w:lvlText w:val="(%1)"/>
      <w:numFmt w:val="lowerLetter"/>
      <w:start w:val="1"/>
    </w:lvl>
    <w:lvl w:ilvl="1">
      <w:lvlJc w:val="left"/>
      <w:lvlText w:val="(%2)"/>
      <w:numFmt w:val="lowerRoman"/>
      <w:start w:val="2"/>
    </w:lvl>
  </w:abstractNum>
  <w:abstractNum w:abstractNumId="31">
    <w:nsid w:val="42C296BD"/>
    <w:multiLevelType w:val="hybridMultilevel"/>
    <w:lvl w:ilvl="0">
      <w:lvlJc w:val="left"/>
      <w:lvlText w:val="(%1)"/>
      <w:numFmt w:val="lowerLetter"/>
      <w:start w:val="1"/>
    </w:lvl>
  </w:abstractNum>
  <w:abstractNum w:abstractNumId="32">
    <w:nsid w:val="168E121F"/>
    <w:multiLevelType w:val="hybridMultilevel"/>
    <w:lvl w:ilvl="0">
      <w:lvlJc w:val="left"/>
      <w:lvlText w:val="(%1)"/>
      <w:numFmt w:val="lowerLetter"/>
      <w:start w:val="3"/>
    </w:lvl>
  </w:abstractNum>
  <w:abstractNum w:abstractNumId="33">
    <w:nsid w:val="1EBA5D23"/>
    <w:multiLevelType w:val="hybridMultilevel"/>
    <w:lvl w:ilvl="0">
      <w:lvlJc w:val="left"/>
      <w:lvlText w:val="(%1)"/>
      <w:numFmt w:val="lowerLetter"/>
      <w:start w:val="1"/>
    </w:lvl>
  </w:abstractNum>
  <w:abstractNum w:abstractNumId="34">
    <w:nsid w:val="661E3F1E"/>
    <w:multiLevelType w:val="hybridMultilevel"/>
    <w:lvl w:ilvl="0">
      <w:lvlJc w:val="left"/>
      <w:lvlText w:val="(%1)"/>
      <w:numFmt w:val="lowerLetter"/>
      <w:start w:val="6"/>
    </w:lvl>
  </w:abstractNum>
  <w:abstractNum w:abstractNumId="35">
    <w:nsid w:val="5DC79EA8"/>
    <w:multiLevelType w:val="hybridMultilevel"/>
    <w:lvl w:ilvl="0">
      <w:lvlJc w:val="left"/>
      <w:lvlText w:val="(%1)"/>
      <w:numFmt w:val="lowerLetter"/>
      <w:start w:val="1"/>
    </w:lvl>
  </w:abstractNum>
  <w:abstractNum w:abstractNumId="36">
    <w:nsid w:val="540A471C"/>
    <w:multiLevelType w:val="hybridMultilevel"/>
    <w:lvl w:ilvl="0">
      <w:lvlJc w:val="left"/>
      <w:lvlText w:val="(%1)"/>
      <w:numFmt w:val="lowerLetter"/>
      <w:start w:val="15"/>
    </w:lvl>
  </w:abstractNum>
  <w:abstractNum w:abstractNumId="37">
    <w:nsid w:val="7BD3EE7B"/>
    <w:multiLevelType w:val="hybridMultilevel"/>
    <w:lvl w:ilvl="0">
      <w:lvlJc w:val="left"/>
      <w:lvlText w:val="(%1)"/>
      <w:numFmt w:val="lowerLetter"/>
      <w:start w:val="1"/>
    </w:lvl>
  </w:abstractNum>
  <w:abstractNum w:abstractNumId="38">
    <w:nsid w:val="51D9C564"/>
    <w:multiLevelType w:val="hybridMultilevel"/>
    <w:lvl w:ilvl="0">
      <w:lvlJc w:val="left"/>
      <w:lvlText w:val="(%1)"/>
      <w:numFmt w:val="lowerLetter"/>
      <w:start w:val="4"/>
    </w:lvl>
  </w:abstractNum>
  <w:abstractNum w:abstractNumId="39">
    <w:nsid w:val="613EFDC5"/>
    <w:multiLevelType w:val="hybridMultilevel"/>
    <w:lvl w:ilvl="0">
      <w:lvlJc w:val="left"/>
      <w:lvlText w:val="(%1)"/>
      <w:numFmt w:val="lowerLetter"/>
      <w:start w:val="1"/>
    </w:lvl>
  </w:abstractNum>
  <w:abstractNum w:abstractNumId="40">
    <w:nsid w:val="BF72B14"/>
    <w:multiLevelType w:val="hybridMultilevel"/>
    <w:lvl w:ilvl="0">
      <w:lvlJc w:val="left"/>
      <w:lvlText w:val="(%1)"/>
      <w:numFmt w:val="lowerLetter"/>
      <w:start w:val="1"/>
    </w:lvl>
  </w:abstractNum>
  <w:abstractNum w:abstractNumId="41">
    <w:nsid w:val="11447B73"/>
    <w:multiLevelType w:val="hybridMultilevel"/>
    <w:lvl w:ilvl="0">
      <w:lvlJc w:val="left"/>
      <w:lvlText w:val="(%1)"/>
      <w:numFmt w:val="lowerLetter"/>
      <w:start w:val="3"/>
    </w:lvl>
    <w:lvl w:ilvl="1">
      <w:lvlJc w:val="left"/>
      <w:lvlText w:val="(%2)"/>
      <w:numFmt w:val="lowerRoman"/>
      <w:start w:val="1"/>
    </w:lvl>
  </w:abstractNum>
  <w:abstractNum w:abstractNumId="42">
    <w:nsid w:val="42963E5A"/>
    <w:multiLevelType w:val="hybridMultilevel"/>
    <w:lvl w:ilvl="0">
      <w:lvlJc w:val="left"/>
      <w:lvlText w:val="%1"/>
      <w:numFmt w:val="lowerLetter"/>
      <w:start w:val="1"/>
    </w:lvl>
    <w:lvl w:ilvl="1">
      <w:lvlJc w:val="left"/>
      <w:lvlText w:val="(%2)"/>
      <w:numFmt w:val="lowerRoman"/>
      <w:start w:val="4"/>
    </w:lvl>
  </w:abstractNum>
  <w:abstractNum w:abstractNumId="43">
    <w:nsid w:val="A0382C5"/>
    <w:multiLevelType w:val="hybridMultilevel"/>
    <w:lvl w:ilvl="0">
      <w:lvlJc w:val="left"/>
      <w:lvlText w:val="(%1)"/>
      <w:numFmt w:val="lowerLetter"/>
      <w:start w:val="5"/>
    </w:lvl>
    <w:lvl w:ilvl="1">
      <w:lvlJc w:val="left"/>
      <w:lvlText w:val="%2"/>
      <w:numFmt w:val="lowerRoman"/>
      <w:start w:val="1"/>
    </w:lvl>
  </w:abstractNum>
  <w:abstractNum w:abstractNumId="44">
    <w:nsid w:val="8F2B15E"/>
    <w:multiLevelType w:val="hybridMultilevel"/>
    <w:lvl w:ilvl="0">
      <w:lvlJc w:val="left"/>
      <w:lvlText w:val="(%1)"/>
      <w:numFmt w:val="lowerLetter"/>
      <w:start w:val="1"/>
    </w:lvl>
  </w:abstractNum>
  <w:abstractNum w:abstractNumId="45">
    <w:nsid w:val="1A32234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6">
    <w:nsid w:val="3B0FD379"/>
    <w:multiLevelType w:val="hybridMultilevel"/>
    <w:lvl w:ilvl="0">
      <w:lvlJc w:val="left"/>
      <w:lvlText w:val="%1"/>
      <w:numFmt w:val="lowerRoman"/>
      <w:start w:val="1"/>
    </w:lvl>
    <w:lvl w:ilvl="1">
      <w:lvlJc w:val="left"/>
      <w:lvlText w:val="(%2)"/>
      <w:numFmt w:val="upperLetter"/>
      <w:start w:val="6"/>
    </w:lvl>
  </w:abstractNum>
  <w:abstractNum w:abstractNumId="47">
    <w:nsid w:val="68EB2F63"/>
    <w:multiLevelType w:val="hybridMultilevel"/>
    <w:lvl w:ilvl="0">
      <w:lvlJc w:val="left"/>
      <w:lvlText w:val="(%1)"/>
      <w:numFmt w:val="lowerRoman"/>
      <w:start w:val="4"/>
    </w:lvl>
    <w:lvl w:ilvl="1">
      <w:lvlJc w:val="left"/>
      <w:lvlText w:val="%2"/>
      <w:numFmt w:val="upperLetter"/>
      <w:start w:val="1"/>
    </w:lvl>
  </w:abstractNum>
  <w:abstractNum w:abstractNumId="48">
    <w:nsid w:val="4962813B"/>
    <w:multiLevelType w:val="hybridMultilevel"/>
    <w:lvl w:ilvl="0">
      <w:lvlJc w:val="left"/>
      <w:lvlText w:val="(%1)"/>
      <w:numFmt w:val="lowerLetter"/>
      <w:start w:val="1"/>
    </w:lvl>
  </w:abstractNum>
  <w:abstractNum w:abstractNumId="49">
    <w:nsid w:val="60B6DF70"/>
    <w:multiLevelType w:val="hybridMultilevel"/>
    <w:lvl w:ilvl="0">
      <w:lvlJc w:val="left"/>
      <w:lvlText w:val="(%1)"/>
      <w:numFmt w:val="lowerLetter"/>
      <w:start w:val="5"/>
    </w:lvl>
  </w:abstractNum>
  <w:abstractNum w:abstractNumId="50">
    <w:nsid w:val="6A5EE64"/>
    <w:multiLevelType w:val="hybridMultilevel"/>
    <w:lvl w:ilvl="0">
      <w:lvlJc w:val="left"/>
      <w:lvlText w:val="(%1)"/>
      <w:numFmt w:val="lowerLetter"/>
      <w:start w:val="1"/>
    </w:lvl>
  </w:abstractNum>
  <w:abstractNum w:abstractNumId="51">
    <w:nsid w:val="14330624"/>
    <w:multiLevelType w:val="hybridMultilevel"/>
    <w:lvl w:ilvl="0">
      <w:lvlJc w:val="left"/>
      <w:lvlText w:val="(%1)"/>
      <w:numFmt w:val="lowerLetter"/>
      <w:start w:val="7"/>
    </w:lvl>
  </w:abstractNum>
  <w:abstractNum w:abstractNumId="52">
    <w:nsid w:val="7FFFCA11"/>
    <w:multiLevelType w:val="hybridMultilevel"/>
    <w:lvl w:ilvl="0">
      <w:lvlJc w:val="left"/>
      <w:lvlText w:val="(%1)"/>
      <w:numFmt w:val="lowerLetter"/>
      <w:start w:val="1"/>
    </w:lvl>
  </w:abstractNum>
  <w:abstractNum w:abstractNumId="53">
    <w:nsid w:val="1A27709E"/>
    <w:multiLevelType w:val="hybridMultilevel"/>
    <w:lvl w:ilvl="0">
      <w:lvlJc w:val="left"/>
      <w:lvlText w:val="(%1)"/>
      <w:numFmt w:val="lowerLetter"/>
      <w:start w:val="2"/>
    </w:lvl>
  </w:abstractNum>
  <w:abstractNum w:abstractNumId="54">
    <w:nsid w:val="71EA1109"/>
    <w:multiLevelType w:val="hybridMultilevel"/>
    <w:lvl w:ilvl="0">
      <w:lvlJc w:val="left"/>
      <w:lvlText w:val="%1"/>
      <w:numFmt w:val="lowerLetter"/>
      <w:start w:val="1"/>
    </w:lvl>
    <w:lvl w:ilvl="1">
      <w:lvlJc w:val="left"/>
      <w:lvlText w:val="(%2)"/>
      <w:numFmt w:val="lowerLetter"/>
      <w:start w:val="17"/>
    </w:lvl>
  </w:abstractNum>
  <w:abstractNum w:abstractNumId="55">
    <w:nsid w:val="100F59DC"/>
    <w:multiLevelType w:val="hybridMultilevel"/>
    <w:lvl w:ilvl="0">
      <w:lvlJc w:val="left"/>
      <w:lvlText w:val="(%1)"/>
      <w:numFmt w:val="lowerLetter"/>
      <w:start w:val="27"/>
    </w:lvl>
    <w:lvl w:ilvl="1">
      <w:lvlJc w:val="left"/>
      <w:lvlText w:val="%2"/>
      <w:numFmt w:val="lowerLetter"/>
      <w:start w:val="1"/>
    </w:lvl>
  </w:abstractNum>
  <w:abstractNum w:abstractNumId="56">
    <w:nsid w:val="7FB7E0AA"/>
    <w:multiLevelType w:val="hybridMultilevel"/>
    <w:lvl w:ilvl="0">
      <w:lvlJc w:val="left"/>
      <w:lvlText w:val="(%1)"/>
      <w:numFmt w:val="lowerLetter"/>
      <w:start w:val="29"/>
    </w:lvl>
  </w:abstractNum>
  <w:abstractNum w:abstractNumId="57">
    <w:nsid w:val="6EB5BD4"/>
    <w:multiLevelType w:val="hybridMultilevel"/>
    <w:lvl w:ilvl="0">
      <w:lvlJc w:val="left"/>
      <w:lvlText w:val="(%1)"/>
      <w:numFmt w:val="decimal"/>
      <w:start w:val="1"/>
    </w:lvl>
    <w:lvl w:ilvl="1">
      <w:lvlJc w:val="left"/>
      <w:lvlText w:val="%2."/>
      <w:numFmt w:val="lowerLetter"/>
      <w:start w:val="1"/>
    </w:lvl>
  </w:abstractNum>
  <w:abstractNum w:abstractNumId="58">
    <w:nsid w:val="6F6DD9AC"/>
    <w:multiLevelType w:val="hybridMultilevel"/>
    <w:lvl w:ilvl="0">
      <w:lvlJc w:val="left"/>
      <w:lvlText w:val="%1."/>
      <w:numFmt w:val="lowerLetter"/>
      <w:start w:val="3"/>
    </w:lvl>
  </w:abstractNum>
  <w:abstractNum w:abstractNumId="59">
    <w:nsid w:val="94211F2"/>
    <w:multiLevelType w:val="hybridMultilevel"/>
    <w:lvl w:ilvl="0">
      <w:lvlJc w:val="left"/>
      <w:lvlText w:val="%1."/>
      <w:numFmt w:val="lowerLetter"/>
      <w:start w:val="1"/>
    </w:lvl>
  </w:abstractNum>
  <w:abstractNum w:abstractNumId="60">
    <w:nsid w:val="885E1B"/>
    <w:multiLevelType w:val="hybridMultilevel"/>
    <w:lvl w:ilvl="0">
      <w:lvlJc w:val="left"/>
      <w:lvlText w:val="(%1)"/>
      <w:numFmt w:val="lowerRoman"/>
      <w:start w:val="1"/>
    </w:lvl>
    <w:lvl w:ilvl="1">
      <w:lvlJc w:val="left"/>
      <w:lvlText w:val="(%2)"/>
      <w:numFmt w:val="upperLetter"/>
      <w:start w:val="1"/>
    </w:lvl>
  </w:abstractNum>
  <w:abstractNum w:abstractNumId="61">
    <w:nsid w:val="76272110"/>
    <w:multiLevelType w:val="hybridMultilevel"/>
    <w:lvl w:ilvl="0">
      <w:lvlJc w:val="left"/>
      <w:lvlText w:val="%1"/>
      <w:numFmt w:val="lowerRoman"/>
      <w:start w:val="1"/>
    </w:lvl>
    <w:lvl w:ilvl="1">
      <w:lvlJc w:val="left"/>
      <w:lvlText w:val="(%2)"/>
      <w:numFmt w:val="upperLetter"/>
      <w:start w:val="4"/>
    </w:lvl>
  </w:abstractNum>
  <w:abstractNum w:abstractNumId="62">
    <w:nsid w:val="4C04A8AF"/>
    <w:multiLevelType w:val="hybridMultilevel"/>
    <w:lvl w:ilvl="0">
      <w:lvlJc w:val="left"/>
      <w:lvlText w:val="(%1)"/>
      <w:numFmt w:val="lowerRoman"/>
      <w:start w:val="4"/>
    </w:lvl>
    <w:lvl w:ilvl="1">
      <w:lvlJc w:val="left"/>
      <w:lvlText w:val="%2"/>
      <w:numFmt w:val="upperLetter"/>
      <w:start w:val="1"/>
    </w:lvl>
  </w:abstractNum>
  <w:abstractNum w:abstractNumId="63">
    <w:nsid w:val="1716703B"/>
    <w:multiLevelType w:val="hybridMultilevel"/>
    <w:lvl w:ilvl="0">
      <w:lvlJc w:val="left"/>
      <w:lvlText w:val="%1"/>
      <w:numFmt w:val="lowerLetter"/>
      <w:start w:val="1"/>
    </w:lvl>
    <w:lvl w:ilvl="1">
      <w:lvlJc w:val="left"/>
      <w:lvlText w:val="(%2)"/>
      <w:numFmt w:val="decimal"/>
      <w:start w:val="1"/>
    </w:lvl>
  </w:abstractNum>
  <w:abstractNum w:abstractNumId="64">
    <w:nsid w:val="14E17E33"/>
    <w:multiLevelType w:val="hybridMultilevel"/>
    <w:lvl w:ilvl="0">
      <w:lvlJc w:val="left"/>
      <w:lvlText w:val="(%1)"/>
      <w:numFmt w:val="lowerLetter"/>
      <w:start w:val="1"/>
    </w:lvl>
    <w:lvl w:ilvl="1">
      <w:lvlJc w:val="left"/>
      <w:lvlText w:val="%2"/>
      <w:numFmt w:val="decimal"/>
      <w:start w:val="1"/>
    </w:lvl>
  </w:abstractNum>
  <w:abstractNum w:abstractNumId="65">
    <w:nsid w:val="3222E7CD"/>
    <w:multiLevelType w:val="hybridMultilevel"/>
    <w:lvl w:ilvl="0">
      <w:lvlJc w:val="left"/>
      <w:lvlText w:val="(%1)"/>
      <w:numFmt w:val="lowerRoman"/>
      <w:start w:val="1"/>
    </w:lvl>
  </w:abstractNum>
  <w:abstractNum w:abstractNumId="66">
    <w:nsid w:val="74DE0EE3"/>
    <w:multiLevelType w:val="hybridMultilevel"/>
    <w:lvl w:ilvl="0">
      <w:lvlJc w:val="left"/>
      <w:lvlText w:val="%1"/>
      <w:numFmt w:val="lowerLetter"/>
      <w:start w:val="1"/>
    </w:lvl>
    <w:lvl w:ilvl="1">
      <w:lvlJc w:val="left"/>
      <w:lvlText w:val="(%2)"/>
      <w:numFmt w:val="lowerRoman"/>
      <w:start w:val="3"/>
    </w:lvl>
  </w:abstractNum>
  <w:abstractNum w:abstractNumId="67">
    <w:nsid w:val="68EBC550"/>
    <w:multiLevelType w:val="hybridMultilevel"/>
    <w:lvl w:ilvl="0">
      <w:lvlJc w:val="left"/>
      <w:lvlText w:val="(%1)"/>
      <w:numFmt w:val="lowerLetter"/>
      <w:start w:val="5"/>
    </w:lvl>
    <w:lvl w:ilvl="1">
      <w:lvlJc w:val="left"/>
      <w:lvlText w:val="%2"/>
      <w:numFmt w:val="lowerRoman"/>
      <w:start w:val="1"/>
    </w:lvl>
  </w:abstractNum>
  <w:abstractNum w:abstractNumId="68">
    <w:nsid w:val="2DF6D648"/>
    <w:multiLevelType w:val="hybridMultilevel"/>
    <w:lvl w:ilvl="0">
      <w:lvlJc w:val="left"/>
      <w:lvlText w:val="%1"/>
      <w:numFmt w:val="lowerLetter"/>
      <w:start w:val="1"/>
    </w:lvl>
    <w:lvl w:ilvl="1">
      <w:lvlJc w:val="left"/>
      <w:lvlText w:val="(%2)"/>
      <w:numFmt w:val="decimal"/>
      <w:start w:val="2"/>
    </w:lvl>
  </w:abstractNum>
  <w:abstractNum w:abstractNumId="69">
    <w:nsid w:val="46B7D447"/>
    <w:multiLevelType w:val="hybridMultilevel"/>
    <w:lvl w:ilvl="0">
      <w:lvlJc w:val="left"/>
      <w:lvlText w:val="(%1)"/>
      <w:numFmt w:val="lowerLetter"/>
      <w:start w:val="1"/>
    </w:lvl>
    <w:lvl w:ilvl="1">
      <w:lvlJc w:val="left"/>
      <w:lvlText w:val="%2"/>
      <w:numFmt w:val="decimal"/>
      <w:start w:val="1"/>
    </w:lvl>
  </w:abstractNum>
  <w:abstractNum w:abstractNumId="70">
    <w:nsid w:val="4A2AC315"/>
    <w:multiLevelType w:val="hybridMultilevel"/>
    <w:lvl w:ilvl="0">
      <w:lvlJc w:val="left"/>
      <w:lvlText w:val="(%1)"/>
      <w:numFmt w:val="lowerRoman"/>
      <w:start w:val="2"/>
    </w:lvl>
  </w:abstractNum>
  <w:abstractNum w:abstractNumId="71">
    <w:nsid w:val="39EE015C"/>
    <w:multiLevelType w:val="hybridMultilevel"/>
    <w:lvl w:ilvl="0">
      <w:lvlJc w:val="left"/>
      <w:lvlText w:val="(%1)"/>
      <w:numFmt w:val="lowerLetter"/>
      <w:start w:val="5"/>
    </w:lvl>
  </w:abstractNum>
  <w:abstractNum w:abstractNumId="72">
    <w:nsid w:val="57FC4FBB"/>
    <w:multiLevelType w:val="hybridMultilevel"/>
    <w:lvl w:ilvl="0">
      <w:lvlJc w:val="left"/>
      <w:lvlText w:val="(%1)"/>
      <w:numFmt w:val="lowerLetter"/>
      <w:start w:val="1"/>
    </w:lvl>
    <w:lvl w:ilvl="1">
      <w:lvlJc w:val="left"/>
      <w:lvlText w:val="(%2)"/>
      <w:numFmt w:val="decimal"/>
      <w:start w:val="2"/>
    </w:lvl>
  </w:abstractNum>
  <w:abstractNum w:abstractNumId="73">
    <w:nsid w:val="CC1016F"/>
    <w:multiLevelType w:val="hybridMultilevel"/>
    <w:lvl w:ilvl="0">
      <w:lvlJc w:val="left"/>
      <w:lvlText w:val="(%1)"/>
      <w:numFmt w:val="lowerLetter"/>
      <w:start w:val="1"/>
    </w:lvl>
  </w:abstractNum>
  <w:abstractNum w:abstractNumId="74">
    <w:nsid w:val="43F18422"/>
    <w:multiLevelType w:val="hybridMultilevel"/>
    <w:lvl w:ilvl="0">
      <w:lvlJc w:val="left"/>
      <w:lvlText w:val="%1"/>
      <w:numFmt w:val="lowerLetter"/>
      <w:start w:val="1"/>
    </w:lvl>
    <w:lvl w:ilvl="1">
      <w:lvlJc w:val="left"/>
      <w:lvlText w:val="(%2)"/>
      <w:numFmt w:val="decimal"/>
      <w:start w:val="1"/>
    </w:lvl>
  </w:abstractNum>
  <w:abstractNum w:abstractNumId="75">
    <w:nsid w:val="60EF0119"/>
    <w:multiLevelType w:val="hybridMultilevel"/>
    <w:lvl w:ilvl="0">
      <w:lvlJc w:val="left"/>
      <w:lvlText w:val="(%1)"/>
      <w:numFmt w:val="lowerLetter"/>
      <w:start w:val="1"/>
    </w:lvl>
    <w:lvl w:ilvl="1">
      <w:lvlJc w:val="left"/>
      <w:lvlText w:val="(%2)"/>
      <w:numFmt w:val="decimal"/>
      <w:start w:val="2"/>
    </w:lvl>
  </w:abstractNum>
  <w:abstractNum w:abstractNumId="76">
    <w:nsid w:val="26F324BA"/>
    <w:multiLevelType w:val="hybridMultilevel"/>
    <w:lvl w:ilvl="0">
      <w:lvlJc w:val="left"/>
      <w:lvlText w:val="(%1)"/>
      <w:numFmt w:val="lowerLetter"/>
      <w:start w:val="1"/>
    </w:lvl>
  </w:abstractNum>
  <w:abstractNum w:abstractNumId="77">
    <w:nsid w:val="7F01579B"/>
    <w:multiLevelType w:val="hybridMultilevel"/>
    <w:lvl w:ilvl="0">
      <w:lvlJc w:val="left"/>
      <w:lvlText w:val="(%1)"/>
      <w:numFmt w:val="lowerLetter"/>
      <w:start w:val="3"/>
    </w:lvl>
  </w:abstractNum>
  <w:abstractNum w:abstractNumId="78">
    <w:nsid w:val="49DA307D"/>
    <w:multiLevelType w:val="hybridMultilevel"/>
    <w:lvl w:ilvl="0">
      <w:lvlJc w:val="left"/>
      <w:lvlText w:val="%1."/>
      <w:numFmt w:val="decimal"/>
      <w:start w:val="2"/>
    </w:lvl>
  </w:abstractNum>
  <w:abstractNum w:abstractNumId="79">
    <w:nsid w:val="7055A5F5"/>
    <w:multiLevelType w:val="hybridMultilevel"/>
    <w:lvl w:ilvl="0">
      <w:lvlJc w:val="left"/>
      <w:lvlText w:val="%1."/>
      <w:numFmt w:val="decimal"/>
      <w:start w:val="3"/>
    </w:lvl>
  </w:abstractNum>
  <w:abstractNum w:abstractNumId="80">
    <w:nsid w:val="5FB8370B"/>
    <w:multiLevelType w:val="hybridMultilevel"/>
    <w:lvl w:ilvl="0">
      <w:lvlJc w:val="left"/>
      <w:lvlText w:val="%1."/>
      <w:numFmt w:val="decimal"/>
      <w:start w:val="6"/>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4"/>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Letter"/>
      <w:start w:val="2"/>
    </w:lvl>
    <w:lvl w:ilvl="1">
      <w:lvlJc w:val="left"/>
      <w:lvlText w:val="(%2)"/>
      <w:numFmt w:val="lowerRoman"/>
      <w:start w:val="1"/>
    </w:lvl>
  </w:abstractNum>
  <w:abstractNum w:abstractNumId="86">
    <w:nsid w:val="6FC75AF8"/>
    <w:multiLevelType w:val="hybridMultilevel"/>
    <w:lvl w:ilvl="0">
      <w:lvlJc w:val="left"/>
      <w:lvlText w:val="%1"/>
      <w:numFmt w:val="lowerLetter"/>
      <w:start w:val="1"/>
    </w:lvl>
    <w:lvl w:ilvl="1">
      <w:lvlJc w:val="left"/>
      <w:lvlText w:val="(%2)"/>
      <w:numFmt w:val="lowerLetter"/>
      <w:start w:val="22"/>
    </w:lvl>
  </w:abstractNum>
  <w:abstractNum w:abstractNumId="87">
    <w:nsid w:val="6A5F7029"/>
    <w:multiLevelType w:val="hybridMultilevel"/>
    <w:lvl w:ilvl="0">
      <w:lvlJc w:val="left"/>
      <w:lvlText w:val="(%1)"/>
      <w:numFmt w:val="lowerLetter"/>
      <w:start w:val="5"/>
    </w:lvl>
    <w:lvl w:ilvl="1">
      <w:lvlJc w:val="left"/>
      <w:lvlText w:val="%2"/>
      <w:numFmt w:val="lowerLetter"/>
      <w:start w:val="1"/>
    </w:lvl>
  </w:abstractNum>
  <w:abstractNum w:abstractNumId="88">
    <w:nsid w:val="7D5E18F8"/>
    <w:multiLevelType w:val="hybridMultilevel"/>
    <w:lvl w:ilvl="0">
      <w:lvlJc w:val="left"/>
      <w:lvlText w:val="(%1)"/>
      <w:numFmt w:val="lowerLetter"/>
      <w:start w:val="1"/>
    </w:lvl>
    <w:lvl w:ilvl="1">
      <w:lvlJc w:val="left"/>
      <w:lvlText w:val="(%2)"/>
      <w:numFmt w:val="lowerLetter"/>
      <w:start w:val="9"/>
    </w:lvl>
  </w:abstractNum>
  <w:abstractNum w:abstractNumId="89">
    <w:nsid w:val="5F3534A4"/>
    <w:multiLevelType w:val="hybridMultilevel"/>
    <w:lvl w:ilvl="0">
      <w:lvlJc w:val="left"/>
      <w:lvlText w:val="(%1)"/>
      <w:numFmt w:val="lowerRoman"/>
      <w:start w:val="2"/>
    </w:lvl>
    <w:lvl w:ilvl="1">
      <w:lvlJc w:val="left"/>
      <w:lvlText w:val="(%2)"/>
      <w:numFmt w:val="upperLetter"/>
      <w:start w:val="1"/>
    </w:lvl>
  </w:abstractNum>
  <w:abstractNum w:abstractNumId="90">
    <w:nsid w:val="73A1821B"/>
    <w:multiLevelType w:val="hybridMultilevel"/>
    <w:lvl w:ilvl="0">
      <w:lvlJc w:val="left"/>
      <w:lvlText w:val="(%1)"/>
      <w:numFmt w:val="lowerRoman"/>
      <w:start w:val="4"/>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lowerLetter"/>
      <w:start w:val="6"/>
    </w:lvl>
  </w:abstractNum>
  <w:abstractNum w:abstractNumId="93">
    <w:nsid w:val="3FA62ACA"/>
    <w:multiLevelType w:val="hybridMultilevel"/>
    <w:lvl w:ilvl="0">
      <w:lvlJc w:val="left"/>
      <w:lvlText w:val="(%1)"/>
      <w:numFmt w:val="lowerLetter"/>
      <w:start w:val="1"/>
    </w:lvl>
  </w:abstractNum>
  <w:abstractNum w:abstractNumId="94">
    <w:nsid w:val="14FCE74E"/>
    <w:multiLevelType w:val="hybridMultilevel"/>
    <w:lvl w:ilvl="0">
      <w:lvlJc w:val="left"/>
      <w:lvlText w:val="(%1)"/>
      <w:numFmt w:val="lowerLetter"/>
      <w:start w:val="8"/>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lowerLetter"/>
      <w:start w:val="5"/>
    </w:lvl>
  </w:abstractNum>
  <w:abstractNum w:abstractNumId="97">
    <w:nsid w:val="9DAF632"/>
    <w:multiLevelType w:val="hybridMultilevel"/>
    <w:lvl w:ilvl="0">
      <w:lvlJc w:val="left"/>
      <w:lvlText w:val="(%1)"/>
      <w:numFmt w:val="lowerLetter"/>
      <w:start w:val="19"/>
    </w:lvl>
  </w:abstractNum>
  <w:abstractNum w:abstractNumId="98">
    <w:nsid w:val="53299938"/>
    <w:multiLevelType w:val="hybridMultilevel"/>
    <w:lvl w:ilvl="0">
      <w:lvlJc w:val="left"/>
      <w:lvlText w:val="(%1)"/>
      <w:numFmt w:val="lowerLetter"/>
      <w:start w:val="27"/>
    </w:lvl>
  </w:abstractNum>
  <w:abstractNum w:abstractNumId="99">
    <w:nsid w:val="1FBFE8E0"/>
    <w:multiLevelType w:val="hybridMultilevel"/>
    <w:lvl w:ilvl="0">
      <w:lvlJc w:val="left"/>
      <w:lvlText w:val="(%1)"/>
      <w:numFmt w:val="lowerLetter"/>
      <w:start w:val="28"/>
    </w:lvl>
  </w:abstractNum>
  <w:abstractNum w:abstractNumId="100">
    <w:nsid w:val="5092CA79"/>
    <w:multiLevelType w:val="hybridMultilevel"/>
    <w:lvl w:ilvl="0">
      <w:lvlJc w:val="left"/>
      <w:lvlText w:val="(%1)"/>
      <w:numFmt w:val="lowerLetter"/>
      <w:start w:val="30"/>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lowerLetter"/>
      <w:start w:val="1"/>
    </w:lvl>
    <w:lvl w:ilvl="1">
      <w:lvlJc w:val="left"/>
      <w:lvlText w:val="(%2)"/>
      <w:numFmt w:val="lowerRoman"/>
      <w:start w:val="2"/>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lowerLetter"/>
      <w:start w:val="3"/>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lowerLetter"/>
      <w:start w:val="6"/>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lowerLetter"/>
      <w:start w:val="15"/>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2019-12-07T20:17:50Z</dcterms:created>
  <dcterms:modified xsi:type="dcterms:W3CDTF">2019-12-07T20:17:50Z</dcterms:modified>
</cp:coreProperties>
</file>