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7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9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5, 2013</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8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Company as Specified in its Charter)</w:t>
      </w:r>
    </w:p>
    <w:p>
      <w:pPr>
        <w:spacing w:after="0" w:line="363"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220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001-34960</w:t>
            </w:r>
          </w:p>
        </w:tc>
        <w:tc>
          <w:tcPr>
            <w:tcW w:w="40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27-0756180</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4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4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incorporation)</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68"/>
        </w:trPr>
        <w:tc>
          <w:tcPr>
            <w:tcW w:w="6260" w:type="dxa"/>
            <w:vAlign w:val="bottom"/>
            <w:gridSpan w:val="2"/>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w w:val="99"/>
              </w:rPr>
              <w:t>300 Renaissance Center, Detroit, Michigan</w:t>
            </w:r>
          </w:p>
        </w:tc>
        <w:tc>
          <w:tcPr>
            <w:tcW w:w="20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48265-3000</w:t>
            </w:r>
          </w:p>
        </w:tc>
        <w:tc>
          <w:tcPr>
            <w:tcW w:w="0" w:type="dxa"/>
            <w:vAlign w:val="bottom"/>
          </w:tcPr>
          <w:p>
            <w:pPr>
              <w:spacing w:after="0"/>
              <w:rPr>
                <w:sz w:val="1"/>
                <w:szCs w:val="1"/>
                <w:color w:val="auto"/>
              </w:rPr>
            </w:pPr>
          </w:p>
        </w:tc>
      </w:tr>
      <w:tr>
        <w:trPr>
          <w:trHeight w:val="234"/>
        </w:trPr>
        <w:tc>
          <w:tcPr>
            <w:tcW w:w="6260" w:type="dxa"/>
            <w:vAlign w:val="bottom"/>
            <w:gridSpan w:val="2"/>
          </w:tcPr>
          <w:p>
            <w:pPr>
              <w:jc w:val="center"/>
              <w:ind w:right="25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441"/>
        </w:trPr>
        <w:tc>
          <w:tcPr>
            <w:tcW w:w="2200" w:type="dxa"/>
            <w:vAlign w:val="bottom"/>
          </w:tcPr>
          <w:p>
            <w:pPr>
              <w:spacing w:after="0"/>
              <w:rPr>
                <w:sz w:val="24"/>
                <w:szCs w:val="24"/>
                <w:color w:val="auto"/>
              </w:rPr>
            </w:pPr>
          </w:p>
        </w:tc>
        <w:tc>
          <w:tcPr>
            <w:tcW w:w="4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313</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b w:val="1"/>
                <w:bCs w:val="1"/>
                <w:color w:val="auto"/>
                <w:w w:val="99"/>
              </w:rPr>
              <w:t>556-5000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4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(Company's telephone number, including area code)</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0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company under any of the following provisions:</w:t>
      </w:r>
    </w:p>
    <w:p>
      <w:pPr>
        <w:spacing w:after="0" w:line="200" w:lineRule="exact"/>
        <w:rPr>
          <w:sz w:val="24"/>
          <w:szCs w:val="24"/>
          <w:color w:val="auto"/>
        </w:rPr>
      </w:pPr>
    </w:p>
    <w:p>
      <w:pPr>
        <w:spacing w:after="0" w:line="201" w:lineRule="exact"/>
        <w:rPr>
          <w:sz w:val="24"/>
          <w:szCs w:val="2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71" w:lineRule="exact"/>
        <w:rPr>
          <w:rFonts w:ascii="MS PGothic" w:cs="MS PGothic" w:eastAsia="MS PGothic" w:hAnsi="MS PGothic"/>
          <w:sz w:val="14"/>
          <w:szCs w:val="1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(17-CFR 240.14a-12)</w:t>
      </w:r>
    </w:p>
    <w:p>
      <w:pPr>
        <w:spacing w:after="0" w:line="271" w:lineRule="exact"/>
        <w:rPr>
          <w:rFonts w:ascii="MS PGothic" w:cs="MS PGothic" w:eastAsia="MS PGothic" w:hAnsi="MS PGothic"/>
          <w:sz w:val="14"/>
          <w:szCs w:val="1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71" w:lineRule="exact"/>
        <w:rPr>
          <w:rFonts w:ascii="MS PGothic" w:cs="MS PGothic" w:eastAsia="MS PGothic" w:hAnsi="MS PGothic"/>
          <w:sz w:val="14"/>
          <w:szCs w:val="1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137" w:right="379" w:bottom="1440" w:gutter="0" w:footer="0" w:header="0"/>
        </w:sectPr>
      </w:pPr>
    </w:p>
    <w:bookmarkStart w:id="1" w:name="page2"/>
    <w:bookmarkEnd w:id="1"/>
    <w:p>
      <w:pPr>
        <w:jc w:val="right"/>
        <w:ind w:right="353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2.06 Material Impairments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ectPr>
          <w:pgSz w:w="11900" w:h="16838" w:orient="portrait"/>
          <w:cols w:equalWidth="0" w:num="1">
            <w:col w:w="10219"/>
          </w:cols>
          <w:pgMar w:left="240" w:top="576" w:right="1440"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7"/>
          <w:szCs w:val="17"/>
          <w:b w:val="1"/>
          <w:bCs w:val="1"/>
          <w:color w:val="auto"/>
        </w:rPr>
        <w:t>Costs Associated with Exit or Disposal Activities</w:t>
      </w:r>
    </w:p>
    <w:p>
      <w:pPr>
        <w:spacing w:after="0" w:line="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2.06</w:t>
        <w:tab/>
        <w:t>Material Impairments</w:t>
      </w:r>
    </w:p>
    <w:p>
      <w:pPr>
        <w:spacing w:after="0" w:line="207"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On December 5, 2013, General Motors Company (the “Company”) decided to withdraw the Chevrolet brand from Western and Central Europe and expects to record net special charges of $700 million - $1 billion, primarily in the fourth quarter of 2013 and continuing through the first half of 2014. These special charges consist of approximately $300 million for non-cash intangible asset impairments, $200 million - $400 million of cash dealer restructuring costs and $200 million - $300 million of cash sales incentive charges.</w:t>
      </w:r>
    </w:p>
    <w:p>
      <w:pPr>
        <w:spacing w:after="0" w:line="180"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On December 5, 2013, the Company issued a press release that provides further details. A copy of the press release is attached to this Current Report as Exhibit 99.1 and is incorporated by reference herein.</w:t>
      </w:r>
    </w:p>
    <w:p>
      <w:pPr>
        <w:spacing w:after="0" w:line="200" w:lineRule="exact"/>
        <w:rPr>
          <w:sz w:val="20"/>
          <w:szCs w:val="20"/>
          <w:color w:val="auto"/>
        </w:rPr>
      </w:pPr>
    </w:p>
    <w:p>
      <w:pPr>
        <w:spacing w:after="0" w:line="39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gridSpan w:val="3"/>
          </w:tcPr>
          <w:p>
            <w:pPr>
              <w:ind w:left="22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74"/>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1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22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Method of Filing</w:t>
            </w:r>
          </w:p>
        </w:tc>
        <w:tc>
          <w:tcPr>
            <w:tcW w:w="120" w:type="dxa"/>
            <w:vAlign w:val="bottom"/>
          </w:tcPr>
          <w:p>
            <w:pPr>
              <w:spacing w:after="0"/>
              <w:rPr>
                <w:sz w:val="24"/>
                <w:szCs w:val="24"/>
                <w:color w:val="auto"/>
              </w:rPr>
            </w:pPr>
          </w:p>
        </w:tc>
      </w:tr>
      <w:tr>
        <w:trPr>
          <w:trHeight w:val="27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180" w:type="dxa"/>
            <w:vAlign w:val="bottom"/>
          </w:tcPr>
          <w:p>
            <w:pPr>
              <w:spacing w:after="0"/>
              <w:rPr>
                <w:sz w:val="23"/>
                <w:szCs w:val="23"/>
                <w:color w:val="auto"/>
              </w:rPr>
            </w:pPr>
          </w:p>
        </w:tc>
        <w:tc>
          <w:tcPr>
            <w:tcW w:w="4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Press Release Announcing Strengthening General Motor's</w:t>
            </w:r>
          </w:p>
        </w:tc>
        <w:tc>
          <w:tcPr>
            <w:tcW w:w="17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8"/>
              </w:rPr>
              <w:t>Attached as Exhibit</w:t>
            </w:r>
          </w:p>
        </w:tc>
      </w:tr>
      <w:tr>
        <w:trPr>
          <w:trHeight w:val="234"/>
        </w:trPr>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European Brand Strategy</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ectPr>
          <w:pgSz w:w="11900" w:h="16838" w:orient="portrait"/>
          <w:cols w:equalWidth="0" w:num="1">
            <w:col w:w="11420"/>
          </w:cols>
          <w:pgMar w:left="240" w:top="576" w:right="2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7"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702"/>
        </w:trPr>
        <w:tc>
          <w:tcPr>
            <w:tcW w:w="3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THOMAS S. TIMKO</w:t>
            </w:r>
          </w:p>
        </w:tc>
        <w:tc>
          <w:tcPr>
            <w:tcW w:w="0" w:type="dxa"/>
            <w:vAlign w:val="bottom"/>
          </w:tcPr>
          <w:p>
            <w:pPr>
              <w:spacing w:after="0"/>
              <w:rPr>
                <w:sz w:val="1"/>
                <w:szCs w:val="1"/>
                <w:color w:val="auto"/>
              </w:rPr>
            </w:pPr>
          </w:p>
        </w:tc>
      </w:tr>
      <w:tr>
        <w:trPr>
          <w:trHeight w:val="27"/>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December 5, 2013</w:t>
            </w:r>
          </w:p>
        </w:tc>
        <w:tc>
          <w:tcPr>
            <w:tcW w:w="2120" w:type="dxa"/>
            <w:vAlign w:val="bottom"/>
            <w:vMerge w:val="restart"/>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80" w:type="dxa"/>
            <w:vAlign w:val="bottom"/>
            <w:vMerge w:val="continue"/>
          </w:tcPr>
          <w:p>
            <w:pPr>
              <w:spacing w:after="0"/>
              <w:rPr>
                <w:sz w:val="18"/>
                <w:szCs w:val="18"/>
                <w:color w:val="auto"/>
              </w:rPr>
            </w:pPr>
          </w:p>
        </w:tc>
        <w:tc>
          <w:tcPr>
            <w:tcW w:w="21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S. Timko</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576"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Release: Thursday, Dec. 5, 2013, 3 a.m. EST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GM Strengthens its European Brand Strategy</w:t>
      </w:r>
    </w:p>
    <w:p>
      <w:pPr>
        <w:spacing w:after="0" w:line="31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Opel/Vauxhall to compete as GM’s mainstream brands across Europe</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Chevrolet to focus on iconic products in Europe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Cadillac to expand in Europe</w:t>
      </w:r>
    </w:p>
    <w:p>
      <w:pPr>
        <w:spacing w:after="0" w:line="198" w:lineRule="exact"/>
        <w:rPr>
          <w:sz w:val="20"/>
          <w:szCs w:val="20"/>
          <w:color w:val="auto"/>
        </w:rPr>
      </w:pPr>
    </w:p>
    <w:p>
      <w:pPr>
        <w:ind w:right="7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DETROIT </w:t>
      </w:r>
      <w:r>
        <w:rPr>
          <w:rFonts w:ascii="Times New Roman" w:cs="Times New Roman" w:eastAsia="Times New Roman" w:hAnsi="Times New Roman"/>
          <w:sz w:val="20"/>
          <w:szCs w:val="20"/>
          <w:color w:val="auto"/>
        </w:rPr>
        <w:t>- General Motors today announced plans to accelerate its progress in Europe by bolstering its brands in the mainstream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premium segments.</w:t>
      </w:r>
    </w:p>
    <w:p>
      <w:pPr>
        <w:spacing w:after="0" w:line="15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Beginning in 2016, GM will compete in Europe’s volume markets under its respected Opel and Vauxhall brands. The company’s Chevrolet brand will no longer have a mainstream presence in Western and Eastern Europe, largely due to a challenging business model and the difficult economic situation in Europe.</w:t>
      </w:r>
    </w:p>
    <w:p>
      <w:pPr>
        <w:spacing w:after="0" w:line="17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Chevrolet, the fourth-largest global automotive brand, will instead tailor its presence to offering select iconic vehicles - such as the Corvette - in Western and Eastern Europe, and will continue to have a broad presence in Russia and the Commonwealth of Independent States.</w:t>
      </w:r>
    </w:p>
    <w:p>
      <w:pPr>
        <w:spacing w:after="0" w:line="16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This will improve the Opel and Vauxhall brands and reduce the market complexity associated with having Opel and Chevrolet in Western and Eastern Europe. In Russia and the CIS, the brands are clearly defined and distinguished and, as a result, are more competitive within their respective segments.</w:t>
      </w:r>
    </w:p>
    <w:p>
      <w:pPr>
        <w:spacing w:after="0" w:line="175"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Cadillac, which is finalizing plans for expanding in the European market, will enhance and expand its distribution network over the next three years as it prepares for numerous product introductions.</w:t>
      </w:r>
    </w:p>
    <w:p>
      <w:pPr>
        <w:spacing w:after="0" w:line="16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“Europe is a key region for GM that will benefit from a stronger Opel and Vauxhall and further emphasis on Cadillac,” said GM Chairman and CEO Dan Akerson. “For Chevrolet, it will allow us to focus our investments where the opportunity for growth is greatest.”</w:t>
      </w:r>
    </w:p>
    <w:p>
      <w:pPr>
        <w:spacing w:after="0" w:line="160"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“This is a win for all four brands. It’s especially positive for car buyers throughout Europe, who will be able to purchase vehicles from well-defined, vibrant GM brands,” Akerson said.</w:t>
      </w:r>
    </w:p>
    <w:p>
      <w:pPr>
        <w:spacing w:after="0" w:line="160" w:lineRule="exact"/>
        <w:rPr>
          <w:sz w:val="20"/>
          <w:szCs w:val="20"/>
          <w:color w:val="auto"/>
        </w:rPr>
      </w:pPr>
    </w:p>
    <w:p>
      <w:pPr>
        <w:ind w:right="920"/>
        <w:spacing w:after="0" w:line="269" w:lineRule="auto"/>
        <w:rPr>
          <w:sz w:val="20"/>
          <w:szCs w:val="20"/>
          <w:color w:val="auto"/>
        </w:rPr>
      </w:pPr>
      <w:r>
        <w:rPr>
          <w:rFonts w:ascii="Times New Roman" w:cs="Times New Roman" w:eastAsia="Times New Roman" w:hAnsi="Times New Roman"/>
          <w:sz w:val="20"/>
          <w:szCs w:val="20"/>
          <w:color w:val="auto"/>
        </w:rPr>
        <w:t>Chevrolet will work closely with its dealer network in Western and Eastern Europe to define future steps while ensuring it can honor obligations to existing customers in the coming years.</w:t>
      </w:r>
    </w:p>
    <w:p>
      <w:pPr>
        <w:spacing w:after="0" w:line="17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“Our customers can rest assured that we will continue to provide warranty, parts and services for their Chevrolet vehicles, and for vehicles purchased between now and the end of 2015,” said Thomas Sedran, president and managing director of Chevrolet Europe. “We want to thank our customers and dealers for their loyalty to the Chevrolet brand here in Europe.”</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 majority of the Chevrolet portfolio sold in Western and Eastern Europe is produced in South Korea. As a result, GM will increase its focus on driving profitability, managing costs and maximizing sales opportunities in its Korean operations as the company looks for new ways to improve business results in the fast-changing and highly competitive global business environment.</w:t>
      </w:r>
    </w:p>
    <w:p>
      <w:pPr>
        <w:sectPr>
          <w:pgSz w:w="11900" w:h="16838" w:orient="portrait"/>
          <w:cols w:equalWidth="0" w:num="1">
            <w:col w:w="11420"/>
          </w:cols>
          <w:pgMar w:left="240" w:top="1440" w:right="239" w:bottom="1440" w:gutter="0" w:footer="0" w:header="0"/>
        </w:sectPr>
      </w:pPr>
    </w:p>
    <w:bookmarkStart w:id="5" w:name="page6"/>
    <w:bookmarkEnd w:id="5"/>
    <w:p>
      <w:pPr>
        <w:ind w:right="80"/>
        <w:spacing w:after="0" w:line="254" w:lineRule="auto"/>
        <w:rPr>
          <w:sz w:val="20"/>
          <w:szCs w:val="20"/>
          <w:color w:val="auto"/>
        </w:rPr>
      </w:pPr>
      <w:r>
        <w:rPr>
          <w:rFonts w:ascii="Times New Roman" w:cs="Times New Roman" w:eastAsia="Times New Roman" w:hAnsi="Times New Roman"/>
          <w:sz w:val="20"/>
          <w:szCs w:val="20"/>
          <w:color w:val="auto"/>
        </w:rPr>
        <w:t>“We will continue to become more competitive in Korea,” said GM Korea President and CEO Sergio Rocha. “In doing so, we will position ourselves for long-term competitiveness and sustainability in the best interests of our employees, customers and stakeholders, while remaining a significant contributor to GM’s global business.”</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With the decision that Chevrolet will no longer have a mainstream presence in Western and Eastern Europe, GM expects to record net special charges of $700 million to $1 billion primarily in the fourth quarter of 2013 and continuing through the first half of 2014. The special charges include asset impairments, dealer restructuring, sales incentives and severance-related costs, and will pave the way for continued improvement in GM’s European operations through the further strengthening of the Opel and Vauxhall brands. Approximately $300 million of the net special charges will be non-cash expenses. In addition, GM expects to incur restructuring costs related to these actions that will not be treated as special charges, but will impact GM International Operations earnings in 2014.</w:t>
      </w:r>
    </w:p>
    <w:p>
      <w:pPr>
        <w:spacing w:after="0" w:line="18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Motors Co. </w:t>
      </w:r>
      <w:r>
        <w:rPr>
          <w:rFonts w:ascii="Times New Roman" w:cs="Times New Roman" w:eastAsia="Times New Roman" w:hAnsi="Times New Roman"/>
          <w:sz w:val="18"/>
          <w:szCs w:val="18"/>
          <w:color w:val="auto"/>
        </w:rPr>
        <w:t>(NYSE:GM, TSX: GMM) and its partners produce vehicles in 30 countries, and the company has leadership positions in the world's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Times New Roman" w:cs="Times New Roman" w:eastAsia="Times New Roman" w:hAnsi="Times New Roman"/>
          <w:sz w:val="18"/>
          <w:szCs w:val="18"/>
          <w:u w:val="single" w:color="auto"/>
          <w:color w:val="0000FF"/>
        </w:rPr>
        <w:t>http://www.gm.com</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Europe; our ability to remain competitive in Korea, our ability to accurately estimate the described special and restructuring charges and our ability to continue to attract new customers, particularly for our new products. GM's most recent annual report on Form 10-K provides information about these and other factors, which we may revise or supplement in future reports to the SEC.</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Roman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313-498-1735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dave.roman@gm.com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Vijay Iyer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Chevrolet and Cadillac Europe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+41792015752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vijay.iyer@gm.com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Harald Hamprecht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Opel/Vauxhall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+4916097817333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harald.hamprecht@de.opel.com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Jina Hwang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Korea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+821190183062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jina.hwang@gm.com</w:t>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2019-12-07T20:49:00Z</dcterms:created>
  <dcterms:modified xsi:type="dcterms:W3CDTF">2019-12-07T20:49:00Z</dcterms:modified>
</cp:coreProperties>
</file>