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60"/>
        <w:spacing w:after="0"/>
        <w:rPr>
          <w:sz w:val="20"/>
          <w:szCs w:val="20"/>
          <w:color w:val="auto"/>
        </w:rPr>
      </w:pPr>
      <w:r>
        <w:rPr>
          <w:rFonts w:ascii="Arial" w:cs="Arial" w:eastAsia="Arial" w:hAnsi="Arial"/>
          <w:sz w:val="21"/>
          <w:szCs w:val="21"/>
          <w:b w:val="1"/>
          <w:bCs w:val="1"/>
          <w:color w:val="auto"/>
        </w:rPr>
        <w:t>Date of Report (Date of earliest event reported) February 23,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560"/>
          </w:cols>
          <w:pgMar w:left="240" w:top="314" w:right="91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360" w:space="720"/>
            <w:col w:w="3260" w:space="720"/>
            <w:col w:w="1680"/>
          </w:cols>
          <w:pgMar w:left="240" w:top="314" w:right="919" w:bottom="1440" w:gutter="0" w:footer="0" w:header="0"/>
          <w:type w:val="continuous"/>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560"/>
          </w:cols>
          <w:pgMar w:left="240" w:top="314" w:right="91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460"/>
          </w:cols>
          <w:pgMar w:left="240" w:top="314" w:right="919" w:bottom="1440" w:gutter="0" w:footer="0" w:header="0"/>
          <w:type w:val="continuous"/>
        </w:sectPr>
      </w:pPr>
    </w:p>
    <w:p>
      <w:pPr>
        <w:jc w:val="center"/>
        <w:ind w:right="-6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2"/>
          <w:szCs w:val="12"/>
          <w:b w:val="1"/>
          <w:bCs w:val="1"/>
          <w:color w:val="auto"/>
        </w:rPr>
        <w:t>(Company’s telephone number, including area code)</w:t>
      </w:r>
    </w:p>
    <w:p>
      <w:pPr>
        <w:sectPr>
          <w:pgSz w:w="11900" w:h="16838" w:orient="portrait"/>
          <w:cols w:equalWidth="0" w:num="1">
            <w:col w:w="10740"/>
          </w:cols>
          <w:pgMar w:left="240" w:top="314" w:right="919" w:bottom="1440" w:gutter="0" w:footer="0" w:header="0"/>
          <w:type w:val="continuous"/>
        </w:sectPr>
      </w:pPr>
    </w:p>
    <w:p>
      <w:pPr>
        <w:spacing w:after="0" w:line="160"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previously reported on Form 8-K filed February 25, 2010, Stephen J. Girsky was hired as Vice Chairman, Corporate Strategy and Business Development of General Motors Company (“GM” or the “Company) effective March 1, 2010. Mr. Girsky is a member of the Company’s Board of Directors. On March 1, 2010 the Company and Mr. Girsky finalized his compensation arrangements, and is amending its February 25, 2010 Form 8-K to provide information about those arrangements.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Girsky’s annual cash base salary is $500,000, and he will participate in the benefit plans currently available to executive officers as described on Form 8-K, filed August 7, 2009, and as set forth as exhibits to various periodic filings by the Company. Mr. Girsky will receive the remaining 90% of his total annual compensation in the form of equity, including salary stock, awarded pursuant to the provisions of the Salary Stock Plan, in the amount of $3,000,000, which will be delivered ratably over three years beginning in 2012, and TARP compliant restricted stock units valued at $1,500,000, under the Company’s Long-Term Incentive Plan. Mr. Girsky will continue as a GM Director, but will not receive additional compensation for his service on the Company’s Board.</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March 2, 2010, the Board of Directors of GM amended sections 2.4 and 2.6 of the Company’s Bylaws regarding special meetings and the election of chairman, all effective immediately.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2.4 has been amended to permit the lead director, if appointed, to call special meetings of the Board.</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2.6 has been amended to: (a) permit the Board to elect an independent or a non-independent director as Chairman in its discretion; (b) provide for the Board to designate an independent lead director in the event the Chairman is not considered “Independent”; and (c) permit the lead director to preside at Board meetings in the absence of the Chairman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the same meeting, the GM Board has designated Patricia F. Russo, a member of the GM Board since July 2009, as lead independent director, effective immediately.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complete copy of sections 2.4 and 2.6 of the Bylaws, as amended, is provided as an Exhibit 3.1 to this Form 8-K.</w:t>
      </w:r>
    </w:p>
    <w:p>
      <w:pPr>
        <w:sectPr>
          <w:pgSz w:w="11900" w:h="16838" w:orient="portrait"/>
          <w:cols w:equalWidth="0" w:num="1">
            <w:col w:w="11320"/>
          </w:cols>
          <w:pgMar w:left="240" w:top="274" w:right="33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February 23, 2010, General Motors Company (GM) issued a news release announcing the sale of Saab Automotive AB to Spyker Cars N.V. The release is attached as Exhibit 99.1.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440" w:type="dxa"/>
            <w:vAlign w:val="bottom"/>
          </w:tcPr>
          <w:p>
            <w:pPr>
              <w:spacing w:after="0"/>
              <w:rPr>
                <w:sz w:val="15"/>
                <w:szCs w:val="15"/>
                <w:color w:val="auto"/>
              </w:rPr>
            </w:pPr>
          </w:p>
        </w:tc>
        <w:tc>
          <w:tcPr>
            <w:tcW w:w="10460" w:type="dxa"/>
            <w:vAlign w:val="bottom"/>
            <w:tcBorders>
              <w:bottom w:val="single" w:sz="8" w:color="auto"/>
            </w:tcBorders>
          </w:tcPr>
          <w:p>
            <w:pPr>
              <w:ind w:left="49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500" w:type="dxa"/>
            <w:vAlign w:val="bottom"/>
          </w:tcPr>
          <w:p>
            <w:pPr>
              <w:jc w:val="right"/>
              <w:ind w:right="122"/>
              <w:spacing w:after="0" w:line="201" w:lineRule="exact"/>
              <w:rPr>
                <w:sz w:val="20"/>
                <w:szCs w:val="20"/>
                <w:color w:val="auto"/>
              </w:rPr>
            </w:pPr>
            <w:r>
              <w:rPr>
                <w:rFonts w:ascii="Arial" w:cs="Arial" w:eastAsia="Arial" w:hAnsi="Arial"/>
                <w:sz w:val="18"/>
                <w:szCs w:val="18"/>
                <w:color w:val="auto"/>
              </w:rPr>
              <w:t>3.1</w:t>
            </w:r>
          </w:p>
        </w:tc>
        <w:tc>
          <w:tcPr>
            <w:tcW w:w="440" w:type="dxa"/>
            <w:vAlign w:val="bottom"/>
          </w:tcPr>
          <w:p>
            <w:pPr>
              <w:spacing w:after="0"/>
              <w:rPr>
                <w:sz w:val="17"/>
                <w:szCs w:val="17"/>
                <w:color w:val="auto"/>
              </w:rPr>
            </w:pPr>
          </w:p>
        </w:tc>
        <w:tc>
          <w:tcPr>
            <w:tcW w:w="10460" w:type="dxa"/>
            <w:vAlign w:val="bottom"/>
          </w:tcPr>
          <w:p>
            <w:pPr>
              <w:spacing w:after="0" w:line="201" w:lineRule="exact"/>
              <w:rPr>
                <w:sz w:val="20"/>
                <w:szCs w:val="20"/>
                <w:color w:val="auto"/>
              </w:rPr>
            </w:pPr>
            <w:r>
              <w:rPr>
                <w:rFonts w:ascii="Arial" w:cs="Arial" w:eastAsia="Arial" w:hAnsi="Arial"/>
                <w:sz w:val="18"/>
                <w:szCs w:val="18"/>
                <w:color w:val="auto"/>
              </w:rPr>
              <w:t>Amended and restated sections 2.4 and 2.6 of the Company’s Bylaws</w:t>
            </w:r>
          </w:p>
        </w:tc>
      </w:tr>
      <w:tr>
        <w:trPr>
          <w:trHeight w:val="222"/>
        </w:trPr>
        <w:tc>
          <w:tcPr>
            <w:tcW w:w="520" w:type="dxa"/>
            <w:vAlign w:val="bottom"/>
            <w:gridSpan w:val="2"/>
          </w:tcPr>
          <w:p>
            <w:pPr>
              <w:jc w:val="right"/>
              <w:ind w:right="122"/>
              <w:spacing w:after="0"/>
              <w:rPr>
                <w:sz w:val="20"/>
                <w:szCs w:val="20"/>
                <w:color w:val="auto"/>
              </w:rPr>
            </w:pPr>
            <w:r>
              <w:rPr>
                <w:rFonts w:ascii="Arial" w:cs="Arial" w:eastAsia="Arial" w:hAnsi="Arial"/>
                <w:sz w:val="18"/>
                <w:szCs w:val="18"/>
                <w:color w:val="auto"/>
                <w:w w:val="85"/>
              </w:rPr>
              <w:t>99.1</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News release dated, February 23, 2010</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March 5, 2010</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680" w:type="dxa"/>
            <w:vAlign w:val="bottom"/>
          </w:tcPr>
          <w:p>
            <w:pPr>
              <w:spacing w:after="0"/>
              <w:rPr>
                <w:sz w:val="14"/>
                <w:szCs w:val="14"/>
                <w:color w:val="auto"/>
              </w:rPr>
            </w:pPr>
          </w:p>
        </w:tc>
        <w:tc>
          <w:tcPr>
            <w:tcW w:w="8680" w:type="dxa"/>
            <w:vAlign w:val="bottom"/>
            <w:gridSpan w:val="3"/>
          </w:tcPr>
          <w:p>
            <w:pPr>
              <w:ind w:left="26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Method of Filing</w:t>
            </w:r>
          </w:p>
        </w:tc>
      </w:tr>
      <w:tr>
        <w:trPr>
          <w:trHeight w:val="20"/>
        </w:trPr>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9"/>
        </w:trPr>
        <w:tc>
          <w:tcPr>
            <w:tcW w:w="11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8680" w:type="dxa"/>
            <w:vAlign w:val="bottom"/>
            <w:gridSpan w:val="3"/>
          </w:tcPr>
          <w:p>
            <w:pPr>
              <w:ind w:left="260"/>
              <w:spacing w:after="0"/>
              <w:rPr>
                <w:sz w:val="20"/>
                <w:szCs w:val="20"/>
                <w:color w:val="auto"/>
              </w:rPr>
            </w:pPr>
            <w:r>
              <w:rPr>
                <w:rFonts w:ascii="Arial" w:cs="Arial" w:eastAsia="Arial" w:hAnsi="Arial"/>
                <w:sz w:val="18"/>
                <w:szCs w:val="18"/>
                <w:color w:val="auto"/>
              </w:rPr>
              <w:t>Amended and restated sections 2.4 and 2.6 of the Company’s Bylaws</w:t>
            </w:r>
          </w:p>
        </w:tc>
        <w:tc>
          <w:tcPr>
            <w:tcW w:w="1400" w:type="dxa"/>
            <w:vAlign w:val="bottom"/>
            <w:gridSpan w:val="2"/>
          </w:tcPr>
          <w:p>
            <w:pPr>
              <w:spacing w:after="0"/>
              <w:rPr>
                <w:sz w:val="20"/>
                <w:szCs w:val="20"/>
                <w:color w:val="auto"/>
              </w:rPr>
            </w:pPr>
            <w:r>
              <w:rPr>
                <w:rFonts w:ascii="Arial" w:cs="Arial" w:eastAsia="Arial" w:hAnsi="Arial"/>
                <w:sz w:val="18"/>
                <w:szCs w:val="18"/>
                <w:color w:val="auto"/>
                <w:w w:val="89"/>
              </w:rPr>
              <w:t>Attached as Exhibit</w:t>
            </w:r>
          </w:p>
        </w:tc>
      </w:tr>
      <w:tr>
        <w:trPr>
          <w:trHeight w:val="222"/>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8680" w:type="dxa"/>
            <w:vAlign w:val="bottom"/>
            <w:gridSpan w:val="3"/>
          </w:tcPr>
          <w:p>
            <w:pPr>
              <w:ind w:left="260"/>
              <w:spacing w:after="0"/>
              <w:rPr>
                <w:sz w:val="20"/>
                <w:szCs w:val="20"/>
                <w:color w:val="auto"/>
              </w:rPr>
            </w:pPr>
            <w:r>
              <w:rPr>
                <w:rFonts w:ascii="Arial" w:cs="Arial" w:eastAsia="Arial" w:hAnsi="Arial"/>
                <w:sz w:val="18"/>
                <w:szCs w:val="18"/>
                <w:color w:val="auto"/>
              </w:rPr>
              <w:t>News release dated February 23, 2010</w:t>
            </w:r>
          </w:p>
        </w:tc>
        <w:tc>
          <w:tcPr>
            <w:tcW w:w="1400" w:type="dxa"/>
            <w:vAlign w:val="bottom"/>
            <w:gridSpan w:val="2"/>
          </w:tcPr>
          <w:p>
            <w:pPr>
              <w:spacing w:after="0"/>
              <w:rPr>
                <w:sz w:val="20"/>
                <w:szCs w:val="20"/>
                <w:color w:val="auto"/>
              </w:rPr>
            </w:pPr>
            <w:r>
              <w:rPr>
                <w:rFonts w:ascii="Arial" w:cs="Arial" w:eastAsia="Arial" w:hAnsi="Arial"/>
                <w:sz w:val="18"/>
                <w:szCs w:val="18"/>
                <w:color w:val="auto"/>
                <w:w w:val="89"/>
              </w:rPr>
              <w:t>Attached as Exhibit</w:t>
            </w:r>
          </w:p>
        </w:tc>
      </w:tr>
    </w:tbl>
    <w:p>
      <w:pPr>
        <w:sectPr>
          <w:pgSz w:w="11900" w:h="16838" w:orient="portrait"/>
          <w:cols w:equalWidth="0" w:num="1">
            <w:col w:w="11220"/>
          </w:cols>
          <w:pgMar w:left="240"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Bylaws:</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Special Meetings.</w:t>
      </w:r>
    </w:p>
    <w:p>
      <w:pPr>
        <w:spacing w:after="0" w:line="90"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Special meetings of the board of directors may be called by the chairman of the board, or the chairman of the board may by written designation appoint the chief executive officer, the president, the vice chairman, or a vice president of the Corporation to call such meeting. Special meetings may also be called by the lead director or, if there is no lead director, the chairman of the directors and corporate governance committee, or by written request of one-third of the directors then in office. The place, date, and time of a special meeting shall be fixed by the person or persons calling the special meeting. Notice of a special meeting of the board of directors shall be sent by the secretary of the Corporation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Unless such notice indicates otherwise, any business may be transacted at a special meeting.</w:t>
      </w:r>
    </w:p>
    <w:p>
      <w:pPr>
        <w:spacing w:after="0" w:line="24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Election of Chairman; Conduct of Board Meetings.</w:t>
      </w:r>
    </w:p>
    <w:p>
      <w:pPr>
        <w:spacing w:after="0" w:line="90"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color w:val="auto"/>
        </w:rPr>
        <w:t>The board of directors shall annually elect one of its members to be chairman of the board and shall fill any vacancy in the position of chairman of the board with a director at such time and in such manner as the board shall determine. A director may be removed from the position of chairman of the board at any time by the affirmative vote of a majority of the board. The chairman of the board may but need not be an officer of or employed in an executive or any other capacity by the Corporation. If the chairman of the board is not an Independent Director, the board of directors shall designate one of its Independent Directors to be lead director, with such responsibilities as the board may determine.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chairman of the board shall preside at meetings of the board and lead the board in fulfilling its responsibilities as defined in section 2.1.</w:t>
      </w:r>
    </w:p>
    <w:p>
      <w:pPr>
        <w:spacing w:after="0" w:line="113" w:lineRule="exact"/>
        <w:rPr>
          <w:sz w:val="20"/>
          <w:szCs w:val="20"/>
          <w:color w:val="auto"/>
        </w:rPr>
      </w:pPr>
    </w:p>
    <w:p>
      <w:pPr>
        <w:ind w:left="460" w:right="640"/>
        <w:spacing w:after="0" w:line="335" w:lineRule="auto"/>
        <w:rPr>
          <w:sz w:val="20"/>
          <w:szCs w:val="20"/>
          <w:color w:val="auto"/>
        </w:rPr>
      </w:pPr>
      <w:r>
        <w:rPr>
          <w:rFonts w:ascii="Arial" w:cs="Arial" w:eastAsia="Arial" w:hAnsi="Arial"/>
          <w:sz w:val="15"/>
          <w:szCs w:val="15"/>
          <w:color w:val="auto"/>
        </w:rPr>
        <w:t>In the absence of the chairman of the board, the lead director or, if there is no lead director, the chairman of the directors and corporate governance committee or, in his absence, a member of the board selected by the members present, shall preside at meetings of the board. The secretary of the Corporation shall act as secretary of the meetings of the board but, in his absence, the presiding director may appoint a secretary for the meeting.</w:t>
      </w:r>
    </w:p>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132715</wp:posOffset>
            </wp:positionV>
            <wp:extent cx="2607310"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7310" cy="43751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Motors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GM Communications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Detroit, Mich.,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media.gm.com</w:t>
      </w:r>
    </w:p>
    <w:p>
      <w:pPr>
        <w:spacing w:after="0" w:line="178" w:lineRule="exact"/>
        <w:rPr>
          <w:sz w:val="20"/>
          <w:szCs w:val="20"/>
          <w:color w:val="auto"/>
        </w:rPr>
      </w:pPr>
    </w:p>
    <w:p>
      <w:pPr>
        <w:sectPr>
          <w:pgSz w:w="11900" w:h="16838" w:orient="portrait"/>
          <w:cols w:equalWidth="0" w:num="3">
            <w:col w:w="5200" w:space="720"/>
            <w:col w:w="1140" w:space="580"/>
            <w:col w:w="378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color w:val="auto"/>
        </w:rPr>
        <w:t>February 23, 2010</w:t>
      </w:r>
    </w:p>
    <w:p>
      <w:pPr>
        <w:sectPr>
          <w:pgSz w:w="11900" w:h="16838" w:orient="portrait"/>
          <w:cols w:equalWidth="0" w:num="1">
            <w:col w:w="11420"/>
          </w:cols>
          <w:pgMar w:left="240" w:top="125" w:right="23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Spyker Cars Finalizes Purchase of Saab Automobile from GM</w:t>
      </w:r>
    </w:p>
    <w:p>
      <w:pPr>
        <w:spacing w:after="0" w:line="21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ownership and operations to Spyker Cars takes place</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Previously announced wind down of Saab operations ends</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 new era begins for an iconic auto brand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DETROIT – General Motors and Spyker Cars NV today announced that they have finalized the deal for Spyker to purchase Saab Automobile AB.</w:t>
      </w:r>
    </w:p>
    <w:p>
      <w:pPr>
        <w:spacing w:after="0" w:line="19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Going forward, Saab and Spyker will operate under the Spyker (AMS:SPYKR) umbrella, and Spyker will assume responsibility for Saab operations. The previously announced wind down of Saab operations has ended.</w:t>
      </w:r>
    </w:p>
    <w:p>
      <w:pPr>
        <w:spacing w:after="0" w:line="132"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“This transaction represents the successful outcome of months of hard work and intense negotiations, all aimed at securing a sustainable future for this unique brand, and we are pleased with the positive outcome,” said John Smith, GM vice president for corporate planning and alliances. “This is a great day for Saab employees, dealers and suppliers, and a great day for millions of Saab customers and fans worldwide.”</w:t>
      </w:r>
    </w:p>
    <w:p>
      <w:pPr>
        <w:spacing w:after="0" w:line="107"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“Throughout negotiations over the past year, GM has worked with many parties, including governments and investors, to find a solution for Saab,” said Nick Reilly, president, GM Europe. “I’m very pleased that we could come to a positive conclusion, one that presents a viable future for Saab and preserves jobs in Sweden and elsewhere.”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204,000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www.gm.com.</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Saab background: </w:t>
      </w:r>
      <w:r>
        <w:rPr>
          <w:rFonts w:ascii="Arial" w:cs="Arial" w:eastAsia="Arial" w:hAnsi="Arial"/>
          <w:sz w:val="18"/>
          <w:szCs w:val="18"/>
          <w:color w:val="auto"/>
        </w:rPr>
        <w:t>Saab entered the auto business in 1949 with the first model 92. Its aerodynamic shape and advanced technology drew from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roots as an aircraft maker, and helped create what was to become a loyal and passionate customer base. GM acquired a 50 percent stake in Saab in 1990, and acquired the balance of Saab in 2000. As part of its strategy to focus on its four strongest brands in the U.S., GM began seeking a buyer for Saab in January 2009, a concerted effort that led to today’s announcement.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Saab Automobile Press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+ 46 520 279 797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Eric Geers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Saab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+46 703 205 490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eric.geers@gm.com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Tom Wilkinson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+1 313-378-6233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tom.wilkinson@gm.com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John McDonald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+1 313-418-2139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john.m.mcdonald@gm.com</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2019-12-11T06:43:55Z</dcterms:created>
  <dcterms:modified xsi:type="dcterms:W3CDTF">2019-12-11T06:43:55Z</dcterms:modified>
</cp:coreProperties>
</file>