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628015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Washington, DC 20549-1004</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7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5, 2020</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ectPr>
          <w:pgSz w:w="11900" w:h="16838" w:orient="portrait"/>
          <w:cols w:equalWidth="0" w:num="1">
            <w:col w:w="11040"/>
          </w:cols>
          <w:pgMar w:left="300" w:top="1242" w:right="559" w:bottom="1440" w:gutter="0" w:footer="0" w:header="0"/>
        </w:sectPr>
      </w:pPr>
    </w:p>
    <w:p>
      <w:pPr>
        <w:spacing w:after="0" w:line="10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3"/>
          <w:szCs w:val="13"/>
          <w:b w:val="1"/>
          <w:bCs w:val="1"/>
          <w:color w:val="auto"/>
        </w:rPr>
        <w:t>001-34960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27-0756180</w:t>
      </w:r>
    </w:p>
    <w:p>
      <w:pPr>
        <w:spacing w:after="0" w:line="53" w:lineRule="exact"/>
        <w:rPr>
          <w:sz w:val="24"/>
          <w:szCs w:val="24"/>
          <w:color w:val="auto"/>
        </w:rPr>
      </w:pPr>
    </w:p>
    <w:p>
      <w:pPr>
        <w:sectPr>
          <w:pgSz w:w="11900" w:h="16838" w:orient="portrait"/>
          <w:cols w:equalWidth="0" w:num="3">
            <w:col w:w="4780" w:space="720"/>
            <w:col w:w="2820" w:space="720"/>
            <w:col w:w="2000"/>
          </w:cols>
          <w:pgMar w:left="300" w:top="1242" w:right="5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4" w:lineRule="exact"/>
        <w:rPr>
          <w:sz w:val="24"/>
          <w:szCs w:val="24"/>
          <w:color w:val="auto"/>
        </w:rPr>
      </w:pPr>
    </w:p>
    <w:p>
      <w:pPr>
        <w:sectPr>
          <w:pgSz w:w="11900" w:h="16838" w:orient="portrait"/>
          <w:cols w:equalWidth="0" w:num="3">
            <w:col w:w="4300" w:space="720"/>
            <w:col w:w="2620" w:space="720"/>
            <w:col w:w="2680"/>
          </w:cols>
          <w:pgMar w:left="300" w:top="1242"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Times New Roman" w:cs="Times New Roman" w:eastAsia="Times New Roman" w:hAnsi="Times New Roman"/>
          <w:sz w:val="14"/>
          <w:szCs w:val="14"/>
          <w:b w:val="1"/>
          <w:bCs w:val="1"/>
          <w:color w:val="auto"/>
        </w:rPr>
        <w:t>300 Renaissance Center,</w:t>
      </w:r>
      <w:r>
        <w:rPr>
          <w:sz w:val="20"/>
          <w:szCs w:val="20"/>
          <w:color w:val="auto"/>
        </w:rPr>
        <w:tab/>
      </w:r>
      <w:r>
        <w:rPr>
          <w:rFonts w:ascii="Times New Roman" w:cs="Times New Roman" w:eastAsia="Times New Roman" w:hAnsi="Times New Roman"/>
          <w:sz w:val="14"/>
          <w:szCs w:val="14"/>
          <w:b w:val="1"/>
          <w:bCs w:val="1"/>
          <w:color w:val="auto"/>
        </w:rPr>
        <w:t>Detroit,</w:t>
      </w:r>
      <w:r>
        <w:rPr>
          <w:sz w:val="20"/>
          <w:szCs w:val="20"/>
          <w:color w:val="auto"/>
        </w:rPr>
        <w:tab/>
      </w:r>
      <w:r>
        <w:rPr>
          <w:rFonts w:ascii="Times New Roman" w:cs="Times New Roman" w:eastAsia="Times New Roman" w:hAnsi="Times New Roman"/>
          <w:sz w:val="14"/>
          <w:szCs w:val="14"/>
          <w:b w:val="1"/>
          <w:bCs w:val="1"/>
          <w:color w:val="auto"/>
        </w:rPr>
        <w:t>Michigan</w:t>
      </w:r>
    </w:p>
    <w:p>
      <w:pPr>
        <w:spacing w:after="0" w:line="25" w:lineRule="exact"/>
        <w:rPr>
          <w:sz w:val="24"/>
          <w:szCs w:val="24"/>
          <w:color w:val="auto"/>
        </w:rPr>
      </w:pPr>
    </w:p>
    <w:p>
      <w:pPr>
        <w:jc w:val="right"/>
        <w:ind w:right="3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Times New Roman" w:cs="Times New Roman" w:eastAsia="Times New Roman" w:hAnsi="Times New Roman"/>
          <w:sz w:val="13"/>
          <w:szCs w:val="13"/>
          <w:b w:val="1"/>
          <w:bCs w:val="1"/>
          <w:color w:val="auto"/>
        </w:rPr>
        <w:t>48265 -3000</w:t>
      </w:r>
    </w:p>
    <w:p>
      <w:pPr>
        <w:spacing w:after="0" w:line="37"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242" w:right="559" w:bottom="1440" w:gutter="0" w:footer="0" w:header="0"/>
          <w:type w:val="continuous"/>
        </w:sectPr>
      </w:pP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(313) 667-1500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59"/>
        </w:trPr>
        <w:tc>
          <w:tcPr>
            <w:tcW w:w="360" w:type="dxa"/>
            <w:vAlign w:val="bottom"/>
          </w:tcPr>
          <w:p>
            <w:pPr>
              <w:spacing w:after="0"/>
              <w:rPr>
                <w:sz w:val="22"/>
                <w:szCs w:val="22"/>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460" w:type="dxa"/>
            <w:vAlign w:val="bottom"/>
          </w:tcPr>
          <w:p>
            <w:pPr>
              <w:spacing w:after="0"/>
              <w:rPr>
                <w:sz w:val="22"/>
                <w:szCs w:val="22"/>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600" w:type="dxa"/>
            <w:vAlign w:val="bottom"/>
            <w:gridSpan w:val="2"/>
          </w:tcPr>
          <w:p>
            <w:pPr>
              <w:jc w:val="center"/>
              <w:ind w:left="276"/>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63" w:lineRule="exact"/>
        <w:rPr>
          <w:sz w:val="24"/>
          <w:szCs w:val="24"/>
          <w:color w:val="auto"/>
        </w:rPr>
      </w:pPr>
    </w:p>
    <w:p>
      <w:pPr>
        <w:ind w:right="52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39"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242"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02" w:lineRule="exact"/>
        <w:rPr>
          <w:sz w:val="20"/>
          <w:szCs w:val="20"/>
          <w:color w:val="auto"/>
        </w:rPr>
      </w:pPr>
    </w:p>
    <w:p>
      <w:pPr>
        <w:ind w:firstLine="127"/>
        <w:spacing w:after="0" w:line="287" w:lineRule="auto"/>
        <w:rPr>
          <w:sz w:val="20"/>
          <w:szCs w:val="20"/>
          <w:color w:val="auto"/>
        </w:rPr>
      </w:pPr>
      <w:r>
        <w:rPr>
          <w:rFonts w:ascii="Times New Roman" w:cs="Times New Roman" w:eastAsia="Times New Roman" w:hAnsi="Times New Roman"/>
          <w:sz w:val="14"/>
          <w:szCs w:val="14"/>
          <w:color w:val="auto"/>
        </w:rPr>
        <w:t>On November 5, 2020 General Motors Company (GM) issued a news release and supplemental materials on the subject of its 2020 third quarter earnings. The news release and supplemental materials are attached as Exhibit 99.1 and Exhibit 99.2.</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Charts furnished to securities analysts in connection with GM's 2020 third quarter earnings release are available on GM's website at www.gm.com/investors/earnings-releases.html.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56"/>
        </w:trPr>
        <w:tc>
          <w:tcPr>
            <w:tcW w:w="2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0" w:type="dxa"/>
            <w:vAlign w:val="bottom"/>
            <w:tcBorders>
              <w:top w:val="single" w:sz="8" w:color="auto"/>
            </w:tcBorders>
          </w:tcPr>
          <w:p>
            <w:pPr>
              <w:spacing w:after="0"/>
              <w:rPr>
                <w:sz w:val="22"/>
                <w:szCs w:val="22"/>
                <w:color w:val="auto"/>
              </w:rPr>
            </w:pPr>
          </w:p>
        </w:tc>
        <w:tc>
          <w:tcPr>
            <w:tcW w:w="53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99.1</w:t>
            </w:r>
          </w:p>
        </w:tc>
        <w:tc>
          <w:tcPr>
            <w:tcW w:w="8420" w:type="dxa"/>
            <w:vAlign w:val="bottom"/>
            <w:gridSpan w:val="7"/>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 xml:space="preserve">News Release Dated November 5, </w:t>
              </w:r>
              <w:r>
                <w:rPr>
                  <w:rFonts w:ascii="Times New Roman" w:cs="Times New Roman" w:eastAsia="Times New Roman" w:hAnsi="Times New Roman"/>
                  <w:sz w:val="14"/>
                  <w:szCs w:val="14"/>
                  <w:u w:val="single" w:color="auto"/>
                  <w:color w:val="0000FF"/>
                </w:rPr>
                <w:t>2020</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99.2</w:t>
            </w:r>
          </w:p>
        </w:tc>
        <w:tc>
          <w:tcPr>
            <w:tcW w:w="8420" w:type="dxa"/>
            <w:vAlign w:val="bottom"/>
            <w:gridSpan w:val="7"/>
          </w:tcPr>
          <w:p>
            <w:pPr>
              <w:spacing w:after="0"/>
              <w:rPr>
                <w:rFonts w:ascii="Times New Roman" w:cs="Times New Roman" w:eastAsia="Times New Roman" w:hAnsi="Times New Roman"/>
                <w:sz w:val="14"/>
                <w:szCs w:val="14"/>
                <w:color w:val="0000FF"/>
              </w:rPr>
            </w:pPr>
            <w:hyperlink w:anchor="page8">
              <w:r>
                <w:rPr>
                  <w:rFonts w:ascii="Times New Roman" w:cs="Times New Roman" w:eastAsia="Times New Roman" w:hAnsi="Times New Roman"/>
                  <w:sz w:val="14"/>
                  <w:szCs w:val="14"/>
                  <w:u w:val="single" w:color="auto"/>
                  <w:color w:val="0000FF"/>
                </w:rPr>
                <w:t>Financial Highlight</w:t>
              </w:r>
              <w:r>
                <w:rPr>
                  <w:rFonts w:ascii="Times New Roman" w:cs="Times New Roman" w:eastAsia="Times New Roman" w:hAnsi="Times New Roman"/>
                  <w:sz w:val="14"/>
                  <w:szCs w:val="14"/>
                  <w:color w:val="0000FF"/>
                </w:rPr>
                <w:t xml:space="preserve">s Dated </w:t>
              </w:r>
            </w:hyperlink>
            <w:r>
              <w:rPr>
                <w:rFonts w:ascii="Times New Roman" w:cs="Times New Roman" w:eastAsia="Times New Roman" w:hAnsi="Times New Roman"/>
                <w:sz w:val="14"/>
                <w:szCs w:val="14"/>
                <w:color w:val="0000FF"/>
              </w:rPr>
              <w:t xml:space="preserve">November </w:t>
            </w:r>
            <w:hyperlink w:anchor="page8">
              <w:r>
                <w:rPr>
                  <w:rFonts w:ascii="Times New Roman" w:cs="Times New Roman" w:eastAsia="Times New Roman" w:hAnsi="Times New Roman"/>
                  <w:sz w:val="14"/>
                  <w:szCs w:val="14"/>
                  <w:color w:val="0000FF"/>
                </w:rPr>
                <w:t xml:space="preserve">5, </w:t>
              </w:r>
              <w:r>
                <w:rPr>
                  <w:rFonts w:ascii="Times New Roman" w:cs="Times New Roman" w:eastAsia="Times New Roman" w:hAnsi="Times New Roman"/>
                  <w:sz w:val="14"/>
                  <w:szCs w:val="14"/>
                  <w:u w:val="single" w:color="auto"/>
                  <w:color w:val="0000FF"/>
                </w:rPr>
                <w:t>2020</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104</w:t>
            </w:r>
          </w:p>
        </w:tc>
        <w:tc>
          <w:tcPr>
            <w:tcW w:w="84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46"/>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Date: November 5, 2020</w:t>
            </w:r>
          </w:p>
        </w:tc>
        <w:tc>
          <w:tcPr>
            <w:tcW w:w="5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Christopher T. Hatto, Vice President, Global Business Solutions and Chief Accounting</w:t>
            </w:r>
          </w:p>
        </w:tc>
      </w:t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w:t>
            </w:r>
          </w:p>
        </w:tc>
      </w:tr>
    </w:tbl>
    <w:p>
      <w:pPr>
        <w:sectPr>
          <w:pgSz w:w="11900" w:h="16838" w:orient="portrait"/>
          <w:cols w:equalWidth="0" w:num="1">
            <w:col w:w="11220"/>
          </w:cols>
          <w:pgMar w:left="340" w:top="91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12"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4" w:lineRule="exact"/>
        <w:rPr>
          <w:sz w:val="20"/>
          <w:szCs w:val="20"/>
          <w:color w:val="auto"/>
        </w:rPr>
      </w:pPr>
    </w:p>
    <w:p>
      <w:pPr>
        <w:jc w:val="both"/>
        <w:ind w:firstLine="127"/>
        <w:spacing w:after="0" w:line="245"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7"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67" w:lineRule="exact"/>
        <w:rPr>
          <w:sz w:val="20"/>
          <w:szCs w:val="20"/>
          <w:color w:val="auto"/>
        </w:rPr>
      </w:pPr>
    </w:p>
    <w:p>
      <w:pPr>
        <w:jc w:val="both"/>
        <w:ind w:firstLine="127"/>
        <w:spacing w:after="0" w:line="255"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0" w:lineRule="exact"/>
        <w:rPr>
          <w:sz w:val="20"/>
          <w:szCs w:val="20"/>
          <w:color w:val="auto"/>
        </w:rPr>
      </w:pPr>
    </w:p>
    <w:p>
      <w:pPr>
        <w:jc w:val="both"/>
        <w:ind w:firstLine="127"/>
        <w:spacing w:after="0" w:line="250"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62" w:lineRule="exact"/>
        <w:rPr>
          <w:sz w:val="20"/>
          <w:szCs w:val="20"/>
          <w:color w:val="auto"/>
        </w:rPr>
      </w:pPr>
    </w:p>
    <w:p>
      <w:pPr>
        <w:jc w:val="both"/>
        <w:ind w:firstLine="127"/>
        <w:spacing w:after="0" w:line="255"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0" w:lineRule="exact"/>
        <w:rPr>
          <w:sz w:val="20"/>
          <w:szCs w:val="20"/>
          <w:color w:val="auto"/>
        </w:rPr>
      </w:pPr>
    </w:p>
    <w:p>
      <w:pPr>
        <w:jc w:val="both"/>
        <w:ind w:firstLine="127"/>
        <w:spacing w:after="0" w:line="250"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5"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attributable to stockholders under U.S. GAAP (dollars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60" w:type="dxa"/>
            <w:vAlign w:val="bottom"/>
            <w:gridSpan w:val="5"/>
          </w:tcPr>
          <w:p>
            <w:pPr>
              <w:ind w:left="980"/>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Pr>
          <w:p>
            <w:pPr>
              <w:spacing w:after="0"/>
              <w:rPr>
                <w:sz w:val="12"/>
                <w:szCs w:val="12"/>
                <w:color w:val="auto"/>
              </w:rPr>
            </w:pPr>
          </w:p>
        </w:tc>
        <w:tc>
          <w:tcPr>
            <w:tcW w:w="3160" w:type="dxa"/>
            <w:vAlign w:val="bottom"/>
            <w:gridSpan w:val="4"/>
          </w:tcPr>
          <w:p>
            <w:pPr>
              <w:jc w:val="right"/>
              <w:ind w:right="1157"/>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44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September 30, 2020</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September 30, 2020</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2019</w:t>
            </w:r>
          </w:p>
        </w:tc>
      </w:tr>
      <w:tr>
        <w:trPr>
          <w:trHeight w:val="150"/>
        </w:trPr>
        <w:tc>
          <w:tcPr>
            <w:tcW w:w="442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r>
      <w:tr>
        <w:trPr>
          <w:trHeight w:val="170"/>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North America (GMNA)</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7,941</w:t>
            </w:r>
          </w:p>
        </w:tc>
      </w:tr>
      <w:tr>
        <w:trPr>
          <w:trHeight w:val="170"/>
        </w:trPr>
        <w:tc>
          <w:tcPr>
            <w:tcW w:w="4420" w:type="dxa"/>
            <w:vAlign w:val="bottom"/>
          </w:tcPr>
          <w:p>
            <w:pPr>
              <w:ind w:left="100"/>
              <w:spacing w:after="0"/>
              <w:rPr>
                <w:sz w:val="20"/>
                <w:szCs w:val="20"/>
                <w:color w:val="auto"/>
              </w:rPr>
            </w:pPr>
            <w:r>
              <w:rPr>
                <w:rFonts w:ascii="Arial" w:cs="Arial" w:eastAsia="Arial" w:hAnsi="Arial"/>
                <w:sz w:val="13"/>
                <w:szCs w:val="13"/>
                <w:color w:val="auto"/>
              </w:rPr>
              <w:t>GM International (GMI)</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70"/>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Cruise</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r>
      <w:tr>
        <w:trPr>
          <w:trHeight w:val="170"/>
        </w:trPr>
        <w:tc>
          <w:tcPr>
            <w:tcW w:w="44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GM Financial(a)</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1,606</w:t>
            </w:r>
          </w:p>
        </w:tc>
      </w:tr>
      <w:tr>
        <w:trPr>
          <w:trHeight w:val="16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8,766</w:t>
            </w:r>
          </w:p>
        </w:tc>
      </w:tr>
      <w:tr>
        <w:trPr>
          <w:trHeight w:val="17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r>
      <w:tr>
        <w:trPr>
          <w:trHeight w:val="16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8,288</w:t>
            </w:r>
          </w:p>
        </w:tc>
      </w:tr>
      <w:tr>
        <w:trPr>
          <w:trHeight w:val="170"/>
        </w:trPr>
        <w:tc>
          <w:tcPr>
            <w:tcW w:w="442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GMI restructuring(c)</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20" w:type="dxa"/>
            <w:vAlign w:val="bottom"/>
          </w:tcPr>
          <w:p>
            <w:pPr>
              <w:ind w:left="100"/>
              <w:spacing w:after="0"/>
              <w:rPr>
                <w:sz w:val="20"/>
                <w:szCs w:val="20"/>
                <w:color w:val="auto"/>
              </w:rPr>
            </w:pPr>
            <w:r>
              <w:rPr>
                <w:rFonts w:ascii="Arial" w:cs="Arial" w:eastAsia="Arial" w:hAnsi="Arial"/>
                <w:sz w:val="13"/>
                <w:szCs w:val="13"/>
                <w:color w:val="auto"/>
              </w:rPr>
              <w:t>Transformation activities(d)</w:t>
            </w:r>
          </w:p>
        </w:tc>
        <w:tc>
          <w:tcPr>
            <w:tcW w:w="2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(1,541)</w:t>
            </w:r>
          </w:p>
        </w:tc>
      </w:tr>
      <w:tr>
        <w:trPr>
          <w:trHeight w:val="170"/>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Brazil indirect tax recoveries(e)</w:t>
            </w:r>
          </w:p>
        </w:tc>
        <w:tc>
          <w:tcPr>
            <w:tcW w:w="2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w:t>
            </w:r>
          </w:p>
        </w:tc>
      </w:tr>
      <w:tr>
        <w:trPr>
          <w:trHeight w:val="160"/>
        </w:trPr>
        <w:tc>
          <w:tcPr>
            <w:tcW w:w="442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(181)</w:t>
            </w: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income</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r>
      <w:tr>
        <w:trPr>
          <w:trHeight w:val="170"/>
        </w:trPr>
        <w:tc>
          <w:tcPr>
            <w:tcW w:w="442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(582)</w:t>
            </w:r>
          </w:p>
        </w:tc>
      </w:tr>
      <w:tr>
        <w:trPr>
          <w:trHeight w:val="170"/>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w:t>
            </w:r>
          </w:p>
        </w:tc>
      </w:tr>
      <w:tr>
        <w:trPr>
          <w:trHeight w:val="160"/>
        </w:trPr>
        <w:tc>
          <w:tcPr>
            <w:tcW w:w="4420" w:type="dxa"/>
            <w:vAlign w:val="bottom"/>
          </w:tcPr>
          <w:p>
            <w:pPr>
              <w:ind w:left="20"/>
              <w:spacing w:after="0"/>
              <w:rPr>
                <w:sz w:val="20"/>
                <w:szCs w:val="20"/>
                <w:color w:val="auto"/>
              </w:rPr>
            </w:pPr>
            <w:r>
              <w:rPr>
                <w:rFonts w:ascii="Arial" w:cs="Arial" w:eastAsia="Arial" w:hAnsi="Arial"/>
                <w:sz w:val="13"/>
                <w:szCs w:val="13"/>
                <w:color w:val="auto"/>
              </w:rPr>
              <w:t>Net income attributable to stockholders(f)</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4,045</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6,926</w:t>
            </w: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260" w:hanging="255"/>
        <w:spacing w:after="0" w:line="241" w:lineRule="auto"/>
        <w:tabs>
          <w:tab w:leader="none" w:pos="249"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jc w:val="both"/>
        <w:ind w:left="260" w:hanging="255"/>
        <w:spacing w:after="0" w:line="241" w:lineRule="auto"/>
        <w:tabs>
          <w:tab w:leader="none" w:pos="254"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supplier claims in the three months ended September 30, 2020 and dealer restructurings, asset impairments, inventory provisions, employee separation charges and sales allowances in the nine months ended September 30, 2020 in Australia, New Zealand and Thailand.</w:t>
      </w:r>
    </w:p>
    <w:p>
      <w:pPr>
        <w:jc w:val="both"/>
        <w:ind w:left="260" w:hanging="255"/>
        <w:spacing w:after="0" w:line="241" w:lineRule="auto"/>
        <w:tabs>
          <w:tab w:leader="none" w:pos="249"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pension curtailment and other charges in the three months ended September 30, 2019 and accelerated depreciation, supplier-related charges and pension curtailment and other charges in the nine months September 30, 2019.</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6"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ind w:left="160"/>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132"/>
        </w:trPr>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5"/>
          </w:tcPr>
          <w:p>
            <w:pPr>
              <w:ind w:left="300"/>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Pr>
          <w:p>
            <w:pPr>
              <w:spacing w:after="0"/>
              <w:rPr>
                <w:sz w:val="11"/>
                <w:szCs w:val="11"/>
                <w:color w:val="auto"/>
              </w:rPr>
            </w:pPr>
          </w:p>
        </w:tc>
      </w:tr>
      <w:tr>
        <w:trPr>
          <w:trHeight w:val="129"/>
        </w:trPr>
        <w:tc>
          <w:tcPr>
            <w:tcW w:w="43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w w:val="98"/>
              </w:rPr>
              <w:t>2018</w:t>
            </w:r>
          </w:p>
        </w:tc>
      </w:tr>
      <w:tr>
        <w:trPr>
          <w:trHeight w:val="160"/>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r>
      <w:tr>
        <w:trPr>
          <w:trHeight w:val="170"/>
        </w:trPr>
        <w:tc>
          <w:tcPr>
            <w:tcW w:w="43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(611)</w:t>
            </w:r>
          </w:p>
        </w:tc>
      </w:tr>
      <w:tr>
        <w:trPr>
          <w:trHeight w:val="170"/>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r>
      <w:tr>
        <w:trPr>
          <w:trHeight w:val="170"/>
        </w:trPr>
        <w:tc>
          <w:tcPr>
            <w:tcW w:w="43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170"/>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70"/>
        </w:trPr>
        <w:tc>
          <w:tcPr>
            <w:tcW w:w="4300" w:type="dxa"/>
            <w:vAlign w:val="bottom"/>
          </w:tcPr>
          <w:p>
            <w:pPr>
              <w:ind w:left="180"/>
              <w:spacing w:after="0"/>
              <w:rPr>
                <w:sz w:val="20"/>
                <w:szCs w:val="20"/>
                <w:color w:val="auto"/>
              </w:rPr>
            </w:pPr>
            <w:r>
              <w:rPr>
                <w:rFonts w:ascii="Arial" w:cs="Arial" w:eastAsia="Arial" w:hAnsi="Arial"/>
                <w:sz w:val="13"/>
                <w:szCs w:val="13"/>
                <w:color w:val="auto"/>
              </w:rPr>
              <w:t>GMI restructuring(a)</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Transformation activities(b)</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r>
      <w:tr>
        <w:trPr>
          <w:trHeight w:val="170"/>
        </w:trPr>
        <w:tc>
          <w:tcPr>
            <w:tcW w:w="4300" w:type="dxa"/>
            <w:vAlign w:val="bottom"/>
          </w:tcPr>
          <w:p>
            <w:pPr>
              <w:ind w:left="180"/>
              <w:spacing w:after="0"/>
              <w:rPr>
                <w:sz w:val="20"/>
                <w:szCs w:val="20"/>
                <w:color w:val="auto"/>
              </w:rPr>
            </w:pPr>
            <w:r>
              <w:rPr>
                <w:rFonts w:ascii="Arial" w:cs="Arial" w:eastAsia="Arial" w:hAnsi="Arial"/>
                <w:sz w:val="13"/>
                <w:szCs w:val="13"/>
                <w:color w:val="auto"/>
              </w:rPr>
              <w:t>GM Brazil indirect tax recoveries(c)</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FAW-GM divestiture(d)</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1,327</w:t>
            </w:r>
          </w:p>
        </w:tc>
      </w:tr>
      <w:tr>
        <w:trPr>
          <w:trHeight w:val="18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 (loss)-adjusted</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5" w:lineRule="exact"/>
        <w:rPr>
          <w:sz w:val="20"/>
          <w:szCs w:val="20"/>
          <w:color w:val="auto"/>
        </w:rPr>
      </w:pPr>
    </w:p>
    <w:p>
      <w:pPr>
        <w:jc w:val="both"/>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supplier claims in the three months ended September 30, 2020, inventory provisions in the three months ended June 30, 2020 and asset impairments, dealer restructurings, employee separation charges and sales allowances in the three months ended March 31, 2020 in Australia, New Zealand and Thailand.</w:t>
      </w:r>
    </w:p>
    <w:p>
      <w:pPr>
        <w:jc w:val="both"/>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pension curtailment and other charges in the three months ended September 30, 2019, supplier-related charges and accelerated depreciation in the three months ended June 30, 2019, accelerated depreciation in the three months ended March 31, 2019, accelerated depreciation and employee separation charges in the three months ended December 31, 2019 and employee separation charges and accelerated depreciation in the three months ended December 31, 2018.</w:t>
      </w:r>
    </w:p>
    <w:p>
      <w:pPr>
        <w:spacing w:after="0" w:line="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ind w:left="260" w:hanging="255"/>
        <w:spacing w:after="0" w:line="264"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Nine Months Ended</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32"/>
        </w:trPr>
        <w:tc>
          <w:tcPr>
            <w:tcW w:w="4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240"/>
              <w:spacing w:after="0"/>
              <w:rPr>
                <w:sz w:val="20"/>
                <w:szCs w:val="20"/>
                <w:color w:val="auto"/>
              </w:rPr>
            </w:pPr>
            <w:r>
              <w:rPr>
                <w:rFonts w:ascii="Arial" w:cs="Arial" w:eastAsia="Arial" w:hAnsi="Arial"/>
                <w:sz w:val="10"/>
                <w:szCs w:val="10"/>
                <w:b w:val="1"/>
                <w:bCs w:val="1"/>
                <w:color w:val="auto"/>
              </w:rPr>
              <w:t>September 30, 2020</w:t>
            </w:r>
          </w:p>
        </w:tc>
        <w:tc>
          <w:tcPr>
            <w:tcW w:w="180" w:type="dxa"/>
            <w:vAlign w:val="bottom"/>
          </w:tcPr>
          <w:p>
            <w:pPr>
              <w:spacing w:after="0"/>
              <w:rPr>
                <w:sz w:val="11"/>
                <w:szCs w:val="11"/>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220"/>
              <w:spacing w:after="0"/>
              <w:rPr>
                <w:sz w:val="20"/>
                <w:szCs w:val="20"/>
                <w:color w:val="auto"/>
              </w:rPr>
            </w:pPr>
            <w:r>
              <w:rPr>
                <w:rFonts w:ascii="Arial" w:cs="Arial" w:eastAsia="Arial" w:hAnsi="Arial"/>
                <w:sz w:val="10"/>
                <w:szCs w:val="10"/>
                <w:b w:val="1"/>
                <w:bCs w:val="1"/>
                <w:color w:val="auto"/>
              </w:rPr>
              <w:t>September 30, 2020</w:t>
            </w:r>
          </w:p>
        </w:tc>
        <w:tc>
          <w:tcPr>
            <w:tcW w:w="160" w:type="dxa"/>
            <w:vAlign w:val="bottom"/>
          </w:tcPr>
          <w:p>
            <w:pPr>
              <w:spacing w:after="0"/>
              <w:rPr>
                <w:sz w:val="11"/>
                <w:szCs w:val="11"/>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rPr>
              <w:t>September 30, 2019</w:t>
            </w:r>
          </w:p>
        </w:tc>
      </w:tr>
      <w:tr>
        <w:trPr>
          <w:trHeight w:val="114"/>
        </w:trPr>
        <w:tc>
          <w:tcPr>
            <w:tcW w:w="4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61"/>
              <w:spacing w:after="0"/>
              <w:rPr>
                <w:sz w:val="20"/>
                <w:szCs w:val="20"/>
                <w:color w:val="auto"/>
              </w:rPr>
            </w:pPr>
            <w:r>
              <w:rPr>
                <w:rFonts w:ascii="Arial" w:cs="Arial" w:eastAsia="Arial" w:hAnsi="Arial"/>
                <w:sz w:val="8"/>
                <w:szCs w:val="8"/>
                <w:b w:val="1"/>
                <w:bCs w:val="1"/>
                <w:color w:val="auto"/>
              </w:rPr>
              <w:t>Per Share</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40"/>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41"/>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40"/>
              <w:spacing w:after="0"/>
              <w:rPr>
                <w:sz w:val="20"/>
                <w:szCs w:val="20"/>
                <w:color w:val="auto"/>
              </w:rPr>
            </w:pPr>
            <w:r>
              <w:rPr>
                <w:rFonts w:ascii="Arial" w:cs="Arial" w:eastAsia="Arial" w:hAnsi="Arial"/>
                <w:sz w:val="8"/>
                <w:szCs w:val="8"/>
                <w:b w:val="1"/>
                <w:bCs w:val="1"/>
                <w:color w:val="auto"/>
              </w:rPr>
              <w:t>Per Share</w:t>
            </w:r>
          </w:p>
        </w:tc>
      </w:tr>
      <w:tr>
        <w:trPr>
          <w:trHeight w:val="165"/>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4,005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2.78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2,313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3,446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2.40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6,813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w:t>
            </w:r>
          </w:p>
        </w:tc>
      </w:tr>
      <w:tr>
        <w:trPr>
          <w:trHeight w:val="170"/>
        </w:trPr>
        <w:tc>
          <w:tcPr>
            <w:tcW w:w="41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267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0.12</w:t>
            </w:r>
          </w:p>
        </w:tc>
      </w:tr>
      <w:tr>
        <w:trPr>
          <w:trHeight w:val="170"/>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adjustment(b)</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r>
      <w:tr>
        <w:trPr>
          <w:trHeight w:val="170"/>
        </w:trPr>
        <w:tc>
          <w:tcPr>
            <w:tcW w:w="4160" w:type="dxa"/>
            <w:vAlign w:val="bottom"/>
          </w:tcPr>
          <w:p>
            <w:pPr>
              <w:ind w:left="20"/>
              <w:spacing w:after="0"/>
              <w:rPr>
                <w:sz w:val="20"/>
                <w:szCs w:val="20"/>
                <w:color w:val="auto"/>
              </w:rPr>
            </w:pPr>
            <w:r>
              <w:rPr>
                <w:rFonts w:ascii="Arial" w:cs="Arial" w:eastAsia="Arial" w:hAnsi="Arial"/>
                <w:sz w:val="13"/>
                <w:szCs w:val="13"/>
                <w:color w:val="auto"/>
              </w:rPr>
              <w:t>Tax adjustment(c)</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4,067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2,487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4,257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6,860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5"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ind w:left="260" w:hanging="255"/>
        <w:spacing w:after="0" w:line="264" w:lineRule="auto"/>
        <w:tabs>
          <w:tab w:leader="none" w:pos="254"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consists of tax expense related to the establishment of a valuation allowance against deferred tax assets in Australia and New Zealand. This adjustment was excluded because significant impacts of valuation allowances are not considered part of our core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6"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0"/>
                <w:szCs w:val="10"/>
                <w:b w:val="1"/>
                <w:bCs w:val="1"/>
                <w:color w:val="auto"/>
              </w:rPr>
              <w:t>Nine Months Ended</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0"/>
                <w:szCs w:val="10"/>
                <w:b w:val="1"/>
                <w:bCs w:val="1"/>
                <w:color w:val="auto"/>
              </w:rPr>
              <w:t>September 30, 2019</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0"/>
                <w:szCs w:val="10"/>
                <w:b w:val="1"/>
                <w:bCs w:val="1"/>
                <w:color w:val="auto"/>
                <w:w w:val="98"/>
              </w:rPr>
              <w:t>September 30, 2020</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0"/>
                <w:szCs w:val="10"/>
                <w:b w:val="1"/>
                <w:bCs w:val="1"/>
                <w:color w:val="auto"/>
                <w:w w:val="98"/>
              </w:rPr>
              <w:t>September 30, 2019</w:t>
            </w: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680" w:type="dxa"/>
            <w:vAlign w:val="bottom"/>
            <w:gridSpan w:val="2"/>
          </w:tcPr>
          <w:p>
            <w:pPr>
              <w:jc w:val="right"/>
              <w:spacing w:after="0" w:line="76" w:lineRule="exact"/>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jc w:val="right"/>
              <w:ind w:right="68"/>
              <w:spacing w:after="0" w:line="76" w:lineRule="exact"/>
              <w:rPr>
                <w:sz w:val="20"/>
                <w:szCs w:val="20"/>
                <w:color w:val="auto"/>
              </w:rPr>
            </w:pPr>
            <w:r>
              <w:rPr>
                <w:rFonts w:ascii="Arial" w:cs="Arial" w:eastAsia="Arial" w:hAnsi="Arial"/>
                <w:sz w:val="8"/>
                <w:szCs w:val="8"/>
                <w:b w:val="1"/>
                <w:bCs w:val="1"/>
                <w:color w:val="auto"/>
              </w:rPr>
              <w:t>Income tax</w:t>
            </w:r>
          </w:p>
        </w:tc>
        <w:tc>
          <w:tcPr>
            <w:tcW w:w="100" w:type="dxa"/>
            <w:vAlign w:val="bottom"/>
          </w:tcPr>
          <w:p>
            <w:pPr>
              <w:spacing w:after="0"/>
              <w:rPr>
                <w:sz w:val="6"/>
                <w:szCs w:val="6"/>
                <w:color w:val="auto"/>
              </w:rPr>
            </w:pPr>
          </w:p>
        </w:tc>
        <w:tc>
          <w:tcPr>
            <w:tcW w:w="780" w:type="dxa"/>
            <w:vAlign w:val="bottom"/>
            <w:vMerge w:val="restart"/>
          </w:tcPr>
          <w:p>
            <w:pPr>
              <w:jc w:val="right"/>
              <w:ind w:right="14"/>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vMerge w:val="restart"/>
          </w:tcPr>
          <w:p>
            <w:pPr>
              <w:spacing w:after="0"/>
              <w:rPr>
                <w:sz w:val="6"/>
                <w:szCs w:val="6"/>
                <w:color w:val="auto"/>
              </w:rPr>
            </w:pPr>
          </w:p>
        </w:tc>
        <w:tc>
          <w:tcPr>
            <w:tcW w:w="680" w:type="dxa"/>
            <w:vAlign w:val="bottom"/>
            <w:gridSpan w:val="2"/>
          </w:tcPr>
          <w:p>
            <w:pPr>
              <w:jc w:val="right"/>
              <w:spacing w:after="0" w:line="76" w:lineRule="exact"/>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jc w:val="right"/>
              <w:ind w:right="88"/>
              <w:spacing w:after="0" w:line="76" w:lineRule="exact"/>
              <w:rPr>
                <w:sz w:val="20"/>
                <w:szCs w:val="20"/>
                <w:color w:val="auto"/>
              </w:rPr>
            </w:pPr>
            <w:r>
              <w:rPr>
                <w:rFonts w:ascii="Arial" w:cs="Arial" w:eastAsia="Arial" w:hAnsi="Arial"/>
                <w:sz w:val="8"/>
                <w:szCs w:val="8"/>
                <w:b w:val="1"/>
                <w:bCs w:val="1"/>
                <w:color w:val="auto"/>
              </w:rPr>
              <w:t>Income tax</w:t>
            </w:r>
          </w:p>
        </w:tc>
        <w:tc>
          <w:tcPr>
            <w:tcW w:w="80" w:type="dxa"/>
            <w:vAlign w:val="bottom"/>
          </w:tcPr>
          <w:p>
            <w:pPr>
              <w:spacing w:after="0"/>
              <w:rPr>
                <w:sz w:val="6"/>
                <w:szCs w:val="6"/>
                <w:color w:val="auto"/>
              </w:rPr>
            </w:pPr>
          </w:p>
        </w:tc>
        <w:tc>
          <w:tcPr>
            <w:tcW w:w="80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Effective tax rate</w:t>
            </w:r>
          </w:p>
        </w:tc>
        <w:tc>
          <w:tcPr>
            <w:tcW w:w="80" w:type="dxa"/>
            <w:vAlign w:val="bottom"/>
            <w:vMerge w:val="restart"/>
          </w:tcPr>
          <w:p>
            <w:pPr>
              <w:spacing w:after="0"/>
              <w:rPr>
                <w:sz w:val="6"/>
                <w:szCs w:val="6"/>
                <w:color w:val="auto"/>
              </w:rPr>
            </w:pPr>
          </w:p>
        </w:tc>
        <w:tc>
          <w:tcPr>
            <w:tcW w:w="700" w:type="dxa"/>
            <w:vAlign w:val="bottom"/>
            <w:gridSpan w:val="2"/>
          </w:tcPr>
          <w:p>
            <w:pPr>
              <w:jc w:val="right"/>
              <w:ind w:right="7"/>
              <w:spacing w:after="0" w:line="76" w:lineRule="exact"/>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jc w:val="right"/>
              <w:ind w:right="68"/>
              <w:spacing w:after="0" w:line="76" w:lineRule="exact"/>
              <w:rPr>
                <w:sz w:val="20"/>
                <w:szCs w:val="20"/>
                <w:color w:val="auto"/>
              </w:rPr>
            </w:pPr>
            <w:r>
              <w:rPr>
                <w:rFonts w:ascii="Arial" w:cs="Arial" w:eastAsia="Arial" w:hAnsi="Arial"/>
                <w:sz w:val="8"/>
                <w:szCs w:val="8"/>
                <w:b w:val="1"/>
                <w:bCs w:val="1"/>
                <w:color w:val="auto"/>
              </w:rPr>
              <w:t>Income tax</w:t>
            </w:r>
          </w:p>
        </w:tc>
        <w:tc>
          <w:tcPr>
            <w:tcW w:w="100" w:type="dxa"/>
            <w:vAlign w:val="bottom"/>
          </w:tcPr>
          <w:p>
            <w:pPr>
              <w:spacing w:after="0"/>
              <w:rPr>
                <w:sz w:val="6"/>
                <w:szCs w:val="6"/>
                <w:color w:val="auto"/>
              </w:rPr>
            </w:pPr>
          </w:p>
        </w:tc>
        <w:tc>
          <w:tcPr>
            <w:tcW w:w="780" w:type="dxa"/>
            <w:vAlign w:val="bottom"/>
            <w:vMerge w:val="restart"/>
          </w:tcPr>
          <w:p>
            <w:pPr>
              <w:jc w:val="right"/>
              <w:ind w:right="14"/>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vMerge w:val="restart"/>
          </w:tcPr>
          <w:p>
            <w:pPr>
              <w:spacing w:after="0"/>
              <w:rPr>
                <w:sz w:val="6"/>
                <w:szCs w:val="6"/>
                <w:color w:val="auto"/>
              </w:rPr>
            </w:pPr>
          </w:p>
        </w:tc>
        <w:tc>
          <w:tcPr>
            <w:tcW w:w="700" w:type="dxa"/>
            <w:vAlign w:val="bottom"/>
            <w:gridSpan w:val="2"/>
          </w:tcPr>
          <w:p>
            <w:pPr>
              <w:jc w:val="right"/>
              <w:ind w:right="7"/>
              <w:spacing w:after="0" w:line="76" w:lineRule="exact"/>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jc w:val="right"/>
              <w:ind w:right="68"/>
              <w:spacing w:after="0" w:line="76" w:lineRule="exact"/>
              <w:rPr>
                <w:sz w:val="20"/>
                <w:szCs w:val="20"/>
                <w:color w:val="auto"/>
              </w:rPr>
            </w:pPr>
            <w:r>
              <w:rPr>
                <w:rFonts w:ascii="Arial" w:cs="Arial" w:eastAsia="Arial" w:hAnsi="Arial"/>
                <w:sz w:val="8"/>
                <w:szCs w:val="8"/>
                <w:b w:val="1"/>
                <w:bCs w:val="1"/>
                <w:color w:val="auto"/>
              </w:rPr>
              <w:t>Income tax</w:t>
            </w:r>
          </w:p>
        </w:tc>
        <w:tc>
          <w:tcPr>
            <w:tcW w:w="100" w:type="dxa"/>
            <w:vAlign w:val="bottom"/>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Effective tax rate</w:t>
            </w:r>
          </w:p>
        </w:tc>
        <w:tc>
          <w:tcPr>
            <w:tcW w:w="0" w:type="dxa"/>
            <w:vAlign w:val="bottom"/>
          </w:tcPr>
          <w:p>
            <w:pPr>
              <w:spacing w:after="0"/>
              <w:rPr>
                <w:sz w:val="1"/>
                <w:szCs w:val="1"/>
                <w:color w:val="auto"/>
              </w:rPr>
            </w:pPr>
          </w:p>
        </w:tc>
      </w:tr>
      <w:tr>
        <w:trPr>
          <w:trHeight w:val="123"/>
        </w:trPr>
        <w:tc>
          <w:tcPr>
            <w:tcW w:w="15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8"/>
                <w:szCs w:val="8"/>
                <w:b w:val="1"/>
                <w:bCs w:val="1"/>
                <w:color w:val="auto"/>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8"/>
                <w:szCs w:val="8"/>
                <w:b w:val="1"/>
                <w:bCs w:val="1"/>
                <w:color w:val="auto"/>
                <w:w w:val="98"/>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8"/>
                <w:szCs w:val="8"/>
                <w:b w:val="1"/>
                <w:bCs w:val="1"/>
                <w:color w:val="auto"/>
              </w:rPr>
              <w:t>expense</w:t>
            </w: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8"/>
                <w:szCs w:val="8"/>
                <w:b w:val="1"/>
                <w:bCs w:val="1"/>
                <w:color w:val="auto"/>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8"/>
                <w:szCs w:val="8"/>
                <w:b w:val="1"/>
                <w:bCs w:val="1"/>
                <w:color w:val="auto"/>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220" w:type="dxa"/>
            <w:vAlign w:val="bottom"/>
            <w:shd w:val="clear" w:color="auto" w:fill="CCEEFF"/>
          </w:tcPr>
          <w:p>
            <w:pPr>
              <w:jc w:val="right"/>
              <w:ind w:right="91"/>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887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18.1 %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10.5 %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4,656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1,132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24.3 %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7,791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12.0 %</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657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Arial" w:cs="Arial" w:eastAsia="Arial" w:hAnsi="Arial"/>
                <w:sz w:val="13"/>
                <w:szCs w:val="13"/>
                <w:color w:val="auto"/>
              </w:rPr>
              <w:t>ETR-adjusted</w:t>
            </w:r>
          </w:p>
        </w:tc>
        <w:tc>
          <w:tcPr>
            <w:tcW w:w="220" w:type="dxa"/>
            <w:vAlign w:val="bottom"/>
          </w:tcPr>
          <w:p>
            <w:pPr>
              <w:jc w:val="right"/>
              <w:ind w:right="91"/>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4,981</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901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18.1 %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2,850</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auto"/>
              </w:rPr>
              <w:t>364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12.8 %</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5,313</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978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18.4 %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7,976</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1,066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13.4 %</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5" w:lineRule="exact"/>
        <w:rPr>
          <w:sz w:val="20"/>
          <w:szCs w:val="20"/>
          <w:color w:val="auto"/>
        </w:rPr>
      </w:pPr>
    </w:p>
    <w:p>
      <w:pPr>
        <w:jc w:val="both"/>
        <w:ind w:left="260" w:hanging="255"/>
        <w:spacing w:after="0" w:line="243" w:lineRule="auto"/>
        <w:tabs>
          <w:tab w:leader="none" w:pos="249"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 Net income attributable to noncontrolling interests included for these adjustments is insignificant in the three and nine months ended September 30, 2019. The tax effect of each adjustment is determined based on the tax laws and valuation allowance status of the jurisdiction to which the adjustment relates.</w:t>
      </w:r>
    </w:p>
    <w:p>
      <w:pPr>
        <w:spacing w:after="0" w:line="125" w:lineRule="exact"/>
        <w:rPr>
          <w:rFonts w:ascii="Arial" w:cs="Arial" w:eastAsia="Arial" w:hAnsi="Arial"/>
          <w:sz w:val="11"/>
          <w:szCs w:val="11"/>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within the previous section for adjustment details.</w:t>
      </w:r>
    </w:p>
    <w:p>
      <w:pPr>
        <w:spacing w:after="0" w:line="174" w:lineRule="exact"/>
        <w:rPr>
          <w:sz w:val="20"/>
          <w:szCs w:val="20"/>
          <w:color w:val="auto"/>
        </w:rPr>
      </w:pPr>
    </w:p>
    <w:p>
      <w:pPr>
        <w:ind w:firstLine="127"/>
        <w:spacing w:after="0" w:line="273"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0"/>
                <w:szCs w:val="10"/>
                <w:b w:val="1"/>
                <w:bCs w:val="1"/>
                <w:color w:val="auto"/>
              </w:rPr>
              <w:t>Four Quarters Ended</w:t>
            </w:r>
          </w:p>
        </w:tc>
      </w:tr>
      <w:tr>
        <w:trPr>
          <w:trHeight w:val="132"/>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2020</w:t>
            </w:r>
          </w:p>
        </w:tc>
        <w:tc>
          <w:tcPr>
            <w:tcW w:w="240" w:type="dxa"/>
            <w:vAlign w:val="bottom"/>
          </w:tcPr>
          <w:p>
            <w:pPr>
              <w:spacing w:after="0"/>
              <w:rPr>
                <w:sz w:val="11"/>
                <w:szCs w:val="11"/>
                <w:color w:val="auto"/>
              </w:rPr>
            </w:pPr>
          </w:p>
        </w:tc>
        <w:tc>
          <w:tcPr>
            <w:tcW w:w="1480" w:type="dxa"/>
            <w:vAlign w:val="bottom"/>
          </w:tcPr>
          <w:p>
            <w:pPr>
              <w:jc w:val="right"/>
              <w:ind w:right="340"/>
              <w:spacing w:after="0"/>
              <w:rPr>
                <w:sz w:val="20"/>
                <w:szCs w:val="20"/>
                <w:color w:val="auto"/>
              </w:rPr>
            </w:pPr>
            <w:r>
              <w:rPr>
                <w:rFonts w:ascii="Arial" w:cs="Arial" w:eastAsia="Arial" w:hAnsi="Arial"/>
                <w:sz w:val="10"/>
                <w:szCs w:val="10"/>
                <w:b w:val="1"/>
                <w:bCs w:val="1"/>
                <w:color w:val="auto"/>
              </w:rPr>
              <w:t>September 30, 2019</w:t>
            </w:r>
          </w:p>
        </w:tc>
      </w:tr>
      <w:tr>
        <w:trPr>
          <w:trHeight w:val="160"/>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3"/>
                <w:szCs w:val="13"/>
                <w:color w:val="auto"/>
              </w:rPr>
              <w:t>3.4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rPr>
              <w:t>9.0</w:t>
            </w:r>
          </w:p>
        </w:tc>
      </w:tr>
      <w:tr>
        <w:trPr>
          <w:trHeight w:val="170"/>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02"/>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100"/>
              <w:spacing w:after="0"/>
              <w:rPr>
                <w:sz w:val="20"/>
                <w:szCs w:val="20"/>
                <w:color w:val="auto"/>
              </w:rPr>
            </w:pPr>
            <w:r>
              <w:rPr>
                <w:rFonts w:ascii="Arial" w:cs="Arial" w:eastAsia="Arial" w:hAnsi="Arial"/>
                <w:sz w:val="13"/>
                <w:szCs w:val="13"/>
                <w:color w:val="auto"/>
              </w:rPr>
              <w:t>42.8</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20.9 %</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jc w:val="right"/>
              <w:ind w:right="1218"/>
              <w:spacing w:after="0"/>
              <w:rPr>
                <w:sz w:val="20"/>
                <w:szCs w:val="20"/>
                <w:color w:val="auto"/>
              </w:rPr>
            </w:pPr>
            <w:r>
              <w:rPr>
                <w:rFonts w:ascii="Arial" w:cs="Arial" w:eastAsia="Arial" w:hAnsi="Arial"/>
                <w:sz w:val="10"/>
                <w:szCs w:val="10"/>
                <w:b w:val="1"/>
                <w:bCs w:val="1"/>
                <w:color w:val="auto"/>
              </w:rPr>
              <w:t>Four Quarters Ended</w:t>
            </w:r>
          </w:p>
        </w:tc>
      </w:tr>
      <w:tr>
        <w:trPr>
          <w:trHeight w:val="132"/>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2020</w:t>
            </w:r>
          </w:p>
        </w:tc>
        <w:tc>
          <w:tcPr>
            <w:tcW w:w="240" w:type="dxa"/>
            <w:vAlign w:val="bottom"/>
          </w:tcPr>
          <w:p>
            <w:pPr>
              <w:spacing w:after="0"/>
              <w:rPr>
                <w:sz w:val="11"/>
                <w:szCs w:val="11"/>
                <w:color w:val="auto"/>
              </w:rPr>
            </w:pPr>
          </w:p>
        </w:tc>
        <w:tc>
          <w:tcPr>
            <w:tcW w:w="1480" w:type="dxa"/>
            <w:vAlign w:val="bottom"/>
          </w:tcPr>
          <w:p>
            <w:pPr>
              <w:jc w:val="right"/>
              <w:ind w:right="338"/>
              <w:spacing w:after="0"/>
              <w:rPr>
                <w:sz w:val="20"/>
                <w:szCs w:val="20"/>
                <w:color w:val="auto"/>
              </w:rPr>
            </w:pPr>
            <w:r>
              <w:rPr>
                <w:rFonts w:ascii="Arial" w:cs="Arial" w:eastAsia="Arial" w:hAnsi="Arial"/>
                <w:sz w:val="10"/>
                <w:szCs w:val="10"/>
                <w:b w:val="1"/>
                <w:bCs w:val="1"/>
                <w:color w:val="auto"/>
              </w:rPr>
              <w:t>September 30, 2019</w:t>
            </w:r>
          </w:p>
        </w:tc>
      </w:tr>
      <w:tr>
        <w:trPr>
          <w:trHeight w:val="160"/>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color w:val="auto"/>
              </w:rPr>
              <w:t>6.1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11.1</w:t>
            </w:r>
          </w:p>
        </w:tc>
      </w:tr>
      <w:tr>
        <w:trPr>
          <w:trHeight w:val="170"/>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99"/>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98"/>
              <w:spacing w:after="0"/>
              <w:rPr>
                <w:sz w:val="20"/>
                <w:szCs w:val="20"/>
                <w:color w:val="auto"/>
              </w:rPr>
            </w:pPr>
            <w:r>
              <w:rPr>
                <w:rFonts w:ascii="Arial" w:cs="Arial" w:eastAsia="Arial" w:hAnsi="Arial"/>
                <w:sz w:val="13"/>
                <w:szCs w:val="13"/>
                <w:color w:val="auto"/>
              </w:rPr>
              <w:t>42.8</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14.8</w:t>
            </w:r>
          </w:p>
        </w:tc>
      </w:tr>
      <w:tr>
        <w:trPr>
          <w:trHeight w:val="170"/>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260" w:type="dxa"/>
            <w:vAlign w:val="bottom"/>
          </w:tcPr>
          <w:p>
            <w:pPr>
              <w:spacing w:after="0"/>
              <w:rPr>
                <w:sz w:val="14"/>
                <w:szCs w:val="14"/>
                <w:color w:val="auto"/>
              </w:rPr>
            </w:pPr>
          </w:p>
        </w:tc>
        <w:tc>
          <w:tcPr>
            <w:tcW w:w="1480" w:type="dxa"/>
            <w:vAlign w:val="bottom"/>
          </w:tcPr>
          <w:p>
            <w:pPr>
              <w:jc w:val="right"/>
              <w:ind w:right="99"/>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98"/>
              <w:spacing w:after="0"/>
              <w:rPr>
                <w:sz w:val="20"/>
                <w:szCs w:val="20"/>
                <w:color w:val="auto"/>
              </w:rPr>
            </w:pPr>
            <w:r>
              <w:rPr>
                <w:rFonts w:ascii="Arial" w:cs="Arial" w:eastAsia="Arial" w:hAnsi="Arial"/>
                <w:sz w:val="13"/>
                <w:szCs w:val="13"/>
                <w:color w:val="auto"/>
              </w:rPr>
              <w:t>16.5</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(23.3)</w:t>
            </w:r>
          </w:p>
        </w:tc>
      </w:tr>
      <w:tr>
        <w:trPr>
          <w:trHeight w:val="160"/>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62.8</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50.8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21.9 %</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5"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6"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operating activities under U.S. GAAP to adjusted automotive free cash flow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5"/>
          </w:tcPr>
          <w:p>
            <w:pPr>
              <w:ind w:left="82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2"/>
                <w:szCs w:val="12"/>
                <w:color w:val="auto"/>
              </w:rPr>
            </w:pPr>
          </w:p>
        </w:tc>
        <w:tc>
          <w:tcPr>
            <w:tcW w:w="2780" w:type="dxa"/>
            <w:vAlign w:val="bottom"/>
            <w:gridSpan w:val="4"/>
          </w:tcPr>
          <w:p>
            <w:pPr>
              <w:jc w:val="right"/>
              <w:ind w:right="958"/>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5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2020</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2020</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September 30, 2019</w:t>
            </w:r>
          </w:p>
        </w:tc>
      </w:tr>
      <w:tr>
        <w:trPr>
          <w:trHeight w:val="16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automotive cash provided by operating activities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6,623</w:t>
            </w:r>
          </w:p>
        </w:tc>
      </w:tr>
      <w:tr>
        <w:trPr>
          <w:trHeight w:val="170"/>
        </w:trPr>
        <w:tc>
          <w:tcPr>
            <w:tcW w:w="526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(4,779)</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0"/>
        </w:trPr>
        <w:tc>
          <w:tcPr>
            <w:tcW w:w="5260" w:type="dxa"/>
            <w:vAlign w:val="bottom"/>
          </w:tcPr>
          <w:p>
            <w:pPr>
              <w:ind w:left="20"/>
              <w:spacing w:after="0"/>
              <w:rPr>
                <w:sz w:val="20"/>
                <w:szCs w:val="20"/>
                <w:color w:val="auto"/>
              </w:rPr>
            </w:pPr>
            <w:r>
              <w:rPr>
                <w:rFonts w:ascii="Arial" w:cs="Arial" w:eastAsia="Arial" w:hAnsi="Arial"/>
                <w:sz w:val="13"/>
                <w:szCs w:val="13"/>
                <w:color w:val="auto"/>
              </w:rPr>
              <w:t>Add: Transformation activities</w:t>
            </w:r>
          </w:p>
        </w:tc>
        <w:tc>
          <w:tcPr>
            <w:tcW w:w="1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645</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GM Brazil indirect tax recoveries</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60"/>
        </w:trPr>
        <w:tc>
          <w:tcPr>
            <w:tcW w:w="526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9,122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3,764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2,422</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7"/>
                <w:szCs w:val="7"/>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7"/>
                <w:szCs w:val="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7"/>
                <w:szCs w:val="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September 30,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29,128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32,066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3,421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(33)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35,480</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841</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138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980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992</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1,814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3,158</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309</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September 30, 2019</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27,971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31,817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3,659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35,473</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1,122</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229</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1,351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9</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1,376</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1,832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3,308</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315</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20"/>
                <w:szCs w:val="20"/>
                <w:color w:val="auto"/>
              </w:rPr>
            </w:pPr>
            <w:r>
              <w:rPr>
                <w:rFonts w:ascii="Arial" w:cs="Arial" w:eastAsia="Arial" w:hAnsi="Arial"/>
                <w:sz w:val="8"/>
                <w:szCs w:val="8"/>
                <w:b w:val="1"/>
                <w:bCs w:val="1"/>
                <w:color w:val="auto"/>
              </w:rPr>
              <w:t>Nine Months Ended September 30,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66,563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7,692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74,576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10,405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(93)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84,967</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2,703</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574</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3,292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26</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3,328</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4,017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5,567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9,614</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101</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113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389</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20"/>
                <w:szCs w:val="20"/>
                <w:color w:val="auto"/>
              </w:rPr>
            </w:pPr>
            <w:r>
              <w:rPr>
                <w:rFonts w:ascii="Arial" w:cs="Arial" w:eastAsia="Arial" w:hAnsi="Arial"/>
                <w:sz w:val="8"/>
                <w:szCs w:val="8"/>
                <w:b w:val="1"/>
                <w:bCs w:val="1"/>
                <w:color w:val="auto"/>
              </w:rPr>
              <w:t>Nine Months Ended September 30, 2019</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83,660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11,691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95,503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10,918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(85)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106,411</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4,091</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687</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4,779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34</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4,852</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4,803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5,218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5,579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10,813</w:t>
            </w: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874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6"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0"/>
          <w:szCs w:val="10"/>
          <w:color w:val="auto"/>
        </w:rPr>
      </w:pPr>
      <w:r>
        <w:rPr>
          <w:rFonts w:ascii="Arial" w:cs="Arial" w:eastAsia="Arial" w:hAnsi="Arial"/>
          <w:sz w:val="10"/>
          <w:szCs w:val="10"/>
          <w:color w:val="auto"/>
        </w:rPr>
        <w:t>Includes Automotive China equity income of $262 million and $282 million in the three months ended September 30, 2020 and 2019 and $264 million and $893 million in the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6"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92" w:lineRule="exact"/>
        <w:rPr>
          <w:sz w:val="20"/>
          <w:szCs w:val="20"/>
          <w:color w:val="auto"/>
        </w:rPr>
      </w:pPr>
    </w:p>
    <w:p>
      <w:pPr>
        <w:jc w:val="both"/>
        <w:ind w:firstLine="127"/>
        <w:spacing w:after="0" w:line="273"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48" w:lineRule="exact"/>
        <w:rPr>
          <w:sz w:val="20"/>
          <w:szCs w:val="20"/>
          <w:color w:val="auto"/>
        </w:rPr>
      </w:pPr>
    </w:p>
    <w:p>
      <w:pPr>
        <w:jc w:val="both"/>
        <w:ind w:firstLine="127"/>
        <w:spacing w:after="0" w:line="255"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2020, 30.0% of our wholesale vehicle sales volume was generated outside the U.S. The following table summarizes wholesale vehicle sales by automotive segment (vehicles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20" w:type="dxa"/>
            <w:vAlign w:val="bottom"/>
          </w:tcPr>
          <w:p>
            <w:pPr>
              <w:spacing w:after="0"/>
              <w:rPr>
                <w:sz w:val="12"/>
                <w:szCs w:val="12"/>
                <w:color w:val="auto"/>
              </w:rPr>
            </w:pPr>
          </w:p>
        </w:tc>
        <w:tc>
          <w:tcPr>
            <w:tcW w:w="3480" w:type="dxa"/>
            <w:vAlign w:val="bottom"/>
            <w:gridSpan w:val="5"/>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380" w:type="dxa"/>
            <w:vAlign w:val="bottom"/>
            <w:gridSpan w:val="3"/>
          </w:tcPr>
          <w:p>
            <w:pPr>
              <w:jc w:val="right"/>
              <w:ind w:right="1160"/>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4420" w:type="dxa"/>
            <w:vAlign w:val="bottom"/>
          </w:tcPr>
          <w:p>
            <w:pPr>
              <w:spacing w:after="0"/>
              <w:rPr>
                <w:sz w:val="11"/>
                <w:szCs w:val="11"/>
                <w:color w:val="auto"/>
              </w:rPr>
            </w:pPr>
          </w:p>
        </w:tc>
        <w:tc>
          <w:tcPr>
            <w:tcW w:w="1320" w:type="dxa"/>
            <w:vAlign w:val="bottom"/>
            <w:tcBorders>
              <w:top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2020</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1740" w:type="dxa"/>
            <w:vAlign w:val="bottom"/>
            <w:tcBorders>
              <w:top w:val="single" w:sz="8" w:color="auto"/>
            </w:tcBorders>
            <w:gridSpan w:val="2"/>
          </w:tcPr>
          <w:p>
            <w:pPr>
              <w:ind w:left="360"/>
              <w:spacing w:after="0"/>
              <w:rPr>
                <w:sz w:val="20"/>
                <w:szCs w:val="20"/>
                <w:color w:val="auto"/>
              </w:rPr>
            </w:pPr>
            <w:r>
              <w:rPr>
                <w:rFonts w:ascii="Arial" w:cs="Arial" w:eastAsia="Arial" w:hAnsi="Arial"/>
                <w:sz w:val="10"/>
                <w:szCs w:val="10"/>
                <w:b w:val="1"/>
                <w:bCs w:val="1"/>
                <w:color w:val="auto"/>
              </w:rPr>
              <w:t>September 30, 2020</w:t>
            </w:r>
          </w:p>
        </w:tc>
        <w:tc>
          <w:tcPr>
            <w:tcW w:w="1640" w:type="dxa"/>
            <w:vAlign w:val="bottom"/>
            <w:tcBorders>
              <w:top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September 30, 2019</w:t>
            </w:r>
          </w:p>
        </w:tc>
      </w:tr>
      <w:tr>
        <w:trPr>
          <w:trHeight w:val="16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13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799</w:t>
            </w: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801</w:t>
            </w: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1,905</w:t>
            </w: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2,530</w:t>
            </w:r>
          </w:p>
        </w:tc>
      </w:tr>
      <w:tr>
        <w:trPr>
          <w:trHeight w:val="17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166</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447</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w:t>
            </w:r>
          </w:p>
        </w:tc>
      </w:tr>
      <w:tr>
        <w:trPr>
          <w:trHeight w:val="18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965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2,352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841"/>
        </w:trPr>
        <w:tc>
          <w:tcPr>
            <w:tcW w:w="4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80"/>
          </w:cols>
          <w:pgMar w:left="300" w:top="696"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jc w:val="both"/>
        <w:ind w:firstLine="127"/>
        <w:spacing w:after="0" w:line="269"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60" w:type="dxa"/>
            <w:vAlign w:val="bottom"/>
          </w:tcPr>
          <w:p>
            <w:pPr>
              <w:spacing w:after="0"/>
              <w:rPr>
                <w:sz w:val="12"/>
                <w:szCs w:val="12"/>
                <w:color w:val="auto"/>
              </w:rPr>
            </w:pPr>
          </w:p>
        </w:tc>
        <w:tc>
          <w:tcPr>
            <w:tcW w:w="3060" w:type="dxa"/>
            <w:vAlign w:val="bottom"/>
            <w:gridSpan w:val="4"/>
          </w:tcPr>
          <w:p>
            <w:pPr>
              <w:ind w:left="1000"/>
              <w:spacing w:after="0"/>
              <w:rPr>
                <w:sz w:val="20"/>
                <w:szCs w:val="20"/>
                <w:color w:val="auto"/>
              </w:rPr>
            </w:pPr>
            <w:r>
              <w:rPr>
                <w:rFonts w:ascii="Arial" w:cs="Arial" w:eastAsia="Arial" w:hAnsi="Arial"/>
                <w:sz w:val="10"/>
                <w:szCs w:val="10"/>
                <w:b w:val="1"/>
                <w:bCs w:val="1"/>
                <w:color w:val="auto"/>
              </w:rPr>
              <w:t>Three Months Ended</w:t>
            </w:r>
          </w:p>
        </w:tc>
        <w:tc>
          <w:tcPr>
            <w:tcW w:w="2960" w:type="dxa"/>
            <w:vAlign w:val="bottom"/>
            <w:gridSpan w:val="3"/>
          </w:tcPr>
          <w:p>
            <w:pPr>
              <w:jc w:val="right"/>
              <w:ind w:right="957"/>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5260" w:type="dxa"/>
            <w:vAlign w:val="bottom"/>
          </w:tcPr>
          <w:p>
            <w:pPr>
              <w:spacing w:after="0"/>
              <w:rPr>
                <w:sz w:val="11"/>
                <w:szCs w:val="11"/>
                <w:color w:val="auto"/>
              </w:rPr>
            </w:pPr>
          </w:p>
        </w:tc>
        <w:tc>
          <w:tcPr>
            <w:tcW w:w="1540" w:type="dxa"/>
            <w:vAlign w:val="bottom"/>
            <w:tcBorders>
              <w:top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September 30, 2020</w:t>
            </w:r>
          </w:p>
        </w:tc>
        <w:tc>
          <w:tcPr>
            <w:tcW w:w="1420" w:type="dxa"/>
            <w:vAlign w:val="bottom"/>
            <w:tcBorders>
              <w:top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1540" w:type="dxa"/>
            <w:vAlign w:val="bottom"/>
            <w:tcBorders>
              <w:top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September 30, 2020</w:t>
            </w: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September 30, 2019</w:t>
            </w:r>
          </w:p>
        </w:tc>
      </w:tr>
      <w:tr>
        <w:trPr>
          <w:trHeight w:val="150"/>
        </w:trPr>
        <w:tc>
          <w:tcPr>
            <w:tcW w:w="52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r>
      <w:tr>
        <w:trPr>
          <w:trHeight w:val="17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Chevrolet – Cars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r>
      <w:tr>
        <w:trPr>
          <w:trHeight w:val="170"/>
        </w:trPr>
        <w:tc>
          <w:tcPr>
            <w:tcW w:w="5260" w:type="dxa"/>
            <w:vAlign w:val="bottom"/>
          </w:tcPr>
          <w:p>
            <w:pPr>
              <w:ind w:left="160"/>
              <w:spacing w:after="0"/>
              <w:rPr>
                <w:sz w:val="20"/>
                <w:szCs w:val="20"/>
                <w:color w:val="auto"/>
              </w:rPr>
            </w:pPr>
            <w:r>
              <w:rPr>
                <w:rFonts w:ascii="Arial" w:cs="Arial" w:eastAsia="Arial" w:hAnsi="Arial"/>
                <w:sz w:val="13"/>
                <w:szCs w:val="13"/>
                <w:color w:val="auto"/>
              </w:rPr>
              <w:t>Chevrolet – Trucks</w:t>
            </w:r>
          </w:p>
        </w:tc>
        <w:tc>
          <w:tcPr>
            <w:tcW w:w="144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695</w:t>
            </w:r>
          </w:p>
        </w:tc>
      </w:tr>
      <w:tr>
        <w:trPr>
          <w:trHeight w:val="17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Chevrolet – Crossovers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170"/>
        </w:trPr>
        <w:tc>
          <w:tcPr>
            <w:tcW w:w="5260" w:type="dxa"/>
            <w:vAlign w:val="bottom"/>
          </w:tcPr>
          <w:p>
            <w:pPr>
              <w:ind w:left="160"/>
              <w:spacing w:after="0"/>
              <w:rPr>
                <w:sz w:val="20"/>
                <w:szCs w:val="20"/>
                <w:color w:val="auto"/>
              </w:rPr>
            </w:pPr>
            <w:r>
              <w:rPr>
                <w:rFonts w:ascii="Arial" w:cs="Arial" w:eastAsia="Arial" w:hAnsi="Arial"/>
                <w:sz w:val="13"/>
                <w:szCs w:val="13"/>
                <w:color w:val="auto"/>
              </w:rPr>
              <w:t>Cadillac</w:t>
            </w:r>
          </w:p>
        </w:tc>
        <w:tc>
          <w:tcPr>
            <w:tcW w:w="14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7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Buick</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170"/>
        </w:trPr>
        <w:tc>
          <w:tcPr>
            <w:tcW w:w="52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GMC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w:t>
            </w:r>
          </w:p>
        </w:tc>
      </w:tr>
      <w:tr>
        <w:trPr>
          <w:trHeight w:val="16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United States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1,776</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w:t>
            </w:r>
          </w:p>
        </w:tc>
      </w:tr>
      <w:tr>
        <w:trPr>
          <w:trHeight w:val="17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w:t>
            </w:r>
          </w:p>
        </w:tc>
      </w:tr>
      <w:tr>
        <w:trPr>
          <w:trHeight w:val="16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North America</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0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w:t>
            </w:r>
          </w:p>
        </w:tc>
        <w:tc>
          <w:tcPr>
            <w:tcW w:w="10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10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2,514</w:t>
            </w:r>
          </w:p>
        </w:tc>
      </w:tr>
      <w:tr>
        <w:trPr>
          <w:trHeight w:val="150"/>
        </w:trPr>
        <w:tc>
          <w:tcPr>
            <w:tcW w:w="5260" w:type="dxa"/>
            <w:vAlign w:val="bottom"/>
          </w:tcPr>
          <w:p>
            <w:pPr>
              <w:ind w:left="20"/>
              <w:spacing w:after="0"/>
              <w:rPr>
                <w:sz w:val="20"/>
                <w:szCs w:val="20"/>
                <w:color w:val="auto"/>
              </w:rPr>
            </w:pPr>
            <w:r>
              <w:rPr>
                <w:rFonts w:ascii="Arial" w:cs="Arial" w:eastAsia="Arial" w:hAnsi="Arial"/>
                <w:sz w:val="13"/>
                <w:szCs w:val="13"/>
                <w:color w:val="auto"/>
              </w:rPr>
              <w:t>Asia/Pacific, Middle East and Africa</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Chevrolet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r>
      <w:tr>
        <w:trPr>
          <w:trHeight w:val="170"/>
        </w:trPr>
        <w:tc>
          <w:tcPr>
            <w:tcW w:w="5260" w:type="dxa"/>
            <w:vAlign w:val="bottom"/>
          </w:tcPr>
          <w:p>
            <w:pPr>
              <w:ind w:left="160"/>
              <w:spacing w:after="0"/>
              <w:rPr>
                <w:sz w:val="20"/>
                <w:szCs w:val="20"/>
                <w:color w:val="auto"/>
              </w:rPr>
            </w:pPr>
            <w:r>
              <w:rPr>
                <w:rFonts w:ascii="Arial" w:cs="Arial" w:eastAsia="Arial" w:hAnsi="Arial"/>
                <w:sz w:val="13"/>
                <w:szCs w:val="13"/>
                <w:color w:val="auto"/>
              </w:rPr>
              <w:t>Wuling</w:t>
            </w:r>
          </w:p>
        </w:tc>
        <w:tc>
          <w:tcPr>
            <w:tcW w:w="144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742</w:t>
            </w:r>
          </w:p>
        </w:tc>
      </w:tr>
      <w:tr>
        <w:trPr>
          <w:trHeight w:val="17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Buick</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r>
      <w:tr>
        <w:trPr>
          <w:trHeight w:val="170"/>
        </w:trPr>
        <w:tc>
          <w:tcPr>
            <w:tcW w:w="5260" w:type="dxa"/>
            <w:vAlign w:val="bottom"/>
          </w:tcPr>
          <w:p>
            <w:pPr>
              <w:ind w:left="160"/>
              <w:spacing w:after="0"/>
              <w:rPr>
                <w:sz w:val="20"/>
                <w:szCs w:val="20"/>
                <w:color w:val="auto"/>
              </w:rPr>
            </w:pPr>
            <w:r>
              <w:rPr>
                <w:rFonts w:ascii="Arial" w:cs="Arial" w:eastAsia="Arial" w:hAnsi="Arial"/>
                <w:sz w:val="13"/>
                <w:szCs w:val="13"/>
                <w:color w:val="auto"/>
              </w:rPr>
              <w:t>Baojun</w:t>
            </w:r>
          </w:p>
        </w:tc>
        <w:tc>
          <w:tcPr>
            <w:tcW w:w="144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428</w:t>
            </w:r>
          </w:p>
        </w:tc>
      </w:tr>
      <w:tr>
        <w:trPr>
          <w:trHeight w:val="17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Cadillac</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70"/>
        </w:trPr>
        <w:tc>
          <w:tcPr>
            <w:tcW w:w="52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r>
      <w:tr>
        <w:trPr>
          <w:trHeight w:val="160"/>
        </w:trPr>
        <w:tc>
          <w:tcPr>
            <w:tcW w:w="5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Asia/Pacific, Middle East and Africa</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2,674</w:t>
            </w:r>
          </w:p>
        </w:tc>
      </w:tr>
      <w:tr>
        <w:trPr>
          <w:trHeight w:val="17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w:t>
            </w:r>
          </w:p>
        </w:tc>
      </w:tr>
      <w:tr>
        <w:trPr>
          <w:trHeight w:val="16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1,867</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4,716</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5,681</w:t>
            </w:r>
          </w:p>
        </w:tc>
      </w:tr>
      <w:tr>
        <w:trPr>
          <w:trHeight w:val="170"/>
        </w:trPr>
        <w:tc>
          <w:tcPr>
            <w:tcW w:w="5260" w:type="dxa"/>
            <w:vAlign w:val="bottom"/>
          </w:tcPr>
          <w:p>
            <w:pPr>
              <w:ind w:left="20"/>
              <w:spacing w:after="0"/>
              <w:rPr>
                <w:sz w:val="20"/>
                <w:szCs w:val="20"/>
                <w:color w:val="auto"/>
              </w:rPr>
            </w:pPr>
            <w:r>
              <w:rPr>
                <w:rFonts w:ascii="Arial" w:cs="Arial" w:eastAsia="Arial" w:hAnsi="Arial"/>
                <w:sz w:val="13"/>
                <w:szCs w:val="13"/>
                <w:color w:val="auto"/>
              </w:rPr>
              <w:t>Total Europe</w:t>
            </w: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85"/>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60" w:type="dxa"/>
            <w:vAlign w:val="bottom"/>
          </w:tcPr>
          <w:p>
            <w:pPr>
              <w:spacing w:after="0"/>
              <w:rPr>
                <w:sz w:val="12"/>
                <w:szCs w:val="12"/>
                <w:color w:val="auto"/>
              </w:rPr>
            </w:pPr>
          </w:p>
        </w:tc>
        <w:tc>
          <w:tcPr>
            <w:tcW w:w="3060" w:type="dxa"/>
            <w:vAlign w:val="bottom"/>
            <w:gridSpan w:val="4"/>
          </w:tcPr>
          <w:p>
            <w:pPr>
              <w:ind w:left="1000"/>
              <w:spacing w:after="0"/>
              <w:rPr>
                <w:sz w:val="20"/>
                <w:szCs w:val="20"/>
                <w:color w:val="auto"/>
              </w:rPr>
            </w:pPr>
            <w:r>
              <w:rPr>
                <w:rFonts w:ascii="Arial" w:cs="Arial" w:eastAsia="Arial" w:hAnsi="Arial"/>
                <w:sz w:val="10"/>
                <w:szCs w:val="10"/>
                <w:b w:val="1"/>
                <w:bCs w:val="1"/>
                <w:color w:val="auto"/>
              </w:rPr>
              <w:t>Three Months Ended</w:t>
            </w:r>
          </w:p>
        </w:tc>
        <w:tc>
          <w:tcPr>
            <w:tcW w:w="2960" w:type="dxa"/>
            <w:vAlign w:val="bottom"/>
            <w:gridSpan w:val="3"/>
          </w:tcPr>
          <w:p>
            <w:pPr>
              <w:jc w:val="right"/>
              <w:ind w:right="961"/>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5260" w:type="dxa"/>
            <w:vAlign w:val="bottom"/>
          </w:tcPr>
          <w:p>
            <w:pPr>
              <w:spacing w:after="0"/>
              <w:rPr>
                <w:sz w:val="11"/>
                <w:szCs w:val="11"/>
                <w:color w:val="auto"/>
              </w:rPr>
            </w:pPr>
          </w:p>
        </w:tc>
        <w:tc>
          <w:tcPr>
            <w:tcW w:w="1540" w:type="dxa"/>
            <w:vAlign w:val="bottom"/>
            <w:tcBorders>
              <w:top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September 30, 2020</w:t>
            </w:r>
          </w:p>
        </w:tc>
        <w:tc>
          <w:tcPr>
            <w:tcW w:w="1420" w:type="dxa"/>
            <w:vAlign w:val="bottom"/>
            <w:tcBorders>
              <w:top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1540" w:type="dxa"/>
            <w:vAlign w:val="bottom"/>
            <w:tcBorders>
              <w:top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September 30, 2020</w:t>
            </w:r>
          </w:p>
        </w:tc>
        <w:tc>
          <w:tcPr>
            <w:tcW w:w="1420" w:type="dxa"/>
            <w:vAlign w:val="bottom"/>
            <w:tcBorders>
              <w:top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September 30, 2019</w:t>
            </w:r>
          </w:p>
        </w:tc>
      </w:tr>
      <w:tr>
        <w:trPr>
          <w:trHeight w:val="16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395</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952</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1,102</w:t>
            </w:r>
          </w:p>
        </w:tc>
      </w:tr>
      <w:tr>
        <w:trPr>
          <w:trHeight w:val="171"/>
        </w:trPr>
        <w:tc>
          <w:tcPr>
            <w:tcW w:w="5260" w:type="dxa"/>
            <w:vAlign w:val="bottom"/>
          </w:tcPr>
          <w:p>
            <w:pPr>
              <w:ind w:left="20"/>
              <w:spacing w:after="0"/>
              <w:rPr>
                <w:sz w:val="20"/>
                <w:szCs w:val="20"/>
                <w:color w:val="auto"/>
              </w:rPr>
            </w:pPr>
            <w:r>
              <w:rPr>
                <w:rFonts w:ascii="Arial" w:cs="Arial" w:eastAsia="Arial" w:hAnsi="Arial"/>
                <w:sz w:val="13"/>
                <w:szCs w:val="13"/>
                <w:color w:val="auto"/>
              </w:rPr>
              <w:t>SAIC GM Wuling Automobile Co., Ltd.</w:t>
            </w:r>
          </w:p>
        </w:tc>
        <w:tc>
          <w:tcPr>
            <w:tcW w:w="1440" w:type="dxa"/>
            <w:vAlign w:val="bottom"/>
          </w:tcPr>
          <w:p>
            <w:pPr>
              <w:jc w:val="right"/>
              <w:ind w:right="2"/>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4"/>
                <w:szCs w:val="14"/>
                <w:color w:val="auto"/>
              </w:rPr>
            </w:pPr>
          </w:p>
        </w:tc>
        <w:tc>
          <w:tcPr>
            <w:tcW w:w="1440" w:type="dxa"/>
            <w:vAlign w:val="bottom"/>
          </w:tcPr>
          <w:p>
            <w:pPr>
              <w:jc w:val="right"/>
              <w:ind w:right="3"/>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Arial" w:cs="Arial" w:eastAsia="Arial" w:hAnsi="Arial"/>
                <w:sz w:val="13"/>
                <w:szCs w:val="13"/>
                <w:color w:val="auto"/>
              </w:rPr>
              <w:t>1,155</w:t>
            </w:r>
          </w:p>
        </w:tc>
      </w:tr>
      <w:tr>
        <w:trPr>
          <w:trHeight w:val="718"/>
        </w:trPr>
        <w:tc>
          <w:tcPr>
            <w:tcW w:w="5260" w:type="dxa"/>
            <w:vAlign w:val="bottom"/>
          </w:tcPr>
          <w:p>
            <w:pPr>
              <w:spacing w:after="0"/>
              <w:rPr>
                <w:sz w:val="24"/>
                <w:szCs w:val="24"/>
                <w:color w:val="auto"/>
              </w:rPr>
            </w:pPr>
          </w:p>
        </w:tc>
        <w:tc>
          <w:tcPr>
            <w:tcW w:w="1440" w:type="dxa"/>
            <w:vAlign w:val="bottom"/>
          </w:tcPr>
          <w:p>
            <w:pPr>
              <w:jc w:val="right"/>
              <w:ind w:right="702"/>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280"/>
          </w:cols>
          <w:pgMar w:left="300" w:top="696"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00" w:type="dxa"/>
            <w:vAlign w:val="bottom"/>
            <w:gridSpan w:val="4"/>
          </w:tcPr>
          <w:p>
            <w:pPr>
              <w:ind w:left="1260"/>
              <w:spacing w:after="0"/>
              <w:rPr>
                <w:sz w:val="20"/>
                <w:szCs w:val="20"/>
                <w:color w:val="auto"/>
              </w:rPr>
            </w:pPr>
            <w:r>
              <w:rPr>
                <w:rFonts w:ascii="Arial" w:cs="Arial" w:eastAsia="Arial" w:hAnsi="Arial"/>
                <w:sz w:val="10"/>
                <w:szCs w:val="10"/>
                <w:b w:val="1"/>
                <w:bCs w:val="1"/>
                <w:color w:val="auto"/>
              </w:rPr>
              <w:t>Three Months Ended</w:t>
            </w:r>
          </w:p>
        </w:tc>
        <w:tc>
          <w:tcPr>
            <w:tcW w:w="3480" w:type="dxa"/>
            <w:vAlign w:val="bottom"/>
            <w:gridSpan w:val="3"/>
          </w:tcPr>
          <w:p>
            <w:pPr>
              <w:jc w:val="right"/>
              <w:ind w:right="1218"/>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September 30, 2020</w:t>
            </w:r>
          </w:p>
        </w:tc>
        <w:tc>
          <w:tcPr>
            <w:tcW w:w="170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1780" w:type="dxa"/>
            <w:vAlign w:val="bottom"/>
            <w:tcBorders>
              <w:top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rPr>
              <w:t>September 30, 2020</w:t>
            </w:r>
          </w:p>
        </w:tc>
        <w:tc>
          <w:tcPr>
            <w:tcW w:w="170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September 30, 2019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Market Share</w:t>
            </w: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United States – Cars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rPr>
              <w:t>United States – Trucks</w:t>
            </w:r>
          </w:p>
        </w:tc>
        <w:tc>
          <w:tcPr>
            <w:tcW w:w="1700" w:type="dxa"/>
            <w:vAlign w:val="bottom"/>
          </w:tcPr>
          <w:p>
            <w:pPr>
              <w:jc w:val="right"/>
              <w:spacing w:after="0"/>
              <w:rPr>
                <w:sz w:val="20"/>
                <w:szCs w:val="20"/>
                <w:color w:val="auto"/>
              </w:rPr>
            </w:pPr>
            <w:r>
              <w:rPr>
                <w:rFonts w:ascii="Arial" w:cs="Arial" w:eastAsia="Arial" w:hAnsi="Arial"/>
                <w:sz w:val="13"/>
                <w:szCs w:val="13"/>
                <w:color w:val="auto"/>
              </w:rPr>
              <w:t>29.8 %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30.7 %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30.1 %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29.8 %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United States – Crossovers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rPr>
              <w:t>Total United States</w:t>
            </w:r>
          </w:p>
        </w:tc>
        <w:tc>
          <w:tcPr>
            <w:tcW w:w="1700" w:type="dxa"/>
            <w:vAlign w:val="bottom"/>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16.7 %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North America</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rPr>
              <w:t>Total Asia/Pacific, Middle East and Africa</w:t>
            </w:r>
          </w:p>
        </w:tc>
        <w:tc>
          <w:tcPr>
            <w:tcW w:w="1700" w:type="dxa"/>
            <w:vAlign w:val="bottom"/>
          </w:tcPr>
          <w:p>
            <w:pPr>
              <w:jc w:val="right"/>
              <w:spacing w:after="0"/>
              <w:rPr>
                <w:sz w:val="20"/>
                <w:szCs w:val="20"/>
                <w:color w:val="auto"/>
              </w:rPr>
            </w:pPr>
            <w:r>
              <w:rPr>
                <w:rFonts w:ascii="Arial" w:cs="Arial" w:eastAsia="Arial" w:hAnsi="Arial"/>
                <w:sz w:val="13"/>
                <w:szCs w:val="13"/>
                <w:color w:val="auto"/>
              </w:rPr>
              <w:t>8.1 %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7.6 %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8.0 %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7.7 %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South America</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Total GM Market</w:t>
            </w:r>
          </w:p>
        </w:tc>
        <w:tc>
          <w:tcPr>
            <w:tcW w:w="1700" w:type="dxa"/>
            <w:vAlign w:val="bottom"/>
          </w:tcPr>
          <w:p>
            <w:pPr>
              <w:jc w:val="right"/>
              <w:spacing w:after="0"/>
              <w:rPr>
                <w:sz w:val="20"/>
                <w:szCs w:val="20"/>
                <w:color w:val="auto"/>
              </w:rPr>
            </w:pPr>
            <w:r>
              <w:rPr>
                <w:rFonts w:ascii="Arial" w:cs="Arial" w:eastAsia="Arial" w:hAnsi="Arial"/>
                <w:sz w:val="13"/>
                <w:szCs w:val="13"/>
                <w:color w:val="auto"/>
              </w:rPr>
              <w:t>10.6 %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10.7 %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10.7 %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Total Worldwide</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8.4 %</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22.5 %</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North America capacity two-shift utilization</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99.5 %</w:t>
            </w:r>
          </w:p>
        </w:tc>
        <w:tc>
          <w:tcPr>
            <w:tcW w:w="0" w:type="dxa"/>
            <w:vAlign w:val="bottom"/>
          </w:tcPr>
          <w:p>
            <w:pPr>
              <w:spacing w:after="0"/>
              <w:rPr>
                <w:sz w:val="1"/>
                <w:szCs w:val="1"/>
                <w:color w:val="auto"/>
              </w:rPr>
            </w:pPr>
          </w:p>
        </w:tc>
      </w:tr>
      <w:tr>
        <w:trPr>
          <w:trHeight w:val="70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3"/>
                <w:szCs w:val="13"/>
                <w:color w:val="auto"/>
              </w:rPr>
              <w:t>8</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6" w:right="319" w:bottom="1440" w:gutter="0" w:footer="0" w:header="0"/>
        </w:sectPr>
      </w:pPr>
    </w:p>
    <w:bookmarkStart w:id="15" w:name="page16"/>
    <w:bookmarkEnd w:id="15"/>
    <w:p>
      <w:pPr>
        <w:ind w:left="420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7"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(In millions) (Unaudited)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8"/>
          </w:tcPr>
          <w:p>
            <w:pPr>
              <w:ind w:left="20"/>
              <w:spacing w:after="0"/>
              <w:rPr>
                <w:sz w:val="20"/>
                <w:szCs w:val="20"/>
                <w:color w:val="auto"/>
              </w:rPr>
            </w:pPr>
            <w:r>
              <w:rPr>
                <w:rFonts w:ascii="Arial" w:cs="Arial" w:eastAsia="Arial" w:hAnsi="Arial"/>
                <w:sz w:val="8"/>
                <w:szCs w:val="8"/>
                <w:b w:val="1"/>
                <w:bCs w:val="1"/>
                <w:color w:val="auto"/>
              </w:rPr>
              <w:t>Three Months Ended September 30, 2020</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10"/>
          </w:tcPr>
          <w:p>
            <w:pPr>
              <w:jc w:val="center"/>
              <w:ind w:left="205"/>
              <w:spacing w:after="0"/>
              <w:rPr>
                <w:sz w:val="20"/>
                <w:szCs w:val="20"/>
                <w:color w:val="auto"/>
              </w:rPr>
            </w:pPr>
            <w:r>
              <w:rPr>
                <w:rFonts w:ascii="Arial" w:cs="Arial" w:eastAsia="Arial" w:hAnsi="Arial"/>
                <w:sz w:val="8"/>
                <w:szCs w:val="8"/>
                <w:b w:val="1"/>
                <w:bCs w:val="1"/>
                <w:color w:val="auto"/>
              </w:rPr>
              <w:t>Three Months Ended September 30, 2019</w:t>
            </w: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Automotive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tcPr>
          <w:p>
            <w:pPr>
              <w:jc w:val="right"/>
              <w:ind w:right="98"/>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spacing w:after="0"/>
              <w:rPr>
                <w:sz w:val="20"/>
                <w:szCs w:val="20"/>
                <w:color w:val="auto"/>
              </w:rPr>
            </w:pPr>
            <w:r>
              <w:rPr>
                <w:rFonts w:ascii="Arial" w:cs="Arial" w:eastAsia="Arial" w:hAnsi="Arial"/>
                <w:sz w:val="8"/>
                <w:szCs w:val="8"/>
                <w:b w:val="1"/>
                <w:bCs w:val="1"/>
                <w:color w:val="auto"/>
              </w:rPr>
              <w:t>GM Financial</w:t>
            </w:r>
          </w:p>
        </w:tc>
        <w:tc>
          <w:tcPr>
            <w:tcW w:w="8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Cruise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3"/>
        </w:trPr>
        <w:tc>
          <w:tcPr>
            <w:tcW w:w="2040" w:type="dxa"/>
            <w:vAlign w:val="bottom"/>
          </w:tcPr>
          <w:p>
            <w:pPr>
              <w:spacing w:after="0"/>
              <w:rPr>
                <w:sz w:val="20"/>
                <w:szCs w:val="20"/>
                <w:color w:val="auto"/>
              </w:rPr>
            </w:pPr>
            <w:r>
              <w:rPr>
                <w:rFonts w:ascii="Arial" w:cs="Arial" w:eastAsia="Arial" w:hAnsi="Arial"/>
                <w:sz w:val="10"/>
                <w:szCs w:val="10"/>
                <w:b w:val="1"/>
                <w:bCs w:val="1"/>
                <w:color w:val="auto"/>
              </w:rPr>
              <w:t>Net sales and revenue</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40" w:type="dxa"/>
            <w:vAlign w:val="bottom"/>
            <w:shd w:val="clear" w:color="auto" w:fill="CCEEFF"/>
          </w:tcPr>
          <w:p>
            <w:pPr>
              <w:ind w:left="80"/>
              <w:spacing w:after="0"/>
              <w:rPr>
                <w:sz w:val="20"/>
                <w:szCs w:val="20"/>
                <w:color w:val="auto"/>
              </w:rPr>
            </w:pPr>
            <w:r>
              <w:rPr>
                <w:rFonts w:ascii="Arial" w:cs="Arial" w:eastAsia="Arial" w:hAnsi="Arial"/>
                <w:sz w:val="10"/>
                <w:szCs w:val="10"/>
                <w:color w:val="auto"/>
              </w:rPr>
              <w:t>Automotive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32,066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32,067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31,817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31,817</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GM Financial</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3,421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(8)</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3,413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3,659</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3,656</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80"/>
              <w:spacing w:after="0"/>
              <w:rPr>
                <w:sz w:val="20"/>
                <w:szCs w:val="20"/>
                <w:color w:val="auto"/>
              </w:rPr>
            </w:pPr>
            <w:r>
              <w:rPr>
                <w:rFonts w:ascii="Arial" w:cs="Arial" w:eastAsia="Arial" w:hAnsi="Arial"/>
                <w:sz w:val="10"/>
                <w:szCs w:val="10"/>
                <w:color w:val="auto"/>
              </w:rPr>
              <w:t>Total net sales and revenue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32,066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35,480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31,817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35,473</w:t>
            </w:r>
          </w:p>
        </w:tc>
        <w:tc>
          <w:tcPr>
            <w:tcW w:w="0" w:type="dxa"/>
            <w:vAlign w:val="bottom"/>
          </w:tcPr>
          <w:p>
            <w:pPr>
              <w:spacing w:after="0"/>
              <w:rPr>
                <w:sz w:val="1"/>
                <w:szCs w:val="1"/>
                <w:color w:val="auto"/>
              </w:rPr>
            </w:pPr>
          </w:p>
        </w:tc>
      </w:tr>
      <w:tr>
        <w:trPr>
          <w:trHeight w:val="138"/>
        </w:trPr>
        <w:tc>
          <w:tcPr>
            <w:tcW w:w="2040" w:type="dxa"/>
            <w:vAlign w:val="bottom"/>
          </w:tcPr>
          <w:p>
            <w:pPr>
              <w:spacing w:after="0"/>
              <w:rPr>
                <w:sz w:val="20"/>
                <w:szCs w:val="20"/>
                <w:color w:val="auto"/>
              </w:rPr>
            </w:pPr>
            <w:r>
              <w:rPr>
                <w:rFonts w:ascii="Arial" w:cs="Arial" w:eastAsia="Arial" w:hAnsi="Arial"/>
                <w:sz w:val="10"/>
                <w:szCs w:val="10"/>
                <w:b w:val="1"/>
                <w:bCs w:val="1"/>
                <w:color w:val="auto"/>
              </w:rPr>
              <w:t>Costs and 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80"/>
              <w:spacing w:after="0"/>
              <w:rPr>
                <w:sz w:val="20"/>
                <w:szCs w:val="20"/>
                <w:color w:val="auto"/>
              </w:rPr>
            </w:pPr>
            <w:r>
              <w:rPr>
                <w:rFonts w:ascii="Arial" w:cs="Arial" w:eastAsia="Arial" w:hAnsi="Arial"/>
                <w:sz w:val="10"/>
                <w:szCs w:val="10"/>
                <w:color w:val="auto"/>
              </w:rPr>
              <w:t>Automotive and other cost of sales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26,980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27,169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27,919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28,174</w:t>
            </w:r>
          </w:p>
        </w:tc>
        <w:tc>
          <w:tcPr>
            <w:tcW w:w="0" w:type="dxa"/>
            <w:vAlign w:val="bottom"/>
          </w:tcPr>
          <w:p>
            <w:pPr>
              <w:spacing w:after="0"/>
              <w:rPr>
                <w:sz w:val="1"/>
                <w:szCs w:val="1"/>
                <w:color w:val="auto"/>
              </w:rPr>
            </w:pPr>
          </w:p>
        </w:tc>
      </w:tr>
      <w:tr>
        <w:trPr>
          <w:trHeight w:val="95"/>
        </w:trPr>
        <w:tc>
          <w:tcPr>
            <w:tcW w:w="2040" w:type="dxa"/>
            <w:vAlign w:val="bottom"/>
          </w:tcPr>
          <w:p>
            <w:pPr>
              <w:ind w:left="80"/>
              <w:spacing w:after="0" w:line="96" w:lineRule="exact"/>
              <w:rPr>
                <w:sz w:val="20"/>
                <w:szCs w:val="20"/>
                <w:color w:val="auto"/>
              </w:rPr>
            </w:pPr>
            <w:r>
              <w:rPr>
                <w:rFonts w:ascii="Arial" w:cs="Arial" w:eastAsia="Arial" w:hAnsi="Arial"/>
                <w:sz w:val="10"/>
                <w:szCs w:val="10"/>
                <w:color w:val="auto"/>
              </w:rPr>
              <w:t>GM Financial interest, operating and 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2,260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2,259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2,987</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2,987</w:t>
            </w:r>
          </w:p>
        </w:tc>
        <w:tc>
          <w:tcPr>
            <w:tcW w:w="0" w:type="dxa"/>
            <w:vAlign w:val="bottom"/>
          </w:tcPr>
          <w:p>
            <w:pPr>
              <w:spacing w:after="0"/>
              <w:rPr>
                <w:sz w:val="1"/>
                <w:szCs w:val="1"/>
                <w:color w:val="auto"/>
              </w:rPr>
            </w:pPr>
          </w:p>
        </w:tc>
      </w:tr>
      <w:tr>
        <w:trPr>
          <w:trHeight w:val="138"/>
        </w:trPr>
        <w:tc>
          <w:tcPr>
            <w:tcW w:w="2040" w:type="dxa"/>
            <w:vAlign w:val="bottom"/>
          </w:tcPr>
          <w:p>
            <w:pPr>
              <w:ind w:left="220"/>
              <w:spacing w:after="0"/>
              <w:rPr>
                <w:sz w:val="20"/>
                <w:szCs w:val="20"/>
                <w:color w:val="auto"/>
              </w:rPr>
            </w:pPr>
            <w:r>
              <w:rPr>
                <w:rFonts w:ascii="Arial" w:cs="Arial" w:eastAsia="Arial" w:hAnsi="Arial"/>
                <w:sz w:val="10"/>
                <w:szCs w:val="10"/>
                <w:color w:val="auto"/>
              </w:rPr>
              <w:t>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40" w:type="dxa"/>
            <w:vAlign w:val="bottom"/>
            <w:shd w:val="clear" w:color="auto" w:fill="CCEEFF"/>
          </w:tcPr>
          <w:p>
            <w:pPr>
              <w:ind w:left="80"/>
              <w:spacing w:after="0" w:line="96" w:lineRule="exact"/>
              <w:rPr>
                <w:sz w:val="20"/>
                <w:szCs w:val="20"/>
                <w:color w:val="auto"/>
              </w:rPr>
            </w:pPr>
            <w:r>
              <w:rPr>
                <w:rFonts w:ascii="Arial" w:cs="Arial" w:eastAsia="Arial" w:hAnsi="Arial"/>
                <w:sz w:val="10"/>
                <w:szCs w:val="10"/>
                <w:color w:val="auto"/>
              </w:rPr>
              <w:t>Automotive and other selling, general and</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1,565</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1,628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1,969</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2,008</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administrative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Total costs and expenses</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28,545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253</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2,260</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31,056</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29,888</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295</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2,987</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33,169</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Operating income (loss)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3,521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4,424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2,304</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333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327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206</w:t>
            </w:r>
          </w:p>
        </w:tc>
        <w:tc>
          <w:tcPr>
            <w:tcW w:w="0" w:type="dxa"/>
            <w:vAlign w:val="bottom"/>
          </w:tcPr>
          <w:p>
            <w:pPr>
              <w:spacing w:after="0"/>
              <w:rPr>
                <w:sz w:val="1"/>
                <w:szCs w:val="1"/>
                <w:color w:val="auto"/>
              </w:rPr>
            </w:pPr>
          </w:p>
        </w:tc>
      </w:tr>
      <w:tr>
        <w:trPr>
          <w:trHeight w:val="95"/>
        </w:trPr>
        <w:tc>
          <w:tcPr>
            <w:tcW w:w="2040" w:type="dxa"/>
            <w:vAlign w:val="bottom"/>
            <w:shd w:val="clear" w:color="auto" w:fill="CCEEFF"/>
          </w:tcPr>
          <w:p>
            <w:pPr>
              <w:spacing w:after="0" w:line="96" w:lineRule="exact"/>
              <w:rPr>
                <w:sz w:val="20"/>
                <w:szCs w:val="20"/>
                <w:color w:val="auto"/>
              </w:rPr>
            </w:pPr>
            <w:r>
              <w:rPr>
                <w:rFonts w:ascii="Arial" w:cs="Arial" w:eastAsia="Arial" w:hAnsi="Arial"/>
                <w:sz w:val="10"/>
                <w:szCs w:val="10"/>
                <w:color w:val="auto"/>
              </w:rPr>
              <w:t>Interest income and other non-operating</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471</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499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net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Equity income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263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46</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309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spacing w:after="0"/>
              <w:rPr>
                <w:sz w:val="20"/>
                <w:szCs w:val="20"/>
                <w:color w:val="auto"/>
              </w:rPr>
            </w:pPr>
            <w:r>
              <w:rPr>
                <w:rFonts w:ascii="Arial" w:cs="Arial" w:eastAsia="Arial" w:hAnsi="Arial"/>
                <w:sz w:val="10"/>
                <w:szCs w:val="10"/>
                <w:color w:val="auto"/>
              </w:rPr>
              <w:t>Income (loss) before income taxes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3,922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1,207</w:t>
            </w: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4,905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(254)</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711</w:t>
            </w: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2,582</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887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2,311</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w w:val="98"/>
              </w:rPr>
              <w:t>Net loss attributable to noncontrolling interests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 attributable to stockholders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4,045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2,351</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40" w:type="dxa"/>
            <w:vAlign w:val="bottom"/>
            <w:shd w:val="clear" w:color="auto" w:fill="CCEEFF"/>
          </w:tcPr>
          <w:p>
            <w:pPr>
              <w:spacing w:after="0" w:line="79" w:lineRule="exact"/>
              <w:rPr>
                <w:sz w:val="20"/>
                <w:szCs w:val="20"/>
                <w:color w:val="auto"/>
              </w:rPr>
            </w:pPr>
            <w:r>
              <w:rPr>
                <w:rFonts w:ascii="Arial" w:cs="Arial" w:eastAsia="Arial" w:hAnsi="Arial"/>
                <w:sz w:val="9"/>
                <w:szCs w:val="9"/>
                <w:b w:val="1"/>
                <w:bCs w:val="1"/>
                <w:color w:val="auto"/>
              </w:rPr>
              <w:t>Net income attributable to common</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4,005</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2,313</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rPr>
              <w:t>stockholders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gridSpan w:val="3"/>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9"/>
          </w:tcPr>
          <w:p>
            <w:pPr>
              <w:ind w:left="320"/>
              <w:spacing w:after="0"/>
              <w:rPr>
                <w:sz w:val="20"/>
                <w:szCs w:val="20"/>
                <w:color w:val="auto"/>
              </w:rPr>
            </w:pPr>
            <w:r>
              <w:rPr>
                <w:rFonts w:ascii="Arial" w:cs="Arial" w:eastAsia="Arial" w:hAnsi="Arial"/>
                <w:sz w:val="8"/>
                <w:szCs w:val="8"/>
                <w:b w:val="1"/>
                <w:bCs w:val="1"/>
                <w:color w:val="auto"/>
              </w:rPr>
              <w:t>Nine Months Ended September 30, 2020</w:t>
            </w: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10"/>
          </w:tcPr>
          <w:p>
            <w:pPr>
              <w:jc w:val="center"/>
              <w:ind w:left="185"/>
              <w:spacing w:after="0"/>
              <w:rPr>
                <w:sz w:val="20"/>
                <w:szCs w:val="20"/>
                <w:color w:val="auto"/>
              </w:rPr>
            </w:pPr>
            <w:r>
              <w:rPr>
                <w:rFonts w:ascii="Arial" w:cs="Arial" w:eastAsia="Arial" w:hAnsi="Arial"/>
                <w:sz w:val="8"/>
                <w:szCs w:val="8"/>
                <w:b w:val="1"/>
                <w:bCs w:val="1"/>
                <w:color w:val="auto"/>
              </w:rPr>
              <w:t>Nine Months Ended September 30, 2019</w:t>
            </w: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Automotive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198"/>
              <w:spacing w:after="0"/>
              <w:rPr>
                <w:sz w:val="20"/>
                <w:szCs w:val="20"/>
                <w:color w:val="auto"/>
              </w:rPr>
            </w:pPr>
            <w:r>
              <w:rPr>
                <w:rFonts w:ascii="Arial" w:cs="Arial" w:eastAsia="Arial" w:hAnsi="Arial"/>
                <w:sz w:val="8"/>
                <w:szCs w:val="8"/>
                <w:b w:val="1"/>
                <w:bCs w:val="1"/>
                <w:color w:val="auto"/>
              </w:rPr>
              <w:t>Cruise</w:t>
            </w:r>
          </w:p>
        </w:tc>
        <w:tc>
          <w:tcPr>
            <w:tcW w:w="800" w:type="dxa"/>
            <w:vAlign w:val="bottom"/>
            <w:gridSpan w:val="5"/>
          </w:tcPr>
          <w:p>
            <w:pPr>
              <w:ind w:left="8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4"/>
          </w:tcPr>
          <w:p>
            <w:pPr>
              <w:spacing w:after="0"/>
              <w:rPr>
                <w:sz w:val="20"/>
                <w:szCs w:val="20"/>
                <w:color w:val="auto"/>
              </w:rPr>
            </w:pPr>
            <w:r>
              <w:rPr>
                <w:rFonts w:ascii="Arial" w:cs="Arial" w:eastAsia="Arial" w:hAnsi="Arial"/>
                <w:sz w:val="8"/>
                <w:szCs w:val="8"/>
                <w:b w:val="1"/>
                <w:bCs w:val="1"/>
                <w:color w:val="auto"/>
              </w:rPr>
              <w:t>Reclassifications/Eliminations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04"/>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rPr>
              <w:t>Cruise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tcPr>
          <w:p>
            <w:pPr>
              <w:ind w:left="40"/>
              <w:spacing w:after="0"/>
              <w:rPr>
                <w:sz w:val="20"/>
                <w:szCs w:val="20"/>
                <w:color w:val="auto"/>
              </w:rPr>
            </w:pPr>
            <w:r>
              <w:rPr>
                <w:rFonts w:ascii="Arial" w:cs="Arial" w:eastAsia="Arial" w:hAnsi="Arial"/>
                <w:sz w:val="8"/>
                <w:szCs w:val="8"/>
                <w:b w:val="1"/>
                <w:bCs w:val="1"/>
                <w:color w:val="auto"/>
              </w:rPr>
              <w:t>GM Financial</w:t>
            </w:r>
          </w:p>
        </w:tc>
        <w:tc>
          <w:tcPr>
            <w:tcW w:w="6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3"/>
        </w:trPr>
        <w:tc>
          <w:tcPr>
            <w:tcW w:w="2040" w:type="dxa"/>
            <w:vAlign w:val="bottom"/>
          </w:tcPr>
          <w:p>
            <w:pPr>
              <w:spacing w:after="0"/>
              <w:rPr>
                <w:sz w:val="20"/>
                <w:szCs w:val="20"/>
                <w:color w:val="auto"/>
              </w:rPr>
            </w:pPr>
            <w:r>
              <w:rPr>
                <w:rFonts w:ascii="Arial" w:cs="Arial" w:eastAsia="Arial" w:hAnsi="Arial"/>
                <w:sz w:val="10"/>
                <w:szCs w:val="10"/>
                <w:b w:val="1"/>
                <w:bCs w:val="1"/>
                <w:color w:val="auto"/>
              </w:rPr>
              <w:t>Net sales and revenue</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40" w:type="dxa"/>
            <w:vAlign w:val="bottom"/>
            <w:shd w:val="clear" w:color="auto" w:fill="CCEEFF"/>
          </w:tcPr>
          <w:p>
            <w:pPr>
              <w:ind w:left="80"/>
              <w:spacing w:after="0"/>
              <w:rPr>
                <w:sz w:val="20"/>
                <w:szCs w:val="20"/>
                <w:color w:val="auto"/>
              </w:rPr>
            </w:pPr>
            <w:r>
              <w:rPr>
                <w:rFonts w:ascii="Arial" w:cs="Arial" w:eastAsia="Arial" w:hAnsi="Arial"/>
                <w:sz w:val="10"/>
                <w:szCs w:val="10"/>
                <w:color w:val="auto"/>
              </w:rPr>
              <w:t>Automotive</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74,576</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74,580</w:t>
            </w:r>
          </w:p>
        </w:tc>
        <w:tc>
          <w:tcPr>
            <w:tcW w:w="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95,503</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95,503</w:t>
            </w:r>
          </w:p>
        </w:tc>
        <w:tc>
          <w:tcPr>
            <w:tcW w:w="0" w:type="dxa"/>
            <w:vAlign w:val="bottom"/>
          </w:tcPr>
          <w:p>
            <w:pPr>
              <w:spacing w:after="0"/>
              <w:rPr>
                <w:sz w:val="1"/>
                <w:szCs w:val="1"/>
                <w:color w:val="auto"/>
              </w:rPr>
            </w:pPr>
          </w:p>
        </w:tc>
      </w:tr>
      <w:tr>
        <w:trPr>
          <w:trHeight w:val="149"/>
        </w:trPr>
        <w:tc>
          <w:tcPr>
            <w:tcW w:w="2040" w:type="dxa"/>
            <w:vAlign w:val="bottom"/>
          </w:tcPr>
          <w:p>
            <w:pPr>
              <w:ind w:left="80"/>
              <w:spacing w:after="0"/>
              <w:rPr>
                <w:sz w:val="20"/>
                <w:szCs w:val="20"/>
                <w:color w:val="auto"/>
              </w:rPr>
            </w:pPr>
            <w:r>
              <w:rPr>
                <w:rFonts w:ascii="Arial" w:cs="Arial" w:eastAsia="Arial" w:hAnsi="Arial"/>
                <w:sz w:val="10"/>
                <w:szCs w:val="10"/>
                <w:color w:val="auto"/>
              </w:rPr>
              <w:t>GM Financial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10,405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10,918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10,908</w:t>
            </w:r>
          </w:p>
        </w:tc>
        <w:tc>
          <w:tcPr>
            <w:tcW w:w="0" w:type="dxa"/>
            <w:vAlign w:val="bottom"/>
          </w:tcPr>
          <w:p>
            <w:pPr>
              <w:spacing w:after="0"/>
              <w:rPr>
                <w:sz w:val="1"/>
                <w:szCs w:val="1"/>
                <w:color w:val="auto"/>
              </w:rPr>
            </w:pPr>
          </w:p>
        </w:tc>
      </w:tr>
      <w:tr>
        <w:trPr>
          <w:trHeight w:val="139"/>
        </w:trPr>
        <w:tc>
          <w:tcPr>
            <w:tcW w:w="20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Total net sales and revenue</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74,576</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10,405</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84,967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95,503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10,918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106,411</w:t>
            </w:r>
          </w:p>
        </w:tc>
        <w:tc>
          <w:tcPr>
            <w:tcW w:w="0" w:type="dxa"/>
            <w:vAlign w:val="bottom"/>
          </w:tcPr>
          <w:p>
            <w:pPr>
              <w:spacing w:after="0"/>
              <w:rPr>
                <w:sz w:val="1"/>
                <w:szCs w:val="1"/>
                <w:color w:val="auto"/>
              </w:rPr>
            </w:pPr>
          </w:p>
        </w:tc>
      </w:tr>
      <w:tr>
        <w:trPr>
          <w:trHeight w:val="138"/>
        </w:trPr>
        <w:tc>
          <w:tcPr>
            <w:tcW w:w="2040" w:type="dxa"/>
            <w:vAlign w:val="bottom"/>
          </w:tcPr>
          <w:p>
            <w:pPr>
              <w:spacing w:after="0"/>
              <w:rPr>
                <w:sz w:val="20"/>
                <w:szCs w:val="20"/>
                <w:color w:val="auto"/>
              </w:rPr>
            </w:pPr>
            <w:r>
              <w:rPr>
                <w:rFonts w:ascii="Arial" w:cs="Arial" w:eastAsia="Arial" w:hAnsi="Arial"/>
                <w:sz w:val="10"/>
                <w:szCs w:val="10"/>
                <w:b w:val="1"/>
                <w:bCs w:val="1"/>
                <w:color w:val="auto"/>
              </w:rPr>
              <w:t>Costs and 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80"/>
              <w:spacing w:after="0"/>
              <w:rPr>
                <w:sz w:val="20"/>
                <w:szCs w:val="20"/>
                <w:color w:val="auto"/>
              </w:rPr>
            </w:pPr>
            <w:r>
              <w:rPr>
                <w:rFonts w:ascii="Arial" w:cs="Arial" w:eastAsia="Arial" w:hAnsi="Arial"/>
                <w:sz w:val="10"/>
                <w:szCs w:val="10"/>
                <w:color w:val="auto"/>
              </w:rPr>
              <w:t>Automotive and other cost of sales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66,779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67,339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83,990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84,730</w:t>
            </w:r>
          </w:p>
        </w:tc>
        <w:tc>
          <w:tcPr>
            <w:tcW w:w="0" w:type="dxa"/>
            <w:vAlign w:val="bottom"/>
          </w:tcPr>
          <w:p>
            <w:pPr>
              <w:spacing w:after="0"/>
              <w:rPr>
                <w:sz w:val="1"/>
                <w:szCs w:val="1"/>
                <w:color w:val="auto"/>
              </w:rPr>
            </w:pPr>
          </w:p>
        </w:tc>
      </w:tr>
      <w:tr>
        <w:trPr>
          <w:trHeight w:val="95"/>
        </w:trPr>
        <w:tc>
          <w:tcPr>
            <w:tcW w:w="2040" w:type="dxa"/>
            <w:vAlign w:val="bottom"/>
          </w:tcPr>
          <w:p>
            <w:pPr>
              <w:ind w:left="80"/>
              <w:spacing w:after="0" w:line="96" w:lineRule="exact"/>
              <w:rPr>
                <w:sz w:val="20"/>
                <w:szCs w:val="20"/>
                <w:color w:val="auto"/>
              </w:rPr>
            </w:pPr>
            <w:r>
              <w:rPr>
                <w:rFonts w:ascii="Arial" w:cs="Arial" w:eastAsia="Arial" w:hAnsi="Arial"/>
                <w:sz w:val="10"/>
                <w:szCs w:val="10"/>
                <w:color w:val="auto"/>
              </w:rPr>
              <w:t>GM Financial interest, operating and 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restart"/>
          </w:tcPr>
          <w:p>
            <w:pPr>
              <w:jc w:val="right"/>
              <w:ind w:right="9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1"/>
                <w:szCs w:val="11"/>
                <w:color w:val="auto"/>
              </w:rPr>
              <w:t>8,855</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8,853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9,438</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9,437</w:t>
            </w:r>
          </w:p>
        </w:tc>
        <w:tc>
          <w:tcPr>
            <w:tcW w:w="0" w:type="dxa"/>
            <w:vAlign w:val="bottom"/>
          </w:tcPr>
          <w:p>
            <w:pPr>
              <w:spacing w:after="0"/>
              <w:rPr>
                <w:sz w:val="1"/>
                <w:szCs w:val="1"/>
                <w:color w:val="auto"/>
              </w:rPr>
            </w:pPr>
          </w:p>
        </w:tc>
      </w:tr>
      <w:tr>
        <w:trPr>
          <w:trHeight w:val="138"/>
        </w:trPr>
        <w:tc>
          <w:tcPr>
            <w:tcW w:w="2040" w:type="dxa"/>
            <w:vAlign w:val="bottom"/>
          </w:tcPr>
          <w:p>
            <w:pPr>
              <w:ind w:left="220"/>
              <w:spacing w:after="0"/>
              <w:rPr>
                <w:sz w:val="20"/>
                <w:szCs w:val="20"/>
                <w:color w:val="auto"/>
              </w:rPr>
            </w:pPr>
            <w:r>
              <w:rPr>
                <w:rFonts w:ascii="Arial" w:cs="Arial" w:eastAsia="Arial" w:hAnsi="Arial"/>
                <w:sz w:val="10"/>
                <w:szCs w:val="10"/>
                <w:color w:val="auto"/>
              </w:rPr>
              <w:t>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40" w:type="dxa"/>
            <w:vAlign w:val="bottom"/>
            <w:shd w:val="clear" w:color="auto" w:fill="CCEEFF"/>
          </w:tcPr>
          <w:p>
            <w:pPr>
              <w:ind w:left="80"/>
              <w:spacing w:after="0" w:line="96" w:lineRule="exact"/>
              <w:rPr>
                <w:sz w:val="20"/>
                <w:szCs w:val="20"/>
                <w:color w:val="auto"/>
              </w:rPr>
            </w:pPr>
            <w:r>
              <w:rPr>
                <w:rFonts w:ascii="Arial" w:cs="Arial" w:eastAsia="Arial" w:hAnsi="Arial"/>
                <w:sz w:val="10"/>
                <w:szCs w:val="10"/>
                <w:color w:val="auto"/>
              </w:rPr>
              <w:t>Automotive and other selling, general and</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4,718</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4,908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6,104</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6,209</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administrative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Total costs and expenses</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71,497</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751</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8,855</w:t>
            </w: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81,100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90,094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848</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9,438</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100,376</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Operating income (loss)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3,079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1,550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5,409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6,035</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838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588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582</w:t>
            </w:r>
          </w:p>
        </w:tc>
        <w:tc>
          <w:tcPr>
            <w:tcW w:w="0" w:type="dxa"/>
            <w:vAlign w:val="bottom"/>
          </w:tcPr>
          <w:p>
            <w:pPr>
              <w:spacing w:after="0"/>
              <w:rPr>
                <w:sz w:val="1"/>
                <w:szCs w:val="1"/>
                <w:color w:val="auto"/>
              </w:rPr>
            </w:pPr>
          </w:p>
        </w:tc>
      </w:tr>
      <w:tr>
        <w:trPr>
          <w:trHeight w:val="95"/>
        </w:trPr>
        <w:tc>
          <w:tcPr>
            <w:tcW w:w="2040" w:type="dxa"/>
            <w:vAlign w:val="bottom"/>
            <w:shd w:val="clear" w:color="auto" w:fill="CCEEFF"/>
          </w:tcPr>
          <w:p>
            <w:pPr>
              <w:spacing w:after="0" w:line="96" w:lineRule="exact"/>
              <w:rPr>
                <w:sz w:val="20"/>
                <w:szCs w:val="20"/>
                <w:color w:val="auto"/>
              </w:rPr>
            </w:pPr>
            <w:r>
              <w:rPr>
                <w:rFonts w:ascii="Arial" w:cs="Arial" w:eastAsia="Arial" w:hAnsi="Arial"/>
                <w:sz w:val="10"/>
                <w:szCs w:val="10"/>
                <w:color w:val="auto"/>
              </w:rPr>
              <w:t>Interest income and other non-operating</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1,131</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1,216</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61</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1,338</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net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Equity income</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276</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874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spacing w:after="0"/>
              <w:rPr>
                <w:sz w:val="20"/>
                <w:szCs w:val="20"/>
                <w:color w:val="auto"/>
              </w:rPr>
            </w:pPr>
            <w:r>
              <w:rPr>
                <w:rFonts w:ascii="Arial" w:cs="Arial" w:eastAsia="Arial" w:hAnsi="Arial"/>
                <w:sz w:val="10"/>
                <w:szCs w:val="10"/>
                <w:color w:val="auto"/>
              </w:rPr>
              <w:t>Income (loss) before income taxes</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3,648</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1,663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4,656</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6,911</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w:t>
            </w:r>
          </w:p>
        </w:tc>
        <w:tc>
          <w:tcPr>
            <w:tcW w:w="4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1,606</w:t>
            </w: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7,791</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6,859</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w w:val="98"/>
              </w:rPr>
              <w:t>Net loss attributable to noncontrolling interests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 attributable to stockholders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6,926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40" w:type="dxa"/>
            <w:vAlign w:val="bottom"/>
            <w:shd w:val="clear" w:color="auto" w:fill="CCEEFF"/>
          </w:tcPr>
          <w:p>
            <w:pPr>
              <w:spacing w:after="0" w:line="79" w:lineRule="exact"/>
              <w:rPr>
                <w:sz w:val="20"/>
                <w:szCs w:val="20"/>
                <w:color w:val="auto"/>
              </w:rPr>
            </w:pPr>
            <w:r>
              <w:rPr>
                <w:rFonts w:ascii="Arial" w:cs="Arial" w:eastAsia="Arial" w:hAnsi="Arial"/>
                <w:sz w:val="9"/>
                <w:szCs w:val="9"/>
                <w:b w:val="1"/>
                <w:bCs w:val="1"/>
                <w:color w:val="auto"/>
              </w:rPr>
              <w:t>Net income attributable to common</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3,446</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6,813</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gridSpan w:val="3"/>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440" w:top="696" w:right="319" w:bottom="1440" w:gutter="0" w:footer="0" w:header="0"/>
        </w:sectPr>
      </w:pPr>
    </w:p>
    <w:bookmarkStart w:id="16" w:name="page17"/>
    <w:bookmarkEnd w:id="16"/>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101" w:lineRule="exact"/>
        <w:rPr>
          <w:sz w:val="20"/>
          <w:szCs w:val="20"/>
          <w:color w:val="auto"/>
        </w:rPr>
      </w:pPr>
    </w:p>
    <w:tbl>
      <w:tblPr>
        <w:tblLayout w:type="fixed"/>
        <w:tblInd w:w="80" w:type="dxa"/>
        <w:tblCellMar>
          <w:top w:w="0" w:type="dxa"/>
          <w:left w:w="0" w:type="dxa"/>
          <w:bottom w:w="0" w:type="dxa"/>
          <w:right w:w="0" w:type="dxa"/>
        </w:tblCellMar>
      </w:tblPr>
      <w:tr>
        <w:trPr>
          <w:trHeight w:val="143"/>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5"/>
          </w:tcPr>
          <w:p>
            <w:pPr>
              <w:ind w:left="82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2"/>
                <w:szCs w:val="12"/>
                <w:color w:val="auto"/>
              </w:rPr>
            </w:pPr>
          </w:p>
        </w:tc>
        <w:tc>
          <w:tcPr>
            <w:tcW w:w="2780" w:type="dxa"/>
            <w:vAlign w:val="bottom"/>
            <w:gridSpan w:val="4"/>
          </w:tcPr>
          <w:p>
            <w:pPr>
              <w:jc w:val="right"/>
              <w:ind w:right="958"/>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5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2020</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2020</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September 30, 2019</w:t>
            </w:r>
          </w:p>
        </w:tc>
      </w:tr>
      <w:tr>
        <w:trPr>
          <w:trHeight w:val="129"/>
        </w:trPr>
        <w:tc>
          <w:tcPr>
            <w:tcW w:w="5260" w:type="dxa"/>
            <w:vAlign w:val="bottom"/>
          </w:tcPr>
          <w:p>
            <w:pPr>
              <w:spacing w:after="0"/>
              <w:rPr>
                <w:sz w:val="20"/>
                <w:szCs w:val="20"/>
                <w:color w:val="auto"/>
              </w:rPr>
            </w:pPr>
            <w:r>
              <w:rPr>
                <w:rFonts w:ascii="Arial" w:cs="Arial" w:eastAsia="Arial" w:hAnsi="Arial"/>
                <w:sz w:val="11"/>
                <w:szCs w:val="11"/>
                <w:b w:val="1"/>
                <w:bCs w:val="1"/>
                <w:color w:val="auto"/>
              </w:rPr>
              <w:t>Basic earnings per share</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r>
      <w:tr>
        <w:trPr>
          <w:trHeight w:val="170"/>
        </w:trPr>
        <w:tc>
          <w:tcPr>
            <w:tcW w:w="5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attributable to stockholders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6,926</w:t>
            </w:r>
          </w:p>
        </w:tc>
      </w:tr>
      <w:tr>
        <w:trPr>
          <w:trHeight w:val="170"/>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cumulative dividends on subsidiary preferred stock</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r>
      <w:tr>
        <w:trPr>
          <w:trHeight w:val="185"/>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 attributable to common stockholders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0"/>
        </w:trPr>
        <w:tc>
          <w:tcPr>
            <w:tcW w:w="5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w:t>
            </w:r>
          </w:p>
        </w:tc>
      </w:tr>
      <w:tr>
        <w:trPr>
          <w:trHeight w:val="85"/>
        </w:trPr>
        <w:tc>
          <w:tcPr>
            <w:tcW w:w="5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170"/>
        </w:trPr>
        <w:tc>
          <w:tcPr>
            <w:tcW w:w="5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 earnings per common share</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r>
      <w:tr>
        <w:trPr>
          <w:trHeight w:val="149"/>
        </w:trPr>
        <w:tc>
          <w:tcPr>
            <w:tcW w:w="5260" w:type="dxa"/>
            <w:vAlign w:val="bottom"/>
          </w:tcPr>
          <w:p>
            <w:pPr>
              <w:spacing w:after="0"/>
              <w:rPr>
                <w:sz w:val="20"/>
                <w:szCs w:val="20"/>
                <w:color w:val="auto"/>
              </w:rPr>
            </w:pPr>
            <w:r>
              <w:rPr>
                <w:rFonts w:ascii="Arial" w:cs="Arial" w:eastAsia="Arial" w:hAnsi="Arial"/>
                <w:sz w:val="11"/>
                <w:szCs w:val="11"/>
                <w:b w:val="1"/>
                <w:bCs w:val="1"/>
                <w:color w:val="auto"/>
              </w:rPr>
              <w:t>Diluted earnings per share</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0"/>
        </w:trPr>
        <w:tc>
          <w:tcPr>
            <w:tcW w:w="5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attributable to common stockholders – diluted</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6,813</w:t>
            </w:r>
          </w:p>
        </w:tc>
      </w:tr>
      <w:tr>
        <w:trPr>
          <w:trHeight w:val="85"/>
        </w:trPr>
        <w:tc>
          <w:tcPr>
            <w:tcW w:w="5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170"/>
        </w:trPr>
        <w:tc>
          <w:tcPr>
            <w:tcW w:w="5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 – diluted</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r>
      <w:tr>
        <w:trPr>
          <w:trHeight w:val="85"/>
        </w:trPr>
        <w:tc>
          <w:tcPr>
            <w:tcW w:w="5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170"/>
        </w:trPr>
        <w:tc>
          <w:tcPr>
            <w:tcW w:w="5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Diluted earnings per common share</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r>
      <w:tr>
        <w:trPr>
          <w:trHeight w:val="174"/>
        </w:trPr>
        <w:tc>
          <w:tcPr>
            <w:tcW w:w="5260" w:type="dxa"/>
            <w:vAlign w:val="bottom"/>
          </w:tcPr>
          <w:p>
            <w:pPr>
              <w:ind w:left="80"/>
              <w:spacing w:after="0"/>
              <w:rPr>
                <w:sz w:val="20"/>
                <w:szCs w:val="20"/>
                <w:color w:val="auto"/>
              </w:rPr>
            </w:pPr>
            <w:r>
              <w:rPr>
                <w:rFonts w:ascii="Arial" w:cs="Arial" w:eastAsia="Arial" w:hAnsi="Arial"/>
                <w:sz w:val="11"/>
                <w:szCs w:val="11"/>
                <w:color w:val="auto"/>
              </w:rPr>
              <w:t>Potentially dilutive securities(a)</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20" w:hanging="235"/>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rFonts w:ascii="Arial" w:cs="Arial" w:eastAsia="Arial" w:hAnsi="Arial"/>
          <w:sz w:val="11"/>
          <w:szCs w:val="11"/>
          <w:color w:val="auto"/>
        </w:rPr>
      </w:pPr>
    </w:p>
    <w:p>
      <w:pPr>
        <w:spacing w:after="0" w:line="270" w:lineRule="exact"/>
        <w:rPr>
          <w:rFonts w:ascii="Arial" w:cs="Arial" w:eastAsia="Arial" w:hAnsi="Arial"/>
          <w:sz w:val="11"/>
          <w:szCs w:val="11"/>
          <w:color w:val="auto"/>
        </w:rPr>
      </w:pPr>
    </w:p>
    <w:p>
      <w:pPr>
        <w:ind w:left="5900"/>
        <w:spacing w:after="0"/>
        <w:rPr>
          <w:rFonts w:ascii="Arial" w:cs="Arial" w:eastAsia="Arial" w:hAnsi="Arial"/>
          <w:sz w:val="11"/>
          <w:szCs w:val="11"/>
          <w:color w:val="auto"/>
        </w:rPr>
      </w:pPr>
      <w:r>
        <w:rPr>
          <w:rFonts w:ascii="Arial" w:cs="Arial" w:eastAsia="Arial" w:hAnsi="Arial"/>
          <w:sz w:val="13"/>
          <w:szCs w:val="13"/>
          <w:color w:val="auto"/>
        </w:rPr>
        <w:t>10</w:t>
      </w:r>
    </w:p>
    <w:p>
      <w:pPr>
        <w:sectPr>
          <w:pgSz w:w="11900" w:h="16838" w:orient="portrait"/>
          <w:cols w:equalWidth="0" w:num="1">
            <w:col w:w="11360"/>
          </w:cols>
          <w:pgMar w:left="220" w:top="696" w:right="319" w:bottom="1440" w:gutter="0" w:footer="0" w:header="0"/>
        </w:sectPr>
      </w:pPr>
    </w:p>
    <w:bookmarkStart w:id="17" w:name="page18"/>
    <w:bookmarkEnd w:id="17"/>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September 30, 2020</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2019</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9"/>
                <w:szCs w:val="9"/>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18"/>
        </w:trPr>
        <w:tc>
          <w:tcPr>
            <w:tcW w:w="2260" w:type="dxa"/>
            <w:vAlign w:val="bottom"/>
          </w:tcPr>
          <w:p>
            <w:pPr>
              <w:ind w:left="940"/>
              <w:spacing w:after="0"/>
              <w:rPr>
                <w:sz w:val="20"/>
                <w:szCs w:val="20"/>
                <w:color w:val="auto"/>
              </w:rPr>
            </w:pPr>
            <w:r>
              <w:rPr>
                <w:rFonts w:ascii="Arial" w:cs="Arial" w:eastAsia="Arial" w:hAnsi="Arial"/>
                <w:sz w:val="10"/>
                <w:szCs w:val="10"/>
                <w:b w:val="1"/>
                <w:bCs w:val="1"/>
                <w:color w:val="auto"/>
              </w:rPr>
              <w:t>ASSETS</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4,705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26,939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13,409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19,069</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rPr>
                <w:sz w:val="20"/>
                <w:szCs w:val="20"/>
                <w:color w:val="auto"/>
              </w:rPr>
            </w:pPr>
            <w:r>
              <w:rPr>
                <w:rFonts w:ascii="Arial" w:cs="Arial" w:eastAsia="Arial" w:hAnsi="Arial"/>
                <w:sz w:val="10"/>
                <w:szCs w:val="10"/>
                <w:color w:val="auto"/>
              </w:rPr>
              <w:t>Marketable debt securities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8,527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1,462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9,962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3,908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4,174</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Accounts and notes receivable, net(b)</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1,139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9,939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6,797</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rPr>
                <w:sz w:val="20"/>
                <w:szCs w:val="20"/>
                <w:color w:val="auto"/>
              </w:rPr>
            </w:pPr>
            <w:r>
              <w:rPr>
                <w:rFonts w:ascii="Arial" w:cs="Arial" w:eastAsia="Arial" w:hAnsi="Arial"/>
                <w:sz w:val="10"/>
                <w:szCs w:val="10"/>
                <w:color w:val="auto"/>
              </w:rPr>
              <w:t>GM Financial receivables, net(c)</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24,962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24,562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27,101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26,601</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Inventories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10,934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10,398</w:t>
            </w:r>
          </w:p>
        </w:tc>
        <w:tc>
          <w:tcPr>
            <w:tcW w:w="0" w:type="dxa"/>
            <w:vAlign w:val="bottom"/>
          </w:tcPr>
          <w:p>
            <w:pPr>
              <w:spacing w:after="0"/>
              <w:rPr>
                <w:sz w:val="1"/>
                <w:szCs w:val="1"/>
                <w:color w:val="auto"/>
              </w:rPr>
            </w:pPr>
          </w:p>
        </w:tc>
      </w:tr>
      <w:tr>
        <w:trPr>
          <w:trHeight w:val="136"/>
        </w:trPr>
        <w:tc>
          <w:tcPr>
            <w:tcW w:w="226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5,026</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6,841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2,517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5,424</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7,953</w:t>
            </w: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35,832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89,177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36,846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36,841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74,992</w:t>
            </w:r>
          </w:p>
        </w:tc>
        <w:tc>
          <w:tcPr>
            <w:tcW w:w="0" w:type="dxa"/>
            <w:vAlign w:val="bottom"/>
          </w:tcPr>
          <w:p>
            <w:pPr>
              <w:spacing w:after="0"/>
              <w:rPr>
                <w:sz w:val="1"/>
                <w:szCs w:val="1"/>
                <w:color w:val="auto"/>
              </w:rPr>
            </w:pPr>
          </w:p>
        </w:tc>
      </w:tr>
      <w:tr>
        <w:trPr>
          <w:trHeight w:val="138"/>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GM Financial receivables, net(c)</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30,191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30,191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26,372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26,355</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rPr>
                <w:sz w:val="20"/>
                <w:szCs w:val="20"/>
                <w:color w:val="auto"/>
              </w:rPr>
            </w:pPr>
            <w:r>
              <w:rPr>
                <w:rFonts w:ascii="Arial" w:cs="Arial" w:eastAsia="Arial" w:hAnsi="Arial"/>
                <w:sz w:val="10"/>
                <w:szCs w:val="10"/>
                <w:color w:val="auto"/>
              </w:rPr>
              <w:t>Equity in net assets of nonconsolidated affiliates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6,561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1,485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8,046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7,107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1,455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8,562</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Property,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36,989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38,374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38,750</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rPr>
                <w:sz w:val="20"/>
                <w:szCs w:val="20"/>
                <w:color w:val="auto"/>
              </w:rPr>
            </w:pPr>
            <w:r>
              <w:rPr>
                <w:rFonts w:ascii="Arial" w:cs="Arial" w:eastAsia="Arial" w:hAnsi="Arial"/>
                <w:sz w:val="10"/>
                <w:szCs w:val="10"/>
                <w:color w:val="auto"/>
              </w:rPr>
              <w:t>Goodwill and intangible assets, net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3,184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1,337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5,245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3,348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1,355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5,337</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Equipment on operating leases,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39,358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39,358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42,055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42,055</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23,660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(227)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23,970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24,582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24,640</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assets</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5,598</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392</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757</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6,695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6,123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863</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7,346</w:t>
            </w:r>
          </w:p>
        </w:tc>
        <w:tc>
          <w:tcPr>
            <w:tcW w:w="0" w:type="dxa"/>
            <w:vAlign w:val="bottom"/>
          </w:tcPr>
          <w:p>
            <w:pPr>
              <w:spacing w:after="0"/>
              <w:rPr>
                <w:sz w:val="1"/>
                <w:szCs w:val="1"/>
                <w:color w:val="auto"/>
              </w:rPr>
            </w:pPr>
          </w:p>
        </w:tc>
      </w:tr>
      <w:tr>
        <w:trPr>
          <w:trHeight w:val="126"/>
        </w:trPr>
        <w:tc>
          <w:tcPr>
            <w:tcW w:w="226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Total non-current assets</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75,670</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1,783</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73,094</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150,494</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79,533</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1,542</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72,040</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153,045</w:t>
            </w:r>
          </w:p>
        </w:tc>
        <w:tc>
          <w:tcPr>
            <w:tcW w:w="0" w:type="dxa"/>
            <w:vAlign w:val="bottom"/>
          </w:tcPr>
          <w:p>
            <w:pPr>
              <w:spacing w:after="0"/>
              <w:rPr>
                <w:sz w:val="1"/>
                <w:szCs w:val="1"/>
                <w:color w:val="auto"/>
              </w:rPr>
            </w:pPr>
          </w:p>
        </w:tc>
      </w:tr>
      <w:tr>
        <w:trPr>
          <w:trHeight w:val="15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128,241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3,815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108,926</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239,671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116,380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108,881</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0"/>
                <w:szCs w:val="10"/>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rPr>
                <w:sz w:val="20"/>
                <w:szCs w:val="20"/>
                <w:color w:val="auto"/>
              </w:rPr>
            </w:pPr>
            <w:r>
              <w:rPr>
                <w:rFonts w:ascii="Arial" w:cs="Arial" w:eastAsia="Arial" w:hAnsi="Arial"/>
                <w:sz w:val="10"/>
                <w:szCs w:val="10"/>
                <w:color w:val="auto"/>
              </w:rPr>
              <w:t>Accounts payable (principally trade)(b)</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20,878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804</w:t>
            </w:r>
          </w:p>
        </w:tc>
        <w:tc>
          <w:tcPr>
            <w:tcW w:w="10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(832)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20,914</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21,101</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109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644</w:t>
            </w:r>
          </w:p>
        </w:tc>
        <w:tc>
          <w:tcPr>
            <w:tcW w:w="1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(836)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21,018</w:t>
            </w:r>
          </w:p>
        </w:tc>
        <w:tc>
          <w:tcPr>
            <w:tcW w:w="0" w:type="dxa"/>
            <w:vAlign w:val="bottom"/>
          </w:tcPr>
          <w:p>
            <w:pPr>
              <w:spacing w:after="0"/>
              <w:rPr>
                <w:sz w:val="1"/>
                <w:szCs w:val="1"/>
                <w:color w:val="auto"/>
              </w:rPr>
            </w:pPr>
          </w:p>
        </w:tc>
      </w:tr>
      <w:tr>
        <w:trPr>
          <w:trHeight w:val="98"/>
        </w:trPr>
        <w:tc>
          <w:tcPr>
            <w:tcW w:w="2260" w:type="dxa"/>
            <w:vAlign w:val="bottom"/>
            <w:shd w:val="clear" w:color="auto" w:fill="CCEEFF"/>
          </w:tcPr>
          <w:p>
            <w:pPr>
              <w:ind w:left="100"/>
              <w:spacing w:after="0" w:line="98" w:lineRule="exact"/>
              <w:rPr>
                <w:sz w:val="20"/>
                <w:szCs w:val="20"/>
                <w:color w:val="auto"/>
              </w:rPr>
            </w:pPr>
            <w:r>
              <w:rPr>
                <w:rFonts w:ascii="Arial" w:cs="Arial" w:eastAsia="Arial" w:hAnsi="Arial"/>
                <w:sz w:val="10"/>
                <w:szCs w:val="10"/>
                <w:color w:val="auto"/>
              </w:rPr>
              <w:t>Short-term debt and current portion of long-term</w:t>
            </w: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ind w:left="220"/>
              <w:spacing w:after="0"/>
              <w:rPr>
                <w:sz w:val="20"/>
                <w:szCs w:val="20"/>
                <w:color w:val="auto"/>
              </w:rPr>
            </w:pPr>
            <w:r>
              <w:rPr>
                <w:rFonts w:ascii="Arial" w:cs="Arial" w:eastAsia="Arial" w:hAnsi="Arial"/>
                <w:sz w:val="10"/>
                <w:szCs w:val="10"/>
                <w:color w:val="auto"/>
              </w:rPr>
              <w:t>Automotive (c)</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2,271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2,397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1,897</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33,502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33,502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35,503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35,503</w:t>
            </w:r>
          </w:p>
        </w:tc>
        <w:tc>
          <w:tcPr>
            <w:tcW w:w="0" w:type="dxa"/>
            <w:vAlign w:val="bottom"/>
          </w:tcPr>
          <w:p>
            <w:pPr>
              <w:spacing w:after="0"/>
              <w:rPr>
                <w:sz w:val="1"/>
                <w:szCs w:val="1"/>
                <w:color w:val="auto"/>
              </w:rPr>
            </w:pPr>
          </w:p>
        </w:tc>
      </w:tr>
      <w:tr>
        <w:trPr>
          <w:trHeight w:val="136"/>
        </w:trPr>
        <w:tc>
          <w:tcPr>
            <w:tcW w:w="226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Accrued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19,304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4,453</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23,916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22,493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3,916</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26,487</w:t>
            </w: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42,853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38,759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80,603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45,990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40,064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84,905</w:t>
            </w:r>
          </w:p>
        </w:tc>
        <w:tc>
          <w:tcPr>
            <w:tcW w:w="0" w:type="dxa"/>
            <w:vAlign w:val="bottom"/>
          </w:tcPr>
          <w:p>
            <w:pPr>
              <w:spacing w:after="0"/>
              <w:rPr>
                <w:sz w:val="1"/>
                <w:szCs w:val="1"/>
                <w:color w:val="auto"/>
              </w:rPr>
            </w:pPr>
          </w:p>
        </w:tc>
      </w:tr>
      <w:tr>
        <w:trPr>
          <w:trHeight w:val="138"/>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ind w:left="220"/>
              <w:spacing w:after="0"/>
              <w:rPr>
                <w:sz w:val="20"/>
                <w:szCs w:val="20"/>
                <w:color w:val="auto"/>
              </w:rPr>
            </w:pPr>
            <w:r>
              <w:rPr>
                <w:rFonts w:ascii="Arial" w:cs="Arial" w:eastAsia="Arial" w:hAnsi="Arial"/>
                <w:sz w:val="10"/>
                <w:szCs w:val="10"/>
                <w:color w:val="auto"/>
              </w:rPr>
              <w:t>Automotive</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26,473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26,473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12,507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12,489</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55,320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55,320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53,435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53,435</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rPr>
                <w:sz w:val="20"/>
                <w:szCs w:val="20"/>
                <w:color w:val="auto"/>
              </w:rPr>
            </w:pPr>
            <w:r>
              <w:rPr>
                <w:rFonts w:ascii="Arial" w:cs="Arial" w:eastAsia="Arial" w:hAnsi="Arial"/>
                <w:sz w:val="10"/>
                <w:szCs w:val="10"/>
                <w:color w:val="auto"/>
              </w:rPr>
              <w:t>Postretirement benefits other than pensions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5,746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5,746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5,935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5,935</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Pensions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11,097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12,166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12,170</w:t>
            </w:r>
          </w:p>
        </w:tc>
        <w:tc>
          <w:tcPr>
            <w:tcW w:w="0" w:type="dxa"/>
            <w:vAlign w:val="bottom"/>
          </w:tcPr>
          <w:p>
            <w:pPr>
              <w:spacing w:after="0"/>
              <w:rPr>
                <w:sz w:val="1"/>
                <w:szCs w:val="1"/>
                <w:color w:val="auto"/>
              </w:rPr>
            </w:pPr>
          </w:p>
        </w:tc>
      </w:tr>
      <w:tr>
        <w:trPr>
          <w:trHeight w:val="136"/>
        </w:trPr>
        <w:tc>
          <w:tcPr>
            <w:tcW w:w="226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10,143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1,809</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12,424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10,518</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2,176</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13,146</w:t>
            </w: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non-current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53,455</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57,133</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111,060</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41,126</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55,615</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97,175</w:t>
            </w:r>
          </w:p>
        </w:tc>
        <w:tc>
          <w:tcPr>
            <w:tcW w:w="0" w:type="dxa"/>
            <w:vAlign w:val="bottom"/>
          </w:tcPr>
          <w:p>
            <w:pPr>
              <w:spacing w:after="0"/>
              <w:rPr>
                <w:sz w:val="1"/>
                <w:szCs w:val="1"/>
                <w:color w:val="auto"/>
              </w:rPr>
            </w:pPr>
          </w:p>
        </w:tc>
      </w:tr>
      <w:tr>
        <w:trPr>
          <w:trHeight w:val="126"/>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96,308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752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95,892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(1,290)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191,663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87,114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697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95,679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182,080</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60"/>
              <w:spacing w:after="0"/>
              <w:rPr>
                <w:sz w:val="20"/>
                <w:szCs w:val="20"/>
                <w:color w:val="auto"/>
              </w:rPr>
            </w:pPr>
            <w:r>
              <w:rPr>
                <w:rFonts w:ascii="Arial" w:cs="Arial" w:eastAsia="Arial" w:hAnsi="Arial"/>
                <w:sz w:val="10"/>
                <w:szCs w:val="10"/>
                <w:color w:val="auto"/>
              </w:rPr>
              <w:t>Common stock, $0.01 par value</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6"/>
        </w:trPr>
        <w:tc>
          <w:tcPr>
            <w:tcW w:w="2260" w:type="dxa"/>
            <w:vAlign w:val="bottom"/>
          </w:tcPr>
          <w:p>
            <w:pPr>
              <w:ind w:left="60"/>
              <w:spacing w:after="0"/>
              <w:rPr>
                <w:sz w:val="20"/>
                <w:szCs w:val="20"/>
                <w:color w:val="auto"/>
              </w:rPr>
            </w:pPr>
            <w:r>
              <w:rPr>
                <w:rFonts w:ascii="Arial" w:cs="Arial" w:eastAsia="Arial" w:hAnsi="Arial"/>
                <w:sz w:val="10"/>
                <w:szCs w:val="10"/>
                <w:color w:val="auto"/>
              </w:rPr>
              <w:t>Preferred stock, $0.01 par value</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Additional paid-in capital(d)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26,160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1,730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26,148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26,095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26,074</w:t>
            </w:r>
          </w:p>
        </w:tc>
        <w:tc>
          <w:tcPr>
            <w:tcW w:w="0" w:type="dxa"/>
            <w:vAlign w:val="bottom"/>
          </w:tcPr>
          <w:p>
            <w:pPr>
              <w:spacing w:after="0"/>
              <w:rPr>
                <w:sz w:val="1"/>
                <w:szCs w:val="1"/>
                <w:color w:val="auto"/>
              </w:rPr>
            </w:pPr>
          </w:p>
        </w:tc>
      </w:tr>
      <w:tr>
        <w:trPr>
          <w:trHeight w:val="136"/>
        </w:trPr>
        <w:tc>
          <w:tcPr>
            <w:tcW w:w="2260" w:type="dxa"/>
            <w:vAlign w:val="bottom"/>
          </w:tcPr>
          <w:p>
            <w:pPr>
              <w:ind w:left="60"/>
              <w:spacing w:after="0"/>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15,215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12,843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29,134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12,303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13,013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26,860</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(11,156)</w:t>
            </w:r>
          </w:p>
        </w:tc>
        <w:tc>
          <w:tcPr>
            <w:tcW w:w="0" w:type="dxa"/>
            <w:vAlign w:val="bottom"/>
          </w:tcPr>
          <w:p>
            <w:pPr>
              <w:spacing w:after="0"/>
              <w:rPr>
                <w:sz w:val="1"/>
                <w:szCs w:val="1"/>
                <w:color w:val="auto"/>
              </w:rPr>
            </w:pPr>
          </w:p>
        </w:tc>
      </w:tr>
      <w:tr>
        <w:trPr>
          <w:trHeight w:val="126"/>
        </w:trPr>
        <w:tc>
          <w:tcPr>
            <w:tcW w:w="2260" w:type="dxa"/>
            <w:vAlign w:val="bottom"/>
          </w:tcPr>
          <w:p>
            <w:pPr>
              <w:ind w:left="60"/>
              <w:spacing w:after="0"/>
              <w:rPr>
                <w:sz w:val="20"/>
                <w:szCs w:val="20"/>
                <w:color w:val="auto"/>
              </w:rPr>
            </w:pPr>
            <w:r>
              <w:rPr>
                <w:rFonts w:ascii="Arial" w:cs="Arial" w:eastAsia="Arial" w:hAnsi="Arial"/>
                <w:sz w:val="10"/>
                <w:szCs w:val="10"/>
                <w:color w:val="auto"/>
              </w:rPr>
              <w:t>Total stockholders’ equity</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30,973</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1,155</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13,034</w:t>
            </w: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(1,822)</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43,341</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28,348</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1,617</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13,202</w:t>
            </w: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(1,376)</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41,792</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60"/>
              <w:spacing w:after="0"/>
              <w:rPr>
                <w:sz w:val="20"/>
                <w:szCs w:val="20"/>
                <w:color w:val="auto"/>
              </w:rPr>
            </w:pPr>
            <w:r>
              <w:rPr>
                <w:rFonts w:ascii="Arial" w:cs="Arial" w:eastAsia="Arial" w:hAnsi="Arial"/>
                <w:sz w:val="10"/>
                <w:szCs w:val="10"/>
                <w:color w:val="auto"/>
              </w:rPr>
              <w:t>Noncontrolling interests(d)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4,165</w:t>
            </w:r>
          </w:p>
        </w:tc>
        <w:tc>
          <w:tcPr>
            <w:tcW w:w="0" w:type="dxa"/>
            <w:vAlign w:val="bottom"/>
          </w:tcPr>
          <w:p>
            <w:pPr>
              <w:spacing w:after="0"/>
              <w:rPr>
                <w:sz w:val="1"/>
                <w:szCs w:val="1"/>
                <w:color w:val="auto"/>
              </w:rPr>
            </w:pPr>
          </w:p>
        </w:tc>
      </w:tr>
      <w:tr>
        <w:trPr>
          <w:trHeight w:val="126"/>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31,933</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3,063</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13,034</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48,008</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29,266</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3,533</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13,202</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45,957</w:t>
            </w:r>
          </w:p>
        </w:tc>
        <w:tc>
          <w:tcPr>
            <w:tcW w:w="0" w:type="dxa"/>
            <w:vAlign w:val="bottom"/>
          </w:tcPr>
          <w:p>
            <w:pPr>
              <w:spacing w:after="0"/>
              <w:rPr>
                <w:sz w:val="1"/>
                <w:szCs w:val="1"/>
                <w:color w:val="auto"/>
              </w:rPr>
            </w:pPr>
          </w:p>
        </w:tc>
      </w:tr>
      <w:tr>
        <w:trPr>
          <w:trHeight w:val="15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128,241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3,815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108,926</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239,671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116,380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108,881</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8"/>
                <w:szCs w:val="8"/>
                <w:color w:val="auto"/>
              </w:rPr>
              <w:t>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line="249" w:lineRule="auto"/>
        <w:tabs>
          <w:tab w:leader="none" w:pos="257"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primarily include GM Financial accounts receivable of $567 million offset by Automotive accounts payable and Automotive accounts receivable of $235 million offset by GM Financial accounts payable at September 30, 2020 and GM Financial accounts receivable of $678 million offset by Automotive accounts payable and Automotive accounts receivable of $78 million offset by GM Financial accounts payable at December 31, 2019.</w:t>
      </w: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include GM Financial loan receivable of $400 million and $517 million offset by an Automotive loan payable at September 30, 2020 and December 31, 2019.</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w:t>
      </w:r>
    </w:p>
    <w:p>
      <w:pPr>
        <w:spacing w:after="0" w:line="200" w:lineRule="exact"/>
        <w:rPr>
          <w:sz w:val="20"/>
          <w:szCs w:val="20"/>
          <w:color w:val="auto"/>
        </w:rPr>
      </w:pPr>
    </w:p>
    <w:p>
      <w:pPr>
        <w:spacing w:after="0" w:line="28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696" w:right="319" w:bottom="1440" w:gutter="0" w:footer="0" w:header="0"/>
        </w:sectPr>
      </w:pPr>
    </w:p>
    <w:bookmarkStart w:id="18" w:name="page19"/>
    <w:bookmarkEnd w:id="18"/>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ind w:left="260"/>
              <w:spacing w:after="0"/>
              <w:rPr>
                <w:sz w:val="20"/>
                <w:szCs w:val="20"/>
                <w:color w:val="auto"/>
              </w:rPr>
            </w:pPr>
            <w:r>
              <w:rPr>
                <w:rFonts w:ascii="Arial" w:cs="Arial" w:eastAsia="Arial" w:hAnsi="Arial"/>
                <w:sz w:val="10"/>
                <w:szCs w:val="10"/>
                <w:b w:val="1"/>
                <w:bCs w:val="1"/>
                <w:color w:val="auto"/>
              </w:rPr>
              <w:t>Nine Months Ended September 30, 2020</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6"/>
          </w:tcPr>
          <w:p>
            <w:pPr>
              <w:ind w:left="260"/>
              <w:spacing w:after="0"/>
              <w:rPr>
                <w:sz w:val="20"/>
                <w:szCs w:val="20"/>
                <w:color w:val="auto"/>
              </w:rPr>
            </w:pPr>
            <w:r>
              <w:rPr>
                <w:rFonts w:ascii="Arial" w:cs="Arial" w:eastAsia="Arial" w:hAnsi="Arial"/>
                <w:sz w:val="10"/>
                <w:szCs w:val="10"/>
                <w:b w:val="1"/>
                <w:bCs w:val="1"/>
                <w:color w:val="auto"/>
              </w:rPr>
              <w:t>Nine Months Ended September 30, 2019</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760" w:type="dxa"/>
            <w:vAlign w:val="bottom"/>
            <w:gridSpan w:val="3"/>
          </w:tcPr>
          <w:p>
            <w:pPr>
              <w:ind w:left="8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9"/>
                <w:szCs w:val="9"/>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6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64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3"/>
        </w:trPr>
        <w:tc>
          <w:tcPr>
            <w:tcW w:w="2360" w:type="dxa"/>
            <w:vAlign w:val="bottom"/>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3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6,192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6,859</w:t>
            </w: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6" w:lineRule="exact"/>
              <w:rPr>
                <w:sz w:val="20"/>
                <w:szCs w:val="20"/>
                <w:color w:val="auto"/>
              </w:rPr>
            </w:pPr>
            <w:r>
              <w:rPr>
                <w:rFonts w:ascii="Arial" w:cs="Arial" w:eastAsia="Arial" w:hAnsi="Arial"/>
                <w:sz w:val="10"/>
                <w:szCs w:val="10"/>
                <w:color w:val="auto"/>
              </w:rPr>
              <w:t>Depreciation and impairment of Equipment on</w:t>
            </w: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5,515</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5,518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5,525</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5,573</w:t>
            </w:r>
          </w:p>
        </w:tc>
        <w:tc>
          <w:tcPr>
            <w:tcW w:w="0" w:type="dxa"/>
            <w:vAlign w:val="bottom"/>
          </w:tcPr>
          <w:p>
            <w:pPr>
              <w:spacing w:after="0"/>
              <w:rPr>
                <w:sz w:val="1"/>
                <w:szCs w:val="1"/>
                <w:color w:val="auto"/>
              </w:rPr>
            </w:pPr>
          </w:p>
        </w:tc>
      </w:tr>
      <w:tr>
        <w:trPr>
          <w:trHeight w:val="136"/>
        </w:trPr>
        <w:tc>
          <w:tcPr>
            <w:tcW w:w="2360" w:type="dxa"/>
            <w:vAlign w:val="bottom"/>
          </w:tcPr>
          <w:p>
            <w:pPr>
              <w:ind w:left="220"/>
              <w:spacing w:after="0"/>
              <w:rPr>
                <w:sz w:val="20"/>
                <w:szCs w:val="20"/>
                <w:color w:val="auto"/>
              </w:rPr>
            </w:pPr>
            <w:r>
              <w:rPr>
                <w:rFonts w:ascii="Arial" w:cs="Arial" w:eastAsia="Arial" w:hAnsi="Arial"/>
                <w:sz w:val="10"/>
                <w:szCs w:val="10"/>
                <w:color w:val="auto"/>
              </w:rPr>
              <w:t>operating leases, net</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shd w:val="clear" w:color="auto" w:fill="CCEEFF"/>
          </w:tcPr>
          <w:p>
            <w:pPr>
              <w:ind w:left="100"/>
              <w:spacing w:after="0" w:line="98" w:lineRule="exact"/>
              <w:rPr>
                <w:sz w:val="20"/>
                <w:szCs w:val="20"/>
                <w:color w:val="auto"/>
              </w:rPr>
            </w:pPr>
            <w:r>
              <w:rPr>
                <w:rFonts w:ascii="Arial" w:cs="Arial" w:eastAsia="Arial" w:hAnsi="Arial"/>
                <w:sz w:val="10"/>
                <w:szCs w:val="10"/>
                <w:color w:val="auto"/>
                <w:w w:val="99"/>
              </w:rPr>
              <w:t>Depreciation, amortization and impairment charges</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4,135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4,217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5,189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5,259</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on Property, net</w:t>
            </w: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6" w:lineRule="exact"/>
              <w:rPr>
                <w:sz w:val="20"/>
                <w:szCs w:val="20"/>
                <w:color w:val="auto"/>
              </w:rPr>
            </w:pPr>
            <w:r>
              <w:rPr>
                <w:rFonts w:ascii="Arial" w:cs="Arial" w:eastAsia="Arial" w:hAnsi="Arial"/>
                <w:sz w:val="10"/>
                <w:szCs w:val="10"/>
                <w:color w:val="auto"/>
              </w:rPr>
              <w:t>Foreign currency remeasurement and transaction</w:t>
            </w: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52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50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(164)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(170)</w:t>
            </w:r>
          </w:p>
        </w:tc>
        <w:tc>
          <w:tcPr>
            <w:tcW w:w="0" w:type="dxa"/>
            <w:vAlign w:val="bottom"/>
          </w:tcPr>
          <w:p>
            <w:pPr>
              <w:spacing w:after="0"/>
              <w:rPr>
                <w:sz w:val="1"/>
                <w:szCs w:val="1"/>
                <w:color w:val="auto"/>
              </w:rPr>
            </w:pPr>
          </w:p>
        </w:tc>
      </w:tr>
      <w:tr>
        <w:trPr>
          <w:trHeight w:val="136"/>
        </w:trPr>
        <w:tc>
          <w:tcPr>
            <w:tcW w:w="2360" w:type="dxa"/>
            <w:vAlign w:val="bottom"/>
          </w:tcPr>
          <w:p>
            <w:pPr>
              <w:ind w:left="220"/>
              <w:spacing w:after="0"/>
              <w:rPr>
                <w:sz w:val="20"/>
                <w:szCs w:val="20"/>
                <w:color w:val="auto"/>
              </w:rPr>
            </w:pPr>
            <w:r>
              <w:rPr>
                <w:rFonts w:ascii="Arial" w:cs="Arial" w:eastAsia="Arial" w:hAnsi="Arial"/>
                <w:sz w:val="10"/>
                <w:szCs w:val="10"/>
                <w:color w:val="auto"/>
              </w:rPr>
              <w:t>gains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shd w:val="clear" w:color="auto" w:fill="CCEEFF"/>
          </w:tcPr>
          <w:p>
            <w:pPr>
              <w:ind w:left="100"/>
              <w:spacing w:after="0" w:line="98" w:lineRule="exact"/>
              <w:rPr>
                <w:sz w:val="20"/>
                <w:szCs w:val="20"/>
                <w:color w:val="auto"/>
              </w:rPr>
            </w:pPr>
            <w:r>
              <w:rPr>
                <w:rFonts w:ascii="Arial" w:cs="Arial" w:eastAsia="Arial" w:hAnsi="Arial"/>
                <w:sz w:val="10"/>
                <w:szCs w:val="10"/>
                <w:color w:val="auto"/>
              </w:rPr>
              <w:t>Undistributed earnings of nonconsolidated</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(113)</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137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370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(126)</w:t>
            </w: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243</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affiliates, net</w:t>
            </w: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60" w:type="dxa"/>
            <w:vAlign w:val="bottom"/>
          </w:tcPr>
          <w:p>
            <w:pPr>
              <w:ind w:left="10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(789)</w:t>
            </w: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(351)</w:t>
            </w:r>
          </w:p>
        </w:tc>
        <w:tc>
          <w:tcPr>
            <w:tcW w:w="0" w:type="dxa"/>
            <w:vAlign w:val="bottom"/>
          </w:tcPr>
          <w:p>
            <w:pPr>
              <w:spacing w:after="0"/>
              <w:rPr>
                <w:sz w:val="1"/>
                <w:szCs w:val="1"/>
                <w:color w:val="auto"/>
              </w:rPr>
            </w:pPr>
          </w:p>
        </w:tc>
      </w:tr>
      <w:tr>
        <w:trPr>
          <w:trHeight w:val="136"/>
        </w:trPr>
        <w:tc>
          <w:tcPr>
            <w:tcW w:w="2360" w:type="dxa"/>
            <w:vAlign w:val="bottom"/>
          </w:tcPr>
          <w:p>
            <w:pPr>
              <w:ind w:left="10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(192)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214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700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(193)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332</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234</w:t>
            </w:r>
          </w:p>
        </w:tc>
        <w:tc>
          <w:tcPr>
            <w:tcW w:w="0" w:type="dxa"/>
            <w:vAlign w:val="bottom"/>
          </w:tcPr>
          <w:p>
            <w:pPr>
              <w:spacing w:after="0"/>
              <w:rPr>
                <w:sz w:val="1"/>
                <w:szCs w:val="1"/>
                <w:color w:val="auto"/>
              </w:rPr>
            </w:pPr>
          </w:p>
        </w:tc>
      </w:tr>
      <w:tr>
        <w:trPr>
          <w:trHeight w:val="98"/>
        </w:trPr>
        <w:tc>
          <w:tcPr>
            <w:tcW w:w="2360" w:type="dxa"/>
            <w:vAlign w:val="bottom"/>
            <w:shd w:val="clear" w:color="auto" w:fill="CCEEFF"/>
          </w:tcPr>
          <w:p>
            <w:pPr>
              <w:ind w:left="100"/>
              <w:spacing w:after="0" w:line="98" w:lineRule="exact"/>
              <w:rPr>
                <w:sz w:val="20"/>
                <w:szCs w:val="20"/>
                <w:color w:val="auto"/>
              </w:rPr>
            </w:pPr>
            <w:r>
              <w:rPr>
                <w:rFonts w:ascii="Arial" w:cs="Arial" w:eastAsia="Arial" w:hAnsi="Arial"/>
                <w:sz w:val="10"/>
                <w:szCs w:val="10"/>
                <w:color w:val="auto"/>
              </w:rPr>
              <w:t>Change in other operating assets and liabilities(b)</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(4,221)</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66</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(912)</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2,263</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(2,805)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(3,964)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(676)</w:t>
            </w: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(802)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(5,310)</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(c)(d)</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tcPr>
          <w:p>
            <w:pPr>
              <w:spacing w:after="0" w:line="76" w:lineRule="exact"/>
              <w:rPr>
                <w:sz w:val="20"/>
                <w:szCs w:val="20"/>
                <w:color w:val="auto"/>
              </w:rPr>
            </w:pPr>
            <w:r>
              <w:rPr>
                <w:rFonts w:ascii="Arial" w:cs="Arial" w:eastAsia="Arial" w:hAnsi="Arial"/>
                <w:sz w:val="7"/>
                <w:szCs w:val="7"/>
                <w:b w:val="1"/>
                <w:bCs w:val="1"/>
                <w:color w:val="auto"/>
              </w:rPr>
              <w:t>Net cash provided by (used in) operating</w:t>
            </w:r>
          </w:p>
        </w:tc>
        <w:tc>
          <w:tcPr>
            <w:tcW w:w="12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2,276</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(569)</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5,998</w:t>
            </w: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vMerge w:val="restart"/>
          </w:tcPr>
          <w:p>
            <w:pPr>
              <w:jc w:val="right"/>
              <w:ind w:right="11"/>
              <w:spacing w:after="0"/>
              <w:rPr>
                <w:sz w:val="20"/>
                <w:szCs w:val="20"/>
                <w:color w:val="auto"/>
              </w:rPr>
            </w:pPr>
            <w:r>
              <w:rPr>
                <w:rFonts w:ascii="Arial" w:cs="Arial" w:eastAsia="Arial" w:hAnsi="Arial"/>
                <w:sz w:val="10"/>
                <w:szCs w:val="10"/>
                <w:color w:val="auto"/>
              </w:rPr>
              <w:t>2,272</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9,977</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0"/>
                <w:szCs w:val="10"/>
                <w:color w:val="auto"/>
              </w:rPr>
              <w:t>6,623</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(562)</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6,304</w:t>
            </w: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(817)</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11,548</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60" w:type="dxa"/>
            <w:vAlign w:val="bottom"/>
          </w:tcPr>
          <w:p>
            <w:pPr>
              <w:ind w:left="10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(3,292)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(4,779)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(4,852)</w:t>
            </w:r>
          </w:p>
        </w:tc>
        <w:tc>
          <w:tcPr>
            <w:tcW w:w="0" w:type="dxa"/>
            <w:vAlign w:val="bottom"/>
          </w:tcPr>
          <w:p>
            <w:pPr>
              <w:spacing w:after="0"/>
              <w:rPr>
                <w:sz w:val="1"/>
                <w:szCs w:val="1"/>
                <w:color w:val="auto"/>
              </w:rPr>
            </w:pPr>
          </w:p>
        </w:tc>
      </w:tr>
      <w:tr>
        <w:trPr>
          <w:trHeight w:val="98"/>
        </w:trPr>
        <w:tc>
          <w:tcPr>
            <w:tcW w:w="2360" w:type="dxa"/>
            <w:vAlign w:val="bottom"/>
            <w:shd w:val="clear" w:color="auto" w:fill="CCEEFF"/>
          </w:tcPr>
          <w:p>
            <w:pPr>
              <w:ind w:left="100"/>
              <w:spacing w:after="0" w:line="98"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(9,269)</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(2,921)</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(12,190)</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(2,077)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(1,053)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(3,130)</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acquisitions</w:t>
            </w: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6"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5,260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1,776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7,018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0"/>
                <w:szCs w:val="10"/>
                <w:color w:val="auto"/>
              </w:rPr>
              <w:t>2,112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514</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(39)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2,587</w:t>
            </w:r>
          </w:p>
        </w:tc>
        <w:tc>
          <w:tcPr>
            <w:tcW w:w="0" w:type="dxa"/>
            <w:vAlign w:val="bottom"/>
          </w:tcPr>
          <w:p>
            <w:pPr>
              <w:spacing w:after="0"/>
              <w:rPr>
                <w:sz w:val="1"/>
                <w:szCs w:val="1"/>
                <w:color w:val="auto"/>
              </w:rPr>
            </w:pPr>
          </w:p>
        </w:tc>
      </w:tr>
      <w:tr>
        <w:trPr>
          <w:trHeight w:val="136"/>
        </w:trPr>
        <w:tc>
          <w:tcPr>
            <w:tcW w:w="2360" w:type="dxa"/>
            <w:vAlign w:val="bottom"/>
          </w:tcPr>
          <w:p>
            <w:pPr>
              <w:ind w:left="220"/>
              <w:spacing w:after="0"/>
              <w:rPr>
                <w:sz w:val="20"/>
                <w:szCs w:val="20"/>
                <w:color w:val="auto"/>
              </w:rPr>
            </w:pPr>
            <w:r>
              <w:rPr>
                <w:rFonts w:ascii="Arial" w:cs="Arial" w:eastAsia="Arial" w:hAnsi="Arial"/>
                <w:sz w:val="10"/>
                <w:szCs w:val="10"/>
                <w:color w:val="auto"/>
              </w:rPr>
              <w:t>liquidations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Purchases of finance receivables, net(b)(c)</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(22,419)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(20,466)</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(19,027)</w:t>
            </w: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6" w:lineRule="exact"/>
              <w:rPr>
                <w:sz w:val="20"/>
                <w:szCs w:val="20"/>
                <w:color w:val="auto"/>
              </w:rPr>
            </w:pPr>
            <w:r>
              <w:rPr>
                <w:rFonts w:ascii="Arial" w:cs="Arial" w:eastAsia="Arial" w:hAnsi="Arial"/>
                <w:sz w:val="10"/>
                <w:szCs w:val="10"/>
                <w:color w:val="auto"/>
              </w:rPr>
              <w:t>Principal collections and recoveries on finance</w:t>
            </w:r>
          </w:p>
        </w:tc>
        <w:tc>
          <w:tcPr>
            <w:tcW w:w="12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17,932</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(3,310)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14,622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17,733</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(645)</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17,088</w:t>
            </w:r>
          </w:p>
        </w:tc>
        <w:tc>
          <w:tcPr>
            <w:tcW w:w="0" w:type="dxa"/>
            <w:vAlign w:val="bottom"/>
          </w:tcPr>
          <w:p>
            <w:pPr>
              <w:spacing w:after="0"/>
              <w:rPr>
                <w:sz w:val="1"/>
                <w:szCs w:val="1"/>
                <w:color w:val="auto"/>
              </w:rPr>
            </w:pPr>
          </w:p>
        </w:tc>
      </w:tr>
      <w:tr>
        <w:trPr>
          <w:trHeight w:val="136"/>
        </w:trPr>
        <w:tc>
          <w:tcPr>
            <w:tcW w:w="2360" w:type="dxa"/>
            <w:vAlign w:val="bottom"/>
          </w:tcPr>
          <w:p>
            <w:pPr>
              <w:ind w:left="220"/>
              <w:spacing w:after="0"/>
              <w:rPr>
                <w:sz w:val="20"/>
                <w:szCs w:val="20"/>
                <w:color w:val="auto"/>
              </w:rPr>
            </w:pPr>
            <w:r>
              <w:rPr>
                <w:rFonts w:ascii="Arial" w:cs="Arial" w:eastAsia="Arial" w:hAnsi="Arial"/>
                <w:sz w:val="10"/>
                <w:szCs w:val="10"/>
                <w:color w:val="auto"/>
              </w:rPr>
              <w:t>receivables(b)(c)</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(10,468)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(12,488)</w:t>
            </w:r>
          </w:p>
        </w:tc>
        <w:tc>
          <w:tcPr>
            <w:tcW w:w="0" w:type="dxa"/>
            <w:vAlign w:val="bottom"/>
          </w:tcPr>
          <w:p>
            <w:pPr>
              <w:spacing w:after="0"/>
              <w:rPr>
                <w:sz w:val="1"/>
                <w:szCs w:val="1"/>
                <w:color w:val="auto"/>
              </w:rPr>
            </w:pPr>
          </w:p>
        </w:tc>
      </w:tr>
      <w:tr>
        <w:trPr>
          <w:trHeight w:val="136"/>
        </w:trPr>
        <w:tc>
          <w:tcPr>
            <w:tcW w:w="2360" w:type="dxa"/>
            <w:vAlign w:val="bottom"/>
          </w:tcPr>
          <w:p>
            <w:pPr>
              <w:ind w:left="10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9,937</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9,937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9,982</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9,983</w:t>
            </w: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investing activities(e)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20"/>
                <w:szCs w:val="20"/>
                <w:color w:val="auto"/>
              </w:rPr>
            </w:pPr>
            <w:r>
              <w:rPr>
                <w:rFonts w:ascii="Arial" w:cs="Arial" w:eastAsia="Arial" w:hAnsi="Arial"/>
                <w:sz w:val="10"/>
                <w:szCs w:val="10"/>
                <w:b w:val="1"/>
                <w:bCs w:val="1"/>
                <w:color w:val="auto"/>
              </w:rPr>
              <w:t>Net cash used in investing activities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(7,273)</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(1,227)</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(5,040)</w:t>
            </w: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(3,278)</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(16,819)</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(5,283)</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(578)</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(5,275)</w:t>
            </w: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1,443</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(9,691)</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360" w:type="dxa"/>
            <w:vAlign w:val="bottom"/>
          </w:tcPr>
          <w:p>
            <w:pPr>
              <w:ind w:left="100"/>
              <w:spacing w:after="0"/>
              <w:rPr>
                <w:sz w:val="20"/>
                <w:szCs w:val="20"/>
                <w:color w:val="auto"/>
              </w:rPr>
            </w:pPr>
            <w:r>
              <w:rPr>
                <w:rFonts w:ascii="Arial" w:cs="Arial" w:eastAsia="Arial" w:hAnsi="Arial"/>
                <w:sz w:val="10"/>
                <w:szCs w:val="10"/>
                <w:color w:val="auto"/>
              </w:rPr>
              <w:t>Net increase (decrease) in short-term debt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579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756</w:t>
            </w:r>
          </w:p>
        </w:tc>
        <w:tc>
          <w:tcPr>
            <w:tcW w:w="0" w:type="dxa"/>
            <w:vAlign w:val="bottom"/>
          </w:tcPr>
          <w:p>
            <w:pPr>
              <w:spacing w:after="0"/>
              <w:rPr>
                <w:sz w:val="1"/>
                <w:szCs w:val="1"/>
                <w:color w:val="auto"/>
              </w:rPr>
            </w:pPr>
          </w:p>
        </w:tc>
      </w:tr>
      <w:tr>
        <w:trPr>
          <w:trHeight w:val="98"/>
        </w:trPr>
        <w:tc>
          <w:tcPr>
            <w:tcW w:w="2360" w:type="dxa"/>
            <w:vAlign w:val="bottom"/>
            <w:shd w:val="clear" w:color="auto" w:fill="CCEEFF"/>
          </w:tcPr>
          <w:p>
            <w:pPr>
              <w:ind w:left="100"/>
              <w:spacing w:after="0" w:line="98" w:lineRule="exact"/>
              <w:rPr>
                <w:sz w:val="20"/>
                <w:szCs w:val="20"/>
                <w:color w:val="auto"/>
              </w:rPr>
            </w:pPr>
            <w:r>
              <w:rPr>
                <w:rFonts w:ascii="Arial" w:cs="Arial" w:eastAsia="Arial" w:hAnsi="Arial"/>
                <w:sz w:val="10"/>
                <w:szCs w:val="10"/>
                <w:color w:val="auto"/>
                <w:w w:val="99"/>
              </w:rPr>
              <w:t>Proceeds from issuance of debt (original maturities</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21,246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43,685</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64,931</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1,159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26,676</w:t>
            </w: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27,835</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greater than three months)</w:t>
            </w: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6" w:lineRule="exact"/>
              <w:rPr>
                <w:sz w:val="20"/>
                <w:szCs w:val="20"/>
                <w:color w:val="auto"/>
              </w:rPr>
            </w:pPr>
            <w:r>
              <w:rPr>
                <w:rFonts w:ascii="Arial" w:cs="Arial" w:eastAsia="Arial" w:hAnsi="Arial"/>
                <w:sz w:val="10"/>
                <w:szCs w:val="10"/>
                <w:color w:val="auto"/>
              </w:rPr>
              <w:t>Payments on debt (original maturities greater than</w:t>
            </w: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(6,704)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(44,100)</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vMerge w:val="restart"/>
          </w:tcPr>
          <w:p>
            <w:pPr>
              <w:jc w:val="right"/>
              <w:ind w:right="11"/>
              <w:spacing w:after="0"/>
              <w:rPr>
                <w:sz w:val="20"/>
                <w:szCs w:val="20"/>
                <w:color w:val="auto"/>
              </w:rPr>
            </w:pPr>
            <w:r>
              <w:rPr>
                <w:rFonts w:ascii="Arial" w:cs="Arial" w:eastAsia="Arial" w:hAnsi="Arial"/>
                <w:sz w:val="10"/>
                <w:szCs w:val="10"/>
                <w:color w:val="auto"/>
              </w:rPr>
              <w:t>145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(50,659)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(447)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(28,985)</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(29,432)</w:t>
            </w:r>
          </w:p>
        </w:tc>
        <w:tc>
          <w:tcPr>
            <w:tcW w:w="0" w:type="dxa"/>
            <w:vAlign w:val="bottom"/>
          </w:tcPr>
          <w:p>
            <w:pPr>
              <w:spacing w:after="0"/>
              <w:rPr>
                <w:sz w:val="1"/>
                <w:szCs w:val="1"/>
                <w:color w:val="auto"/>
              </w:rPr>
            </w:pPr>
          </w:p>
        </w:tc>
      </w:tr>
      <w:tr>
        <w:trPr>
          <w:trHeight w:val="136"/>
        </w:trPr>
        <w:tc>
          <w:tcPr>
            <w:tcW w:w="2360" w:type="dxa"/>
            <w:vAlign w:val="bottom"/>
          </w:tcPr>
          <w:p>
            <w:pPr>
              <w:ind w:left="220"/>
              <w:spacing w:after="0"/>
              <w:rPr>
                <w:sz w:val="20"/>
                <w:szCs w:val="20"/>
                <w:color w:val="auto"/>
              </w:rPr>
            </w:pPr>
            <w:r>
              <w:rPr>
                <w:rFonts w:ascii="Arial" w:cs="Arial" w:eastAsia="Arial" w:hAnsi="Arial"/>
                <w:sz w:val="10"/>
                <w:szCs w:val="10"/>
                <w:color w:val="auto"/>
              </w:rPr>
              <w:t>three months)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Proceeds from issuance of preferred stock(e)</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463</w:t>
            </w:r>
          </w:p>
        </w:tc>
        <w:tc>
          <w:tcPr>
            <w:tcW w:w="0" w:type="dxa"/>
            <w:vAlign w:val="bottom"/>
          </w:tcPr>
          <w:p>
            <w:pPr>
              <w:spacing w:after="0"/>
              <w:rPr>
                <w:sz w:val="1"/>
                <w:szCs w:val="1"/>
                <w:color w:val="auto"/>
              </w:rPr>
            </w:pPr>
          </w:p>
        </w:tc>
      </w:tr>
      <w:tr>
        <w:trPr>
          <w:trHeight w:val="136"/>
        </w:trPr>
        <w:tc>
          <w:tcPr>
            <w:tcW w:w="2360" w:type="dxa"/>
            <w:vAlign w:val="bottom"/>
          </w:tcPr>
          <w:p>
            <w:pPr>
              <w:ind w:left="100"/>
              <w:spacing w:after="0"/>
              <w:rPr>
                <w:sz w:val="20"/>
                <w:szCs w:val="20"/>
                <w:color w:val="auto"/>
              </w:rPr>
            </w:pPr>
            <w:r>
              <w:rPr>
                <w:rFonts w:ascii="Arial" w:cs="Arial" w:eastAsia="Arial" w:hAnsi="Arial"/>
                <w:sz w:val="10"/>
                <w:szCs w:val="10"/>
                <w:color w:val="auto"/>
              </w:rPr>
              <w:t>Dividends paid(d)</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(890)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800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(1,656)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(1,792)</w:t>
            </w: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financing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(457)</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56</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(175)</w:t>
            </w:r>
          </w:p>
        </w:tc>
        <w:tc>
          <w:tcPr>
            <w:tcW w:w="0" w:type="dxa"/>
            <w:vAlign w:val="bottom"/>
          </w:tcPr>
          <w:p>
            <w:pPr>
              <w:spacing w:after="0"/>
              <w:rPr>
                <w:sz w:val="1"/>
                <w:szCs w:val="1"/>
                <w:color w:val="auto"/>
              </w:rPr>
            </w:pPr>
          </w:p>
        </w:tc>
      </w:tr>
      <w:tr>
        <w:trPr>
          <w:trHeight w:val="75"/>
        </w:trPr>
        <w:tc>
          <w:tcPr>
            <w:tcW w:w="2360" w:type="dxa"/>
            <w:vAlign w:val="bottom"/>
          </w:tcPr>
          <w:p>
            <w:pPr>
              <w:spacing w:after="0" w:line="76" w:lineRule="exact"/>
              <w:rPr>
                <w:sz w:val="20"/>
                <w:szCs w:val="20"/>
                <w:color w:val="auto"/>
              </w:rPr>
            </w:pPr>
            <w:r>
              <w:rPr>
                <w:rFonts w:ascii="Arial" w:cs="Arial" w:eastAsia="Arial" w:hAnsi="Arial"/>
                <w:sz w:val="7"/>
                <w:szCs w:val="7"/>
                <w:b w:val="1"/>
                <w:bCs w:val="1"/>
                <w:color w:val="auto"/>
              </w:rPr>
              <w:t>Net cash provided by (used in) financing</w:t>
            </w:r>
          </w:p>
        </w:tc>
        <w:tc>
          <w:tcPr>
            <w:tcW w:w="12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13,537</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(370)</w:t>
            </w: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vMerge w:val="restart"/>
          </w:tcPr>
          <w:p>
            <w:pPr>
              <w:jc w:val="right"/>
              <w:ind w:right="11"/>
              <w:spacing w:after="0"/>
              <w:rPr>
                <w:sz w:val="20"/>
                <w:szCs w:val="20"/>
                <w:color w:val="auto"/>
              </w:rPr>
            </w:pPr>
            <w:r>
              <w:rPr>
                <w:rFonts w:ascii="Arial" w:cs="Arial" w:eastAsia="Arial" w:hAnsi="Arial"/>
                <w:sz w:val="10"/>
                <w:szCs w:val="10"/>
                <w:color w:val="auto"/>
              </w:rPr>
              <w:t>1,005</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14,159</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(344)</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1,100</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(2,475)</w:t>
            </w: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(628)</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(2,345)</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100"/>
              <w:spacing w:after="0" w:line="96" w:lineRule="exact"/>
              <w:rPr>
                <w:sz w:val="20"/>
                <w:szCs w:val="20"/>
                <w:color w:val="auto"/>
              </w:rPr>
            </w:pPr>
            <w:r>
              <w:rPr>
                <w:rFonts w:ascii="Arial" w:cs="Arial" w:eastAsia="Arial" w:hAnsi="Arial"/>
                <w:sz w:val="10"/>
                <w:szCs w:val="10"/>
                <w:color w:val="auto"/>
              </w:rPr>
              <w:t>Effect of exchange rate changes on cash, cash</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(265)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(404)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(109)</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equivalents and restricted cash</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tcPr>
          <w:p>
            <w:pPr>
              <w:ind w:left="100"/>
              <w:spacing w:after="0" w:line="76" w:lineRule="exact"/>
              <w:rPr>
                <w:sz w:val="20"/>
                <w:szCs w:val="20"/>
                <w:color w:val="auto"/>
              </w:rPr>
            </w:pPr>
            <w:r>
              <w:rPr>
                <w:rFonts w:ascii="Arial" w:cs="Arial" w:eastAsia="Arial" w:hAnsi="Arial"/>
                <w:sz w:val="7"/>
                <w:szCs w:val="7"/>
                <w:color w:val="auto"/>
              </w:rPr>
              <w:t>Net increase (decrease) in cash, cash equivalents</w:t>
            </w:r>
          </w:p>
        </w:tc>
        <w:tc>
          <w:tcPr>
            <w:tcW w:w="12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8,273</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(1,809)</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448</w:t>
            </w: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6"/>
                <w:szCs w:val="6"/>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6,913</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0"/>
                <w:szCs w:val="10"/>
                <w:color w:val="auto"/>
              </w:rPr>
              <w:t>909</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(597)</w:t>
            </w:r>
          </w:p>
        </w:tc>
        <w:tc>
          <w:tcPr>
            <w:tcW w:w="0" w:type="dxa"/>
            <w:vAlign w:val="bottom"/>
          </w:tcPr>
          <w:p>
            <w:pPr>
              <w:spacing w:after="0"/>
              <w:rPr>
                <w:sz w:val="1"/>
                <w:szCs w:val="1"/>
                <w:color w:val="auto"/>
              </w:rPr>
            </w:pPr>
          </w:p>
        </w:tc>
      </w:tr>
      <w:tr>
        <w:trPr>
          <w:trHeight w:val="134"/>
        </w:trPr>
        <w:tc>
          <w:tcPr>
            <w:tcW w:w="2360" w:type="dxa"/>
            <w:vAlign w:val="bottom"/>
          </w:tcPr>
          <w:p>
            <w:pPr>
              <w:ind w:left="220"/>
              <w:spacing w:after="0"/>
              <w:rPr>
                <w:sz w:val="20"/>
                <w:szCs w:val="20"/>
                <w:color w:val="auto"/>
              </w:rPr>
            </w:pPr>
            <w:r>
              <w:rPr>
                <w:rFonts w:ascii="Arial" w:cs="Arial" w:eastAsia="Arial" w:hAnsi="Arial"/>
                <w:sz w:val="10"/>
                <w:szCs w:val="10"/>
                <w:color w:val="auto"/>
              </w:rPr>
              <w:t>and restricted cash</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Cash, cash equivalents and restricted cash at</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13,487</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2,355</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7,102</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22,943</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13,762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2,291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7,443</w:t>
            </w: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23,496</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beginning of period</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tcPr>
          <w:p>
            <w:pPr>
              <w:spacing w:after="0" w:line="76" w:lineRule="exact"/>
              <w:rPr>
                <w:sz w:val="20"/>
                <w:szCs w:val="20"/>
                <w:color w:val="auto"/>
              </w:rPr>
            </w:pPr>
            <w:r>
              <w:rPr>
                <w:rFonts w:ascii="Arial" w:cs="Arial" w:eastAsia="Arial" w:hAnsi="Arial"/>
                <w:sz w:val="7"/>
                <w:szCs w:val="7"/>
                <w:b w:val="1"/>
                <w:bCs w:val="1"/>
                <w:color w:val="auto"/>
              </w:rPr>
              <w:t>Cash, cash equivalents and restricted cash at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21,760</w:t>
            </w:r>
          </w:p>
        </w:tc>
        <w:tc>
          <w:tcPr>
            <w:tcW w:w="10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545</w:t>
            </w:r>
          </w:p>
        </w:tc>
        <w:tc>
          <w:tcPr>
            <w:tcW w:w="80" w:type="dxa"/>
            <w:vAlign w:val="bottom"/>
          </w:tcPr>
          <w:p>
            <w:pPr>
              <w:spacing w:after="0"/>
              <w:rPr>
                <w:sz w:val="6"/>
                <w:szCs w:val="6"/>
                <w:color w:val="auto"/>
              </w:rPr>
            </w:pPr>
          </w:p>
        </w:tc>
        <w:tc>
          <w:tcPr>
            <w:tcW w:w="180" w:type="dxa"/>
            <w:vAlign w:val="bottom"/>
            <w:vMerge w:val="restart"/>
          </w:tcPr>
          <w:p>
            <w:pPr>
              <w:jc w:val="right"/>
              <w:ind w:right="53"/>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7,551</w:t>
            </w:r>
          </w:p>
        </w:tc>
        <w:tc>
          <w:tcPr>
            <w:tcW w:w="100" w:type="dxa"/>
            <w:vAlign w:val="bottom"/>
          </w:tcPr>
          <w:p>
            <w:pPr>
              <w:spacing w:after="0"/>
              <w:rPr>
                <w:sz w:val="6"/>
                <w:szCs w:val="6"/>
                <w:color w:val="auto"/>
              </w:rPr>
            </w:pPr>
          </w:p>
        </w:tc>
        <w:tc>
          <w:tcPr>
            <w:tcW w:w="88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29,856</w:t>
            </w:r>
          </w:p>
        </w:tc>
        <w:tc>
          <w:tcPr>
            <w:tcW w:w="8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1"/>
              <w:spacing w:after="0"/>
              <w:rPr>
                <w:sz w:val="20"/>
                <w:szCs w:val="20"/>
                <w:color w:val="auto"/>
              </w:rPr>
            </w:pPr>
            <w:r>
              <w:rPr>
                <w:rFonts w:ascii="Arial" w:cs="Arial" w:eastAsia="Arial" w:hAnsi="Arial"/>
                <w:sz w:val="10"/>
                <w:szCs w:val="10"/>
                <w:color w:val="auto"/>
              </w:rPr>
              <w:t>14,670</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2,251</w:t>
            </w:r>
          </w:p>
        </w:tc>
        <w:tc>
          <w:tcPr>
            <w:tcW w:w="100" w:type="dxa"/>
            <w:vAlign w:val="bottom"/>
          </w:tcPr>
          <w:p>
            <w:pPr>
              <w:spacing w:after="0"/>
              <w:rPr>
                <w:sz w:val="6"/>
                <w:szCs w:val="6"/>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5,978</w:t>
            </w:r>
          </w:p>
        </w:tc>
        <w:tc>
          <w:tcPr>
            <w:tcW w:w="100" w:type="dxa"/>
            <w:vAlign w:val="bottom"/>
          </w:tcPr>
          <w:p>
            <w:pPr>
              <w:spacing w:after="0"/>
              <w:rPr>
                <w:sz w:val="6"/>
                <w:szCs w:val="6"/>
                <w:color w:val="auto"/>
              </w:rPr>
            </w:pPr>
          </w:p>
        </w:tc>
        <w:tc>
          <w:tcPr>
            <w:tcW w:w="9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22,899</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end of period</w:t>
            </w:r>
          </w:p>
        </w:tc>
        <w:tc>
          <w:tcPr>
            <w:tcW w:w="1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-11430</wp:posOffset>
            </wp:positionV>
            <wp:extent cx="56661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6985"/>
                    </a:xfrm>
                    <a:prstGeom prst="rect">
                      <a:avLst/>
                    </a:prstGeom>
                    <a:noFill/>
                  </pic:spPr>
                </pic:pic>
              </a:graphicData>
            </a:graphic>
          </wp:anchor>
        </w:drawing>
      </w:r>
    </w:p>
    <w:p>
      <w:pPr>
        <w:spacing w:after="0"/>
        <w:rPr>
          <w:sz w:val="20"/>
          <w:szCs w:val="20"/>
          <w:color w:val="auto"/>
        </w:rPr>
      </w:pPr>
      <w:r>
        <w:rPr>
          <w:rFonts w:ascii="Arial" w:cs="Arial" w:eastAsia="Arial" w:hAnsi="Arial"/>
          <w:sz w:val="8"/>
          <w:szCs w:val="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-49530</wp:posOffset>
            </wp:positionV>
            <wp:extent cx="56661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6985"/>
                    </a:xfrm>
                    <a:prstGeom prst="rect">
                      <a:avLst/>
                    </a:prstGeom>
                    <a:noFill/>
                  </pic:spPr>
                </pic:pic>
              </a:graphicData>
            </a:graphic>
          </wp:anchor>
        </w:drawing>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line="249" w:lineRule="auto"/>
        <w:tabs>
          <w:tab w:leader="none" w:pos="257" w:val="left"/>
        </w:tabs>
        <w:numPr>
          <w:ilvl w:val="0"/>
          <w:numId w:val="10"/>
        </w:numPr>
        <w:rPr>
          <w:rFonts w:ascii="Arial" w:cs="Arial" w:eastAsia="Arial" w:hAnsi="Arial"/>
          <w:sz w:val="8"/>
          <w:szCs w:val="8"/>
          <w:color w:val="auto"/>
        </w:rPr>
      </w:pPr>
      <w:r>
        <w:rPr>
          <w:rFonts w:ascii="Arial" w:cs="Arial" w:eastAsia="Arial" w:hAnsi="Arial"/>
          <w:sz w:val="8"/>
          <w:szCs w:val="8"/>
          <w:color w:val="auto"/>
        </w:rPr>
        <w:t>Includes reclassifications of $2.9 billion and $732 million in the nine months ended September 30, 2020 and 2019 for purchases/collections of wholesale finance receivables resulting from vehicles sold by GM to dealers that have arranged their inventory floor plan financing through GM Financial.</w:t>
      </w:r>
    </w:p>
    <w:p>
      <w:pPr>
        <w:spacing w:after="0" w:line="95" w:lineRule="exact"/>
        <w:rPr>
          <w:rFonts w:ascii="Arial" w:cs="Arial" w:eastAsia="Arial" w:hAnsi="Arial"/>
          <w:sz w:val="8"/>
          <w:szCs w:val="8"/>
          <w:color w:val="auto"/>
        </w:rPr>
      </w:pPr>
    </w:p>
    <w:p>
      <w:pPr>
        <w:ind w:left="260" w:hanging="255"/>
        <w:spacing w:after="0" w:line="249" w:lineRule="auto"/>
        <w:tabs>
          <w:tab w:leader="none" w:pos="253"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$125 million and $706 million in Purchases of finance receivables, net in the nine months ended September 30, 2020 and 2019; and $372 million and $645 million in Principal collections and recoveries on finance receivables in the nine months ended September 30, 2020 and 2019 primarily related to the re-timing of cash receipts and payments between Automotive and GM Financial.</w:t>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$689 million in the nine months ended September 30, 2019 primarily for Automotive cash injections in Cruise, inclusive of our investments of $687 million in Cruise Preferred Shares.</w:t>
      </w:r>
    </w:p>
    <w:p>
      <w:pPr>
        <w:spacing w:after="0" w:line="200" w:lineRule="exact"/>
        <w:rPr>
          <w:sz w:val="20"/>
          <w:szCs w:val="20"/>
          <w:color w:val="auto"/>
        </w:rPr>
      </w:pPr>
    </w:p>
    <w:p>
      <w:pPr>
        <w:spacing w:after="0" w:line="28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sectPr>
      <w:pgSz w:w="11900" w:h="16838" w:orient="portrait"/>
      <w:cols w:equalWidth="0" w:num="1">
        <w:col w:w="11280"/>
      </w:cols>
      <w:pgMar w:left="300" w:top="69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2020-11-05T08:34:18Z</dcterms:created>
  <dcterms:modified xsi:type="dcterms:W3CDTF">2020-11-05T08:34:18Z</dcterms:modified>
</cp:coreProperties>
</file>