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3"/>
        <w:spacing w:after="0"/>
        <w:rPr>
          <w:sz w:val="20"/>
          <w:szCs w:val="20"/>
          <w:color w:val="auto"/>
        </w:rPr>
      </w:pPr>
      <w:r>
        <w:rPr>
          <w:rFonts w:ascii="Arial" w:cs="Arial" w:eastAsia="Arial" w:hAnsi="Arial"/>
          <w:sz w:val="17"/>
          <w:szCs w:val="17"/>
          <w:color w:val="0000FF"/>
        </w:rPr>
        <w:t>Vice Chairman</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57,187</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03/15/2012</w:t>
            </w:r>
          </w:p>
        </w:tc>
        <w:tc>
          <w:tcPr>
            <w:tcW w:w="112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57,187</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tcPr>
          <w:p>
            <w:pPr>
              <w:ind w:left="2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45" w:lineRule="exact"/>
              <w:rPr>
                <w:sz w:val="20"/>
                <w:szCs w:val="20"/>
                <w:color w:val="auto"/>
              </w:rPr>
            </w:pPr>
            <w:r>
              <w:rPr>
                <w:rFonts w:ascii="Arial" w:cs="Arial" w:eastAsia="Arial" w:hAnsi="Arial"/>
                <w:sz w:val="13"/>
                <w:szCs w:val="13"/>
                <w:color w:val="0000FF"/>
              </w:rPr>
              <w:t>57,187</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March 15, 2012, pursuant to the Company's 2009 Long-Term Incentive Plan (the "GMLTP"). Two-thirds of the RSUs will vest on March 15, 2014, and the remaining one-third will vest on March 15, 2015, provided that the reporting person remains continuously employed through the vesting date. Each RSU represents a right to receive one share of the Company's common stock upon settlement. RSUs will be settled when they vest except that until all the Company's obligations under Treasury Regulation 31 CFR 30.1 (Q-1) (the "TARP Obligations") have been repaid, awards will be settled in increments of 25% for each 25% of the TARP Obligations that have been repaid.</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03/19/2012</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Girsky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2019-12-17T01:18:26Z</dcterms:created>
  <dcterms:modified xsi:type="dcterms:W3CDTF">2019-12-17T01:18:26Z</dcterms:modified>
</cp:coreProperties>
</file>