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ISDELL E NEVILLE</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8"/>
          </w:tcPr>
          <w:p>
            <w:pPr>
              <w:ind w:left="3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8"/>
          </w:tcPr>
          <w:p>
            <w:pPr>
              <w:ind w:left="5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4,340</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4,340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15,123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479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479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15,602</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2014 pursuant to the General Motors Company Deferred Compensation Plan (the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credited as DSUs will be paid in cash after the director leaves the Board. The Deferred Share Units do not have a conversion or exercise price, or an exercise or expiration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480" w:type="dxa"/>
            <w:vAlign w:val="bottom"/>
            <w:gridSpan w:val="2"/>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01/05/2015</w:t>
            </w:r>
          </w:p>
        </w:tc>
        <w:tc>
          <w:tcPr>
            <w:tcW w:w="0" w:type="dxa"/>
            <w:vAlign w:val="bottom"/>
          </w:tcPr>
          <w:p>
            <w:pPr>
              <w:spacing w:after="0"/>
              <w:rPr>
                <w:sz w:val="1"/>
                <w:szCs w:val="1"/>
                <w:color w:val="auto"/>
              </w:rPr>
            </w:pPr>
          </w:p>
        </w:tc>
      </w:tr>
      <w:tr>
        <w:trPr>
          <w:trHeight w:val="88"/>
        </w:trPr>
        <w:tc>
          <w:tcPr>
            <w:tcW w:w="208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1"/>
              </w:rPr>
              <w:t>attorney-in-fact for Mr. Isdell</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8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026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2019-12-24T07:24:15Z</dcterms:created>
  <dcterms:modified xsi:type="dcterms:W3CDTF">2019-12-24T07:24:15Z</dcterms:modified>
</cp:coreProperties>
</file>