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243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4319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6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SOLSO THEODORE M</w:t>
              </w:r>
            </w:hyperlink>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40" w:type="dxa"/>
            <w:vAlign w:val="bottom"/>
            <w:gridSpan w:val="7"/>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20" w:type="dxa"/>
            <w:vAlign w:val="bottom"/>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9"/>
            <w:vMerge w:val="continue"/>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300 RENAISSANCE CENTER</w:t>
            </w:r>
          </w:p>
        </w:tc>
        <w:tc>
          <w:tcPr>
            <w:tcW w:w="1140" w:type="dxa"/>
            <w:vAlign w:val="bottom"/>
          </w:tcPr>
          <w:p>
            <w:pPr>
              <w:spacing w:after="0"/>
              <w:rPr>
                <w:sz w:val="19"/>
                <w:szCs w:val="19"/>
                <w:color w:val="auto"/>
              </w:rPr>
            </w:pPr>
          </w:p>
        </w:tc>
        <w:tc>
          <w:tcPr>
            <w:tcW w:w="1360" w:type="dxa"/>
            <w:vAlign w:val="bottom"/>
            <w:gridSpan w:val="5"/>
          </w:tcPr>
          <w:p>
            <w:pPr>
              <w:ind w:left="260"/>
              <w:spacing w:after="0"/>
              <w:rPr>
                <w:sz w:val="20"/>
                <w:szCs w:val="20"/>
                <w:color w:val="auto"/>
              </w:rPr>
            </w:pPr>
            <w:r>
              <w:rPr>
                <w:rFonts w:ascii="Arial" w:cs="Arial" w:eastAsia="Arial" w:hAnsi="Arial"/>
                <w:sz w:val="17"/>
                <w:szCs w:val="17"/>
                <w:color w:val="0000FF"/>
              </w:rPr>
              <w:t>12/31/2015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7"/>
                <w:szCs w:val="17"/>
                <w:color w:val="0000FF"/>
              </w:rPr>
              <w:t>M/C: 482-C25-A36</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4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356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20" w:type="dxa"/>
            <w:vAlign w:val="bottom"/>
          </w:tcPr>
          <w:p>
            <w:pPr>
              <w:spacing w:after="0"/>
              <w:rPr>
                <w:sz w:val="8"/>
                <w:szCs w:val="8"/>
                <w:color w:val="auto"/>
              </w:rPr>
            </w:pPr>
          </w:p>
        </w:tc>
        <w:tc>
          <w:tcPr>
            <w:tcW w:w="35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6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DETROIT</w:t>
            </w:r>
          </w:p>
        </w:tc>
        <w:tc>
          <w:tcPr>
            <w:tcW w:w="220" w:type="dxa"/>
            <w:vAlign w:val="bottom"/>
          </w:tcPr>
          <w:p>
            <w:pPr>
              <w:spacing w:after="0"/>
              <w:rPr>
                <w:sz w:val="20"/>
                <w:szCs w:val="20"/>
                <w:color w:val="auto"/>
              </w:rPr>
            </w:pPr>
            <w:r>
              <w:rPr>
                <w:rFonts w:ascii="Arial" w:cs="Arial" w:eastAsia="Arial" w:hAnsi="Arial"/>
                <w:sz w:val="17"/>
                <w:szCs w:val="17"/>
                <w:color w:val="0000FF"/>
              </w:rPr>
              <w:t>MI</w:t>
            </w: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820" w:type="dxa"/>
            <w:vAlign w:val="bottom"/>
            <w:tcBorders>
              <w:top w:val="single" w:sz="8" w:color="2C2C2C"/>
            </w:tcBorders>
            <w:gridSpan w:val="19"/>
          </w:tcPr>
          <w:p>
            <w:pPr>
              <w:ind w:left="1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5"/>
                <w:szCs w:val="15"/>
                <w:color w:val="auto"/>
              </w:rPr>
            </w:pPr>
          </w:p>
        </w:tc>
        <w:tc>
          <w:tcPr>
            <w:tcW w:w="188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ind w:left="78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00" w:type="dxa"/>
            <w:vAlign w:val="bottom"/>
            <w:gridSpan w:val="5"/>
          </w:tcPr>
          <w:p>
            <w:pPr>
              <w:ind w:left="78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8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gridSpan w:val="5"/>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9"/>
          </w:tcPr>
          <w:p>
            <w:pPr>
              <w:ind w:left="3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80" w:type="dxa"/>
            <w:vAlign w:val="bottom"/>
            <w:gridSpan w:val="16"/>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8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(1)</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jc w:val="right"/>
              <w:ind w:right="6"/>
              <w:spacing w:after="0"/>
              <w:rPr>
                <w:sz w:val="20"/>
                <w:szCs w:val="20"/>
                <w:color w:val="auto"/>
              </w:rPr>
            </w:pPr>
            <w:r>
              <w:rPr>
                <w:rFonts w:ascii="Arial" w:cs="Arial" w:eastAsia="Arial" w:hAnsi="Arial"/>
                <w:sz w:val="17"/>
                <w:szCs w:val="17"/>
                <w:color w:val="0000FF"/>
                <w:w w:val="88"/>
              </w:rPr>
              <w:t>16,026</w:t>
            </w:r>
          </w:p>
        </w:tc>
        <w:tc>
          <w:tcPr>
            <w:tcW w:w="40" w:type="dxa"/>
            <w:vAlign w:val="bottom"/>
          </w:tcPr>
          <w:p>
            <w:pPr>
              <w:spacing w:after="0"/>
              <w:rPr>
                <w:sz w:val="16"/>
                <w:szCs w:val="16"/>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Share</w:t>
            </w: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53"/>
              <w:spacing w:after="0" w:line="145" w:lineRule="exact"/>
              <w:rPr>
                <w:sz w:val="20"/>
                <w:szCs w:val="20"/>
                <w:color w:val="auto"/>
              </w:rPr>
            </w:pPr>
            <w:r>
              <w:rPr>
                <w:rFonts w:ascii="Arial" w:cs="Arial" w:eastAsia="Arial" w:hAnsi="Arial"/>
                <w:sz w:val="13"/>
                <w:szCs w:val="13"/>
                <w:color w:val="0000FF"/>
              </w:rPr>
              <w:t>12/31/2015</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jc w:val="right"/>
              <w:spacing w:after="0" w:line="145" w:lineRule="exact"/>
              <w:rPr>
                <w:sz w:val="20"/>
                <w:szCs w:val="20"/>
                <w:color w:val="auto"/>
              </w:rPr>
            </w:pPr>
            <w:r>
              <w:rPr>
                <w:rFonts w:ascii="Arial" w:cs="Arial" w:eastAsia="Arial" w:hAnsi="Arial"/>
                <w:sz w:val="13"/>
                <w:szCs w:val="13"/>
                <w:color w:val="0000FF"/>
              </w:rPr>
              <w:t>16,026</w:t>
            </w:r>
          </w:p>
        </w:tc>
        <w:tc>
          <w:tcPr>
            <w:tcW w:w="340" w:type="dxa"/>
            <w:vAlign w:val="bottom"/>
          </w:tcPr>
          <w:p>
            <w:pPr>
              <w:spacing w:after="0"/>
              <w:rPr>
                <w:sz w:val="12"/>
                <w:szCs w:val="12"/>
                <w:color w:val="auto"/>
              </w:rPr>
            </w:pPr>
          </w:p>
        </w:tc>
        <w:tc>
          <w:tcPr>
            <w:tcW w:w="840" w:type="dxa"/>
            <w:vAlign w:val="bottom"/>
            <w:gridSpan w:val="3"/>
          </w:tcPr>
          <w:p>
            <w:pPr>
              <w:ind w:left="320"/>
              <w:spacing w:after="0"/>
              <w:rPr>
                <w:sz w:val="20"/>
                <w:szCs w:val="20"/>
                <w:color w:val="auto"/>
              </w:rPr>
            </w:pPr>
            <w:r>
              <w:rPr>
                <w:rFonts w:ascii="Arial" w:cs="Arial" w:eastAsia="Arial" w:hAnsi="Arial"/>
                <w:sz w:val="11"/>
                <w:szCs w:val="11"/>
                <w:color w:val="008000"/>
              </w:rPr>
              <w:t>(1)</w:t>
            </w:r>
          </w:p>
        </w:tc>
        <w:tc>
          <w:tcPr>
            <w:tcW w:w="12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(1)</w:t>
            </w:r>
          </w:p>
        </w:tc>
        <w:tc>
          <w:tcPr>
            <w:tcW w:w="720" w:type="dxa"/>
            <w:vAlign w:val="bottom"/>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33,382</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(2)</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jc w:val="right"/>
              <w:ind w:right="46"/>
              <w:spacing w:after="0"/>
              <w:rPr>
                <w:sz w:val="20"/>
                <w:szCs w:val="20"/>
                <w:color w:val="auto"/>
              </w:rPr>
            </w:pPr>
            <w:r>
              <w:rPr>
                <w:rFonts w:ascii="Arial" w:cs="Arial" w:eastAsia="Arial" w:hAnsi="Arial"/>
                <w:sz w:val="17"/>
                <w:szCs w:val="17"/>
                <w:color w:val="0000FF"/>
                <w:w w:val="98"/>
              </w:rPr>
              <w:t>1,152</w:t>
            </w:r>
          </w:p>
        </w:tc>
        <w:tc>
          <w:tcPr>
            <w:tcW w:w="40" w:type="dxa"/>
            <w:vAlign w:val="bottom"/>
          </w:tcPr>
          <w:p>
            <w:pPr>
              <w:spacing w:after="0"/>
              <w:rPr>
                <w:sz w:val="16"/>
                <w:szCs w:val="16"/>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Share</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gridSpan w:val="2"/>
            <w:vMerge w:val="restart"/>
          </w:tcPr>
          <w:p>
            <w:pPr>
              <w:jc w:val="right"/>
              <w:ind w:right="153"/>
              <w:spacing w:after="0" w:line="145" w:lineRule="exact"/>
              <w:rPr>
                <w:sz w:val="20"/>
                <w:szCs w:val="20"/>
                <w:color w:val="auto"/>
              </w:rPr>
            </w:pPr>
            <w:r>
              <w:rPr>
                <w:rFonts w:ascii="Arial" w:cs="Arial" w:eastAsia="Arial" w:hAnsi="Arial"/>
                <w:sz w:val="13"/>
                <w:szCs w:val="13"/>
                <w:color w:val="0000FF"/>
              </w:rPr>
              <w:t>12/31/2015</w:t>
            </w: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3"/>
            <w:vMerge w:val="restart"/>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jc w:val="right"/>
              <w:ind w:right="39"/>
              <w:spacing w:after="0" w:line="145" w:lineRule="exact"/>
              <w:rPr>
                <w:sz w:val="20"/>
                <w:szCs w:val="20"/>
                <w:color w:val="auto"/>
              </w:rPr>
            </w:pPr>
            <w:r>
              <w:rPr>
                <w:rFonts w:ascii="Arial" w:cs="Arial" w:eastAsia="Arial" w:hAnsi="Arial"/>
                <w:sz w:val="13"/>
                <w:szCs w:val="13"/>
                <w:color w:val="0000FF"/>
              </w:rPr>
              <w:t>1,152</w:t>
            </w:r>
          </w:p>
        </w:tc>
        <w:tc>
          <w:tcPr>
            <w:tcW w:w="340" w:type="dxa"/>
            <w:vAlign w:val="bottom"/>
          </w:tcPr>
          <w:p>
            <w:pPr>
              <w:spacing w:after="0"/>
              <w:rPr>
                <w:sz w:val="7"/>
                <w:szCs w:val="7"/>
                <w:color w:val="auto"/>
              </w:rPr>
            </w:pPr>
          </w:p>
        </w:tc>
        <w:tc>
          <w:tcPr>
            <w:tcW w:w="840" w:type="dxa"/>
            <w:vAlign w:val="bottom"/>
            <w:gridSpan w:val="3"/>
            <w:vMerge w:val="restart"/>
          </w:tcPr>
          <w:p>
            <w:pPr>
              <w:ind w:left="320"/>
              <w:spacing w:after="0"/>
              <w:rPr>
                <w:sz w:val="20"/>
                <w:szCs w:val="20"/>
                <w:color w:val="auto"/>
              </w:rPr>
            </w:pPr>
            <w:r>
              <w:rPr>
                <w:rFonts w:ascii="Arial" w:cs="Arial" w:eastAsia="Arial" w:hAnsi="Arial"/>
                <w:sz w:val="11"/>
                <w:szCs w:val="11"/>
                <w:color w:val="008000"/>
              </w:rPr>
              <w:t>(2)</w:t>
            </w:r>
          </w:p>
        </w:tc>
        <w:tc>
          <w:tcPr>
            <w:tcW w:w="120" w:type="dxa"/>
            <w:vAlign w:val="bottom"/>
          </w:tcPr>
          <w:p>
            <w:pPr>
              <w:spacing w:after="0"/>
              <w:rPr>
                <w:sz w:val="7"/>
                <w:szCs w:val="7"/>
                <w:color w:val="auto"/>
              </w:rPr>
            </w:pPr>
          </w:p>
        </w:tc>
        <w:tc>
          <w:tcPr>
            <w:tcW w:w="560" w:type="dxa"/>
            <w:vAlign w:val="bottom"/>
            <w:vMerge w:val="restart"/>
          </w:tcPr>
          <w:p>
            <w:pPr>
              <w:ind w:left="140"/>
              <w:spacing w:after="0"/>
              <w:rPr>
                <w:sz w:val="20"/>
                <w:szCs w:val="20"/>
                <w:color w:val="auto"/>
              </w:rPr>
            </w:pPr>
            <w:r>
              <w:rPr>
                <w:rFonts w:ascii="Arial" w:cs="Arial" w:eastAsia="Arial" w:hAnsi="Arial"/>
                <w:sz w:val="11"/>
                <w:szCs w:val="11"/>
                <w:color w:val="008000"/>
              </w:rPr>
              <w:t>(2)</w:t>
            </w:r>
          </w:p>
        </w:tc>
        <w:tc>
          <w:tcPr>
            <w:tcW w:w="720" w:type="dxa"/>
            <w:vAlign w:val="bottom"/>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restart"/>
          </w:tcPr>
          <w:p>
            <w:pPr>
              <w:ind w:left="240"/>
              <w:spacing w:after="0" w:line="145" w:lineRule="exact"/>
              <w:rPr>
                <w:sz w:val="20"/>
                <w:szCs w:val="20"/>
                <w:color w:val="auto"/>
              </w:rPr>
            </w:pPr>
            <w:r>
              <w:rPr>
                <w:rFonts w:ascii="Arial" w:cs="Arial" w:eastAsia="Arial" w:hAnsi="Arial"/>
                <w:sz w:val="13"/>
                <w:szCs w:val="13"/>
                <w:color w:val="0000FF"/>
                <w:w w:val="90"/>
              </w:rPr>
              <w:t>34,534</w:t>
            </w:r>
          </w:p>
        </w:tc>
        <w:tc>
          <w:tcPr>
            <w:tcW w:w="280" w:type="dxa"/>
            <w:vAlign w:val="bottom"/>
          </w:tcPr>
          <w:p>
            <w:pPr>
              <w:spacing w:after="0"/>
              <w:rPr>
                <w:sz w:val="7"/>
                <w:szCs w:val="7"/>
                <w:color w:val="auto"/>
              </w:rPr>
            </w:pPr>
          </w:p>
        </w:tc>
        <w:tc>
          <w:tcPr>
            <w:tcW w:w="70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200" w:firstLine="8"/>
        <w:spacing w:after="0" w:line="248"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Deferred share units of the Company's Common Stock ("DSUs") were awarded on December 31, 2015 pursuant to the General Motors Company Deferred Compensation Plan (the "Plan") for Non-Employee Directors. Each non-employee director is required to defer one-half of the $250,000 annual retainer fee for service on the Board of Directors into DSUs and may elect to defer more. The retainer fee is converted to DSUs based on the average closing price of the Common Stock for the previous calendar year, which was $34.32. Amounts credited as DSUs will be paid in cash after the director leaves the Board, valued at the average daily closing price of the Common Stock for the quarter immediately preceding payment.</w:t>
      </w:r>
    </w:p>
    <w:p>
      <w:pPr>
        <w:sectPr>
          <w:pgSz w:w="11900" w:h="16838" w:orient="portrait"/>
          <w:cols w:equalWidth="0" w:num="1">
            <w:col w:w="11520"/>
          </w:cols>
          <w:pgMar w:left="240" w:top="225" w:right="139" w:bottom="1440" w:gutter="0" w:footer="0" w:header="0"/>
          <w:type w:val="continuous"/>
        </w:sectPr>
      </w:pPr>
    </w:p>
    <w:p>
      <w:pPr>
        <w:spacing w:after="0" w:line="27"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2. Pursuant to the Plan, dividends on the DSUs are credited in DSUs at the end of year.</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Robert C. Shrosbree,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062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2355" cy="8255"/>
                    </a:xfrm>
                    <a:prstGeom prst="rect">
                      <a:avLst/>
                    </a:prstGeom>
                    <a:noFill/>
                  </pic:spPr>
                </pic:pic>
              </a:graphicData>
            </a:graphic>
          </wp:anchor>
        </w:drawing>
      </w:r>
    </w:p>
    <w:p>
      <w:pPr>
        <w:spacing w:after="0" w:line="6"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Attorney-In-Fact for Mr. Solso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-4445</wp:posOffset>
            </wp:positionV>
            <wp:extent cx="13665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6520" cy="8255"/>
                    </a:xfrm>
                    <a:prstGeom prst="rect">
                      <a:avLst/>
                    </a:prstGeom>
                    <a:noFill/>
                  </pic:spPr>
                </pic:pic>
              </a:graphicData>
            </a:graphic>
          </wp:anchor>
        </w:drawing>
      </w:r>
    </w:p>
    <w:p>
      <w:pPr>
        <w:spacing w:after="0" w:line="66" w:lineRule="exact"/>
        <w:rPr>
          <w:sz w:val="20"/>
          <w:szCs w:val="20"/>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122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color w:val="0000FF"/>
        </w:rPr>
        <w:t>01/05/2016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41" w:lineRule="exact"/>
        <w:rPr>
          <w:sz w:val="20"/>
          <w:szCs w:val="20"/>
          <w:color w:val="auto"/>
        </w:rPr>
      </w:pPr>
    </w:p>
    <w:p>
      <w:pPr>
        <w:sectPr>
          <w:pgSz w:w="11900" w:h="16838" w:orient="portrait"/>
          <w:cols w:equalWidth="0" w:num="2">
            <w:col w:w="9020" w:space="14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9758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2019-12-24T07:28:25Z</dcterms:created>
  <dcterms:modified xsi:type="dcterms:W3CDTF">2019-12-24T07:28:25Z</dcterms:modified>
</cp:coreProperties>
</file>