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Kline Terry S</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98"/>
        <w:spacing w:after="0"/>
        <w:rPr>
          <w:sz w:val="20"/>
          <w:szCs w:val="20"/>
          <w:color w:val="auto"/>
        </w:rPr>
      </w:pPr>
      <w:r>
        <w:rPr>
          <w:rFonts w:ascii="Arial" w:cs="Arial" w:eastAsia="Arial" w:hAnsi="Arial"/>
          <w:sz w:val="17"/>
          <w:szCs w:val="17"/>
          <w:color w:val="0000FF"/>
        </w:rPr>
        <w:t>Vice President &amp; CIO</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2"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1,386</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22,919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91"/>
              </w:rPr>
              <w:t>445</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22,474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3,261</w:t>
            </w:r>
            <w:r>
              <w:rPr>
                <w:rFonts w:ascii="Arial" w:cs="Arial" w:eastAsia="Arial" w:hAnsi="Arial"/>
                <w:sz w:val="22"/>
                <w:szCs w:val="22"/>
                <w:color w:val="008000"/>
                <w:w w:val="85"/>
                <w:vertAlign w:val="superscript"/>
              </w:rPr>
              <w:t>(5)</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25,735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1,046</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24,689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8,744</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33,433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7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1,386</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1,386</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1,386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3,261</w:t>
            </w:r>
            <w:r>
              <w:rPr>
                <w:rFonts w:ascii="Arial" w:cs="Arial" w:eastAsia="Arial" w:hAnsi="Arial"/>
                <w:sz w:val="22"/>
                <w:szCs w:val="22"/>
                <w:color w:val="008000"/>
                <w:vertAlign w:val="superscript"/>
              </w:rPr>
              <w:t>(5)</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3,261</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6,516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00" w:firstLine="6"/>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Common Stock reported in this item was issued upon the settlement of a portion of a grant of Salary Stock Units ("SSUs) deemed to have been issued, nunc pro tunc, on September 30, 2009 pursuant to the Company's Salary Stock Plan (the "GMSSP") and vested upon grant. The portion of this award currently payable was settled on September 30, 2011 in shares of Common Stock, less a portion withheld for taxes</w:t>
      </w:r>
    </w:p>
    <w:p>
      <w:pPr>
        <w:ind w:left="40" w:right="14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2009 the employee received a grant of 1,386 SSUs, of which 462 SSUs were scheduled to be payable on September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4,158 SSUs granted on September 30, 2009, of which 1,386 SSUs became payable on September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$20.30.</w:t>
      </w:r>
    </w:p>
    <w:p>
      <w:pPr>
        <w:spacing w:after="0" w:line="25"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September 30, 2010 pursuant to the GMSSP and vested upon grant. The portion of this award currently payable was settled on June 30, 2011 in shares of the Company's Common Stock, less a portion withheld for taxes.</w:t>
      </w:r>
    </w:p>
    <w:p>
      <w:pPr>
        <w:spacing w:after="0" w:line="15" w:lineRule="exact"/>
        <w:rPr>
          <w:rFonts w:ascii="Arial" w:cs="Arial" w:eastAsia="Arial" w:hAnsi="Arial"/>
          <w:sz w:val="13"/>
          <w:szCs w:val="13"/>
          <w:color w:val="008000"/>
        </w:rPr>
      </w:pPr>
    </w:p>
    <w:p>
      <w:pPr>
        <w:ind w:left="40" w:right="38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3,259 SSUs, of which 1,087 SSUs were scheduled to be payable on September 30, 2011. Pursuant to the terms of the GMSSP, each issued and outstanding SSUs was automatically converted upon the effectiveness of the Stock Split into three SSUs, so that the employee was credited with a total of 9,777 SSUs granted on September 30, 2010, of which 3,261 SSUs became payable on September 30, 2011.</w:t>
      </w:r>
    </w:p>
    <w:p>
      <w:pPr>
        <w:spacing w:after="0" w:line="25" w:lineRule="exact"/>
        <w:rPr>
          <w:rFonts w:ascii="Arial" w:cs="Arial" w:eastAsia="Arial" w:hAnsi="Arial"/>
          <w:sz w:val="13"/>
          <w:szCs w:val="13"/>
          <w:color w:val="008000"/>
        </w:rPr>
      </w:pPr>
    </w:p>
    <w:p>
      <w:pPr>
        <w:ind w:left="40" w:right="1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91"/>
        </w:trPr>
        <w:tc>
          <w:tcPr>
            <w:tcW w:w="1220" w:type="dxa"/>
            <w:vAlign w:val="bottom"/>
            <w:vMerge w:val="restart"/>
          </w:tcPr>
          <w:p>
            <w:pPr>
              <w:spacing w:after="0" w:line="193" w:lineRule="exact"/>
              <w:rPr>
                <w:sz w:val="20"/>
                <w:szCs w:val="20"/>
                <w:color w:val="auto"/>
              </w:rPr>
            </w:pPr>
            <w:r>
              <w:rPr>
                <w:rFonts w:ascii="Arial" w:cs="Arial" w:eastAsia="Arial" w:hAnsi="Arial"/>
                <w:sz w:val="17"/>
                <w:szCs w:val="17"/>
                <w:color w:val="0000FF"/>
                <w:w w:val="96"/>
              </w:rPr>
              <w:t>fact for Mr. Kline</w:t>
            </w:r>
          </w:p>
        </w:tc>
        <w:tc>
          <w:tcPr>
            <w:tcW w:w="10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2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2019-12-17T01:00:41Z</dcterms:created>
  <dcterms:modified xsi:type="dcterms:W3CDTF">2019-12-17T01:00:41Z</dcterms:modified>
</cp:coreProperties>
</file>