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709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70941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03/31/2013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50"/>
        <w:spacing w:after="0"/>
        <w:rPr>
          <w:sz w:val="20"/>
          <w:szCs w:val="20"/>
          <w:color w:val="auto"/>
        </w:rPr>
      </w:pPr>
      <w:r>
        <w:rPr>
          <w:rFonts w:ascii="Arial" w:cs="Arial" w:eastAsia="Arial" w:hAnsi="Arial"/>
          <w:sz w:val="17"/>
          <w:szCs w:val="17"/>
          <w:color w:val="0000FF"/>
        </w:rPr>
        <w:t>Sr. Vice President &amp; CFO</w:t>
      </w:r>
    </w:p>
    <w:p>
      <w:pPr>
        <w:spacing w:after="0" w:line="449" w:lineRule="exact"/>
        <w:rPr>
          <w:sz w:val="24"/>
          <w:szCs w:val="24"/>
          <w:color w:val="auto"/>
        </w:rPr>
      </w:pPr>
    </w:p>
    <w:p>
      <w:pPr>
        <w:sectPr>
          <w:pgSz w:w="11900" w:h="16838" w:orient="portrait"/>
          <w:cols w:equalWidth="0" w:num="3">
            <w:col w:w="3340" w:space="720"/>
            <w:col w:w="3270" w:space="720"/>
            <w:col w:w="3470"/>
          </w:cols>
          <w:pgMar w:left="240" w:top="224" w:right="139" w:bottom="6"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9,050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110,853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3,732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107,121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5,318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101,803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5,462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107,265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80" w:type="dxa"/>
            <w:vAlign w:val="bottom"/>
            <w:gridSpan w:val="3"/>
          </w:tcPr>
          <w:p>
            <w:pPr>
              <w:jc w:val="center"/>
              <w:ind w:left="586"/>
              <w:spacing w:after="0"/>
              <w:rPr>
                <w:sz w:val="20"/>
                <w:szCs w:val="20"/>
                <w:color w:val="auto"/>
              </w:rPr>
            </w:pPr>
            <w:r>
              <w:rPr>
                <w:rFonts w:ascii="Arial" w:cs="Arial" w:eastAsia="Arial" w:hAnsi="Arial"/>
                <w:sz w:val="17"/>
                <w:szCs w:val="17"/>
                <w:color w:val="0000FF"/>
                <w:w w:val="91"/>
              </w:rPr>
              <w:t>03/31/2013</w:t>
            </w: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rPr>
              <w:t>D</w:t>
            </w:r>
          </w:p>
        </w:tc>
        <w:tc>
          <w:tcPr>
            <w:tcW w:w="720" w:type="dxa"/>
            <w:vAlign w:val="bottom"/>
          </w:tcPr>
          <w:p>
            <w:pPr>
              <w:jc w:val="right"/>
              <w:ind w:right="30"/>
              <w:spacing w:after="0"/>
              <w:rPr>
                <w:sz w:val="20"/>
                <w:szCs w:val="20"/>
                <w:color w:val="auto"/>
              </w:rPr>
            </w:pPr>
            <w:r>
              <w:rPr>
                <w:rFonts w:ascii="Arial" w:cs="Arial" w:eastAsia="Arial" w:hAnsi="Arial"/>
                <w:sz w:val="17"/>
                <w:szCs w:val="17"/>
                <w:color w:val="0000FF"/>
              </w:rPr>
              <w:t>2,252</w:t>
            </w:r>
          </w:p>
        </w:tc>
        <w:tc>
          <w:tcPr>
            <w:tcW w:w="700" w:type="dxa"/>
            <w:vAlign w:val="bottom"/>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27.87</w:t>
            </w:r>
          </w:p>
        </w:tc>
        <w:tc>
          <w:tcPr>
            <w:tcW w:w="80" w:type="dxa"/>
            <w:vAlign w:val="bottom"/>
          </w:tcPr>
          <w:p>
            <w:pPr>
              <w:spacing w:after="0"/>
              <w:rPr>
                <w:sz w:val="22"/>
                <w:szCs w:val="22"/>
                <w:color w:val="auto"/>
              </w:rPr>
            </w:pPr>
          </w:p>
        </w:tc>
        <w:tc>
          <w:tcPr>
            <w:tcW w:w="1300" w:type="dxa"/>
            <w:vAlign w:val="bottom"/>
            <w:gridSpan w:val="3"/>
          </w:tcPr>
          <w:p>
            <w:pPr>
              <w:jc w:val="right"/>
              <w:ind w:right="299"/>
              <w:spacing w:after="0"/>
              <w:rPr>
                <w:sz w:val="20"/>
                <w:szCs w:val="20"/>
                <w:color w:val="auto"/>
              </w:rPr>
            </w:pPr>
            <w:r>
              <w:rPr>
                <w:rFonts w:ascii="Arial" w:cs="Arial" w:eastAsia="Arial" w:hAnsi="Arial"/>
                <w:sz w:val="17"/>
                <w:szCs w:val="17"/>
                <w:color w:val="0000FF"/>
              </w:rPr>
              <w:t>105,013</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6"/>
              <w:spacing w:after="0"/>
              <w:rPr>
                <w:sz w:val="20"/>
                <w:szCs w:val="20"/>
                <w:color w:val="auto"/>
              </w:rPr>
            </w:pPr>
            <w:r>
              <w:rPr>
                <w:rFonts w:ascii="Arial" w:cs="Arial" w:eastAsia="Arial" w:hAnsi="Arial"/>
                <w:sz w:val="17"/>
                <w:szCs w:val="17"/>
                <w:color w:val="0000FF"/>
                <w:w w:val="91"/>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3,210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101,803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6"/>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21"/>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9,050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03/31/2013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9,050</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3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79"/>
              <w:spacing w:after="0" w:line="142" w:lineRule="exact"/>
              <w:rPr>
                <w:sz w:val="20"/>
                <w:szCs w:val="20"/>
                <w:color w:val="auto"/>
              </w:rPr>
            </w:pPr>
            <w:r>
              <w:rPr>
                <w:rFonts w:ascii="Arial" w:cs="Arial" w:eastAsia="Arial" w:hAnsi="Arial"/>
                <w:sz w:val="13"/>
                <w:szCs w:val="13"/>
                <w:color w:val="0000FF"/>
                <w:w w:val="90"/>
              </w:rPr>
              <w:t>18,097</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5,462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center"/>
              <w:ind w:left="121"/>
              <w:spacing w:after="0"/>
              <w:rPr>
                <w:sz w:val="20"/>
                <w:szCs w:val="20"/>
                <w:color w:val="auto"/>
              </w:rPr>
            </w:pPr>
            <w:r>
              <w:rPr>
                <w:rFonts w:ascii="Arial" w:cs="Arial" w:eastAsia="Arial" w:hAnsi="Arial"/>
                <w:sz w:val="11"/>
                <w:szCs w:val="11"/>
                <w:color w:val="008000"/>
                <w:w w:val="88"/>
              </w:rPr>
              <w:t>(2)</w:t>
            </w: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03/31/2013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5,462</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3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9"/>
              <w:spacing w:after="0" w:line="142" w:lineRule="exact"/>
              <w:rPr>
                <w:sz w:val="20"/>
                <w:szCs w:val="20"/>
                <w:color w:val="auto"/>
              </w:rPr>
            </w:pPr>
            <w:r>
              <w:rPr>
                <w:rFonts w:ascii="Arial" w:cs="Arial" w:eastAsia="Arial" w:hAnsi="Arial"/>
                <w:sz w:val="13"/>
                <w:szCs w:val="13"/>
                <w:color w:val="0000FF"/>
                <w:w w:val="92"/>
              </w:rPr>
              <w:t>5,461</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21"/>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23,323</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03/31/2013</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23,323</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(4)</w:t>
            </w:r>
          </w:p>
        </w:tc>
        <w:tc>
          <w:tcPr>
            <w:tcW w:w="720" w:type="dxa"/>
            <w:vAlign w:val="bottom"/>
          </w:tcPr>
          <w:p>
            <w:pPr>
              <w:jc w:val="right"/>
              <w:ind w:right="23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9"/>
              <w:spacing w:after="0" w:line="142" w:lineRule="exact"/>
              <w:rPr>
                <w:sz w:val="20"/>
                <w:szCs w:val="20"/>
                <w:color w:val="auto"/>
              </w:rPr>
            </w:pPr>
            <w:r>
              <w:rPr>
                <w:rFonts w:ascii="Arial" w:cs="Arial" w:eastAsia="Arial" w:hAnsi="Arial"/>
                <w:sz w:val="13"/>
                <w:szCs w:val="13"/>
                <w:color w:val="0000FF"/>
                <w:w w:val="90"/>
              </w:rPr>
              <w:t>23,323</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2012pursuant to the Company's Salary Stock Plan (the "GMSSP") and vested upon grant. The portion of this award currently payable was settled on March 31, 2013in cash, less a portion withheld for taxes.</w:t>
      </w:r>
    </w:p>
    <w:p>
      <w:pPr>
        <w:spacing w:after="0" w:line="16" w:lineRule="exact"/>
        <w:rPr>
          <w:rFonts w:ascii="Arial" w:cs="Arial" w:eastAsia="Arial" w:hAnsi="Arial"/>
          <w:sz w:val="13"/>
          <w:szCs w:val="13"/>
          <w:color w:val="008000"/>
        </w:rPr>
      </w:pPr>
    </w:p>
    <w:p>
      <w:pPr>
        <w:ind w:left="40" w:right="18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$27.87.</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2011.</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2013 and will be settled in three equal, annual installments beginning March 31, 2014.</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04/02/2013</w:t>
            </w:r>
          </w:p>
        </w:tc>
        <w:tc>
          <w:tcPr>
            <w:tcW w:w="0" w:type="dxa"/>
            <w:vAlign w:val="bottom"/>
          </w:tcPr>
          <w:p>
            <w:pPr>
              <w:spacing w:after="0"/>
              <w:rPr>
                <w:sz w:val="1"/>
                <w:szCs w:val="1"/>
                <w:color w:val="auto"/>
              </w:rPr>
            </w:pPr>
          </w:p>
        </w:tc>
      </w:tr>
      <w:tr>
        <w:trPr>
          <w:trHeight w:val="91"/>
        </w:trPr>
        <w:tc>
          <w:tcPr>
            <w:tcW w:w="1400" w:type="dxa"/>
            <w:vAlign w:val="bottom"/>
            <w:tcBorders>
              <w:top w:val="single" w:sz="8" w:color="auto"/>
              <w:bottom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95"/>
              </w:rPr>
              <w:t>fact for Mr. Amman</w:t>
            </w:r>
          </w:p>
        </w:tc>
        <w:tc>
          <w:tcPr>
            <w:tcW w:w="6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00" w:type="dxa"/>
            <w:vAlign w:val="bottom"/>
            <w:tcBorders>
              <w:bottom w:val="single" w:sz="8" w:color="auto"/>
            </w:tcBorders>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2019-12-18T15:22:34Z</dcterms:created>
  <dcterms:modified xsi:type="dcterms:W3CDTF">2019-12-18T15:22:34Z</dcterms:modified>
</cp:coreProperties>
</file>