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RULES 13d-1(b), (c) AND (d) AND AMENDMENTS THERETO FILED PURSUANT TO RULE 13d-2(b)</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980" w:type="dxa"/>
            <w:vAlign w:val="bottom"/>
            <w:gridSpan w:val="5"/>
          </w:tcPr>
          <w:p>
            <w:pPr>
              <w:jc w:val="center"/>
              <w:ind w:right="170"/>
              <w:spacing w:after="0"/>
              <w:rPr>
                <w:sz w:val="20"/>
                <w:szCs w:val="20"/>
                <w:color w:val="auto"/>
              </w:rPr>
            </w:pPr>
            <w:r>
              <w:rPr>
                <w:rFonts w:ascii="Arial" w:cs="Arial" w:eastAsia="Arial" w:hAnsi="Arial"/>
                <w:sz w:val="18"/>
                <w:szCs w:val="18"/>
                <w:color w:val="auto"/>
                <w:w w:val="92"/>
              </w:rPr>
              <w:t>CUSIP No: 37045V100</w:t>
            </w:r>
          </w:p>
        </w:tc>
        <w:tc>
          <w:tcPr>
            <w:tcW w:w="9460" w:type="dxa"/>
            <w:vAlign w:val="bottom"/>
          </w:tcPr>
          <w:p>
            <w:pPr>
              <w:ind w:left="42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00" w:type="dxa"/>
            <w:vAlign w:val="bottom"/>
          </w:tcPr>
          <w:p>
            <w:pPr>
              <w:ind w:left="120"/>
              <w:spacing w:after="0" w:line="195" w:lineRule="exact"/>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Brock Fiduciary Services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00" w:type="dxa"/>
            <w:vAlign w:val="bottom"/>
          </w:tcPr>
          <w:p>
            <w:pPr>
              <w:ind w:left="120"/>
              <w:spacing w:after="0" w:line="170" w:lineRule="exact"/>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3"/>
          </w:tcPr>
          <w:p>
            <w:pPr>
              <w:ind w:left="12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72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72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6"/>
              </w:rPr>
              <w:t>Delaware</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140,150,000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94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7.</w:t>
            </w:r>
          </w:p>
        </w:tc>
        <w:tc>
          <w:tcPr>
            <w:tcW w:w="94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right w:val="single" w:sz="8" w:color="auto"/>
            </w:tcBorders>
            <w:gridSpan w:val="2"/>
            <w:vMerge w:val="continue"/>
          </w:tcPr>
          <w:p>
            <w:pPr>
              <w:spacing w:after="0"/>
              <w:rPr>
                <w:sz w:val="12"/>
                <w:szCs w:val="12"/>
                <w:color w:val="auto"/>
              </w:rPr>
            </w:pPr>
          </w:p>
        </w:tc>
        <w:tc>
          <w:tcPr>
            <w:tcW w:w="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9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140,150,000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w w:val="96"/>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140,150,000</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10</w:t>
            </w: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11</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12</w:t>
            </w: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1980" w:type="dxa"/>
            <w:vAlign w:val="bottom"/>
            <w:gridSpan w:val="5"/>
          </w:tcPr>
          <w:p>
            <w:pPr>
              <w:jc w:val="center"/>
              <w:ind w:right="170"/>
              <w:spacing w:after="0"/>
              <w:rPr>
                <w:sz w:val="20"/>
                <w:szCs w:val="20"/>
                <w:color w:val="auto"/>
              </w:rPr>
            </w:pPr>
            <w:r>
              <w:rPr>
                <w:rFonts w:ascii="Arial" w:cs="Arial" w:eastAsia="Arial" w:hAnsi="Arial"/>
                <w:sz w:val="18"/>
                <w:szCs w:val="18"/>
                <w:color w:val="auto"/>
                <w:w w:val="92"/>
              </w:rPr>
              <w:t>CUSIP No: 37045V100</w:t>
            </w:r>
          </w:p>
        </w:tc>
        <w:tc>
          <w:tcPr>
            <w:tcW w:w="9460" w:type="dxa"/>
            <w:vAlign w:val="bottom"/>
          </w:tcPr>
          <w:p>
            <w:pPr>
              <w:ind w:left="420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00" w:type="dxa"/>
            <w:vAlign w:val="bottom"/>
          </w:tcPr>
          <w:p>
            <w:pPr>
              <w:ind w:left="120"/>
              <w:spacing w:after="0" w:line="195" w:lineRule="exact"/>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Brock Capital Group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00" w:type="dxa"/>
            <w:vAlign w:val="bottom"/>
          </w:tcPr>
          <w:p>
            <w:pPr>
              <w:ind w:left="120"/>
              <w:spacing w:after="0" w:line="170" w:lineRule="exact"/>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3"/>
          </w:tcPr>
          <w:p>
            <w:pPr>
              <w:ind w:left="12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72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72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6"/>
              </w:rPr>
              <w:t>Delaware</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140,150,000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94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7.</w:t>
            </w:r>
          </w:p>
        </w:tc>
        <w:tc>
          <w:tcPr>
            <w:tcW w:w="94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right w:val="single" w:sz="8" w:color="auto"/>
            </w:tcBorders>
            <w:gridSpan w:val="2"/>
            <w:vMerge w:val="continue"/>
          </w:tcPr>
          <w:p>
            <w:pPr>
              <w:spacing w:after="0"/>
              <w:rPr>
                <w:sz w:val="12"/>
                <w:szCs w:val="12"/>
                <w:color w:val="auto"/>
              </w:rPr>
            </w:pPr>
          </w:p>
        </w:tc>
        <w:tc>
          <w:tcPr>
            <w:tcW w:w="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9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140,150,000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w w:val="96"/>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140,150,000</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10</w:t>
            </w: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11</w:t>
            </w:r>
          </w:p>
        </w:tc>
        <w:tc>
          <w:tcPr>
            <w:tcW w:w="38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12</w:t>
            </w:r>
          </w:p>
        </w:tc>
        <w:tc>
          <w:tcPr>
            <w:tcW w:w="3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Motors Company (the “Issuer”)</w:t>
      </w:r>
    </w:p>
    <w:p>
      <w:pPr>
        <w:spacing w:after="0" w:line="370" w:lineRule="exact"/>
        <w:rPr>
          <w:sz w:val="20"/>
          <w:szCs w:val="20"/>
          <w:color w:val="auto"/>
        </w:rPr>
      </w:pPr>
    </w:p>
    <w:p>
      <w:pPr>
        <w:jc w:val="center"/>
        <w:ind w:right="6720"/>
        <w:spacing w:after="0"/>
        <w:rPr>
          <w:sz w:val="20"/>
          <w:szCs w:val="20"/>
          <w:color w:val="auto"/>
        </w:rPr>
      </w:pPr>
      <w:r>
        <w:rPr>
          <w:rFonts w:ascii="Arial" w:cs="Arial" w:eastAsia="Arial" w:hAnsi="Arial"/>
          <w:sz w:val="16"/>
          <w:szCs w:val="16"/>
          <w:b w:val="1"/>
          <w:bCs w:val="1"/>
          <w:color w:val="auto"/>
        </w:rPr>
        <w:t>Item 1(b).  Address of Issuer’s Principal Executive Offices: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Renaissance Center, Detroit, Michigan, 48265</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statement is being filed on behalf of each of the following reporting persons (collectively, the “Reporting Persons”):</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Brock Fiduciary Services LLC (“Brock Fiduciary”);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Brock Capital Group LLC (“Brock Capital”).</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Brock Fiduciary is a wholly-owned subsidiary of Brock Capital. As more fully described under Item 4(a), Brock Fiduciary is an independent fiduciary and investment adviser to the UAW Retiree Medical Benefits Trust and may be deemed to be the beneficial owner of any securities of the Issuer owned by such trust.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of the principal business offices of each of the Reporting Persons is 622 Third Avenue, Floor 12, New York, New York 10017.</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Brock Fiduciary —Delaware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Brock Capital—Delaware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(“Common Stock”)</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37045V100</w:t>
      </w:r>
    </w:p>
    <w:p>
      <w:pPr>
        <w:sectPr>
          <w:pgSz w:w="11900" w:h="16838" w:orient="portrait"/>
          <w:cols w:equalWidth="0" w:num="1">
            <w:col w:w="11300"/>
          </w:cols>
          <w:pgMar w:left="240" w:top="270" w:right="35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130" w:lineRule="exact"/>
        <w:rPr>
          <w:rFonts w:ascii="Arial" w:cs="Arial" w:eastAsia="Arial" w:hAnsi="Arial"/>
          <w:sz w:val="18"/>
          <w:szCs w:val="18"/>
          <w:color w:val="auto"/>
        </w:rPr>
      </w:pPr>
    </w:p>
    <w:p>
      <w:pPr>
        <w:ind w:left="1920" w:right="60" w:hanging="440"/>
        <w:spacing w:after="0" w:line="239"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w:t>
      </w:r>
    </w:p>
    <w:p>
      <w:pPr>
        <w:spacing w:after="0" w:line="75"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13d-1(b)(1)(ii)(J) of the Exchange Act.</w:t>
      </w:r>
    </w:p>
    <w:p>
      <w:pPr>
        <w:spacing w:after="0" w:line="130" w:lineRule="exact"/>
        <w:rPr>
          <w:rFonts w:ascii="Arial" w:cs="Arial" w:eastAsia="Arial" w:hAnsi="Arial"/>
          <w:sz w:val="18"/>
          <w:szCs w:val="18"/>
          <w:color w:val="auto"/>
        </w:rPr>
      </w:pPr>
    </w:p>
    <w:p>
      <w:pPr>
        <w:ind w:left="1920" w:hanging="440"/>
        <w:spacing w:after="0" w:line="207" w:lineRule="exact"/>
        <w:tabs>
          <w:tab w:leader="none" w:pos="19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of the Exchange Act.</w:t>
      </w:r>
    </w:p>
    <w:p>
      <w:pPr>
        <w:spacing w:after="0" w:line="258" w:lineRule="exact"/>
        <w:rPr>
          <w:sz w:val="20"/>
          <w:szCs w:val="20"/>
          <w:color w:val="auto"/>
        </w:rPr>
      </w:pPr>
    </w:p>
    <w:p>
      <w:pPr>
        <w:ind w:left="460"/>
        <w:spacing w:after="0"/>
        <w:tabs>
          <w:tab w:leader="none" w:pos="11000" w:val="left"/>
        </w:tabs>
        <w:rPr>
          <w:sz w:val="20"/>
          <w:szCs w:val="20"/>
          <w:color w:val="auto"/>
        </w:rPr>
      </w:pPr>
      <w:r>
        <w:rPr>
          <w:rFonts w:ascii="Arial" w:cs="Arial" w:eastAsia="Arial" w:hAnsi="Arial"/>
          <w:sz w:val="18"/>
          <w:szCs w:val="18"/>
          <w:color w:val="auto"/>
        </w:rPr>
        <w:t>If filing as a non-U.S. institution in accordance with Rule 13d-1(b)(1)(ii)(J) of the Exchange Act, please specify type of institution:</w:t>
      </w:r>
      <w:r>
        <w:rPr>
          <w:sz w:val="20"/>
          <w:szCs w:val="20"/>
          <w:color w:val="auto"/>
        </w:rPr>
        <w:tab/>
      </w:r>
      <w:r>
        <w:rPr>
          <w:rFonts w:ascii="Arial" w:cs="Arial" w:eastAsia="Arial" w:hAnsi="Arial"/>
          <w:sz w:val="14"/>
          <w:szCs w:val="14"/>
          <w:color w:val="auto"/>
        </w:rPr>
        <w: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140,150,000 shares of Common Stock.</w:t>
      </w:r>
    </w:p>
    <w:p>
      <w:pPr>
        <w:spacing w:after="0" w:line="117" w:lineRule="exact"/>
        <w:rPr>
          <w:sz w:val="20"/>
          <w:szCs w:val="20"/>
          <w:color w:val="auto"/>
        </w:rPr>
      </w:pPr>
    </w:p>
    <w:p>
      <w:pPr>
        <w:jc w:val="both"/>
        <w:ind w:left="920" w:firstLine="360"/>
        <w:spacing w:after="0" w:line="259" w:lineRule="auto"/>
        <w:rPr>
          <w:sz w:val="20"/>
          <w:szCs w:val="20"/>
          <w:color w:val="auto"/>
        </w:rPr>
      </w:pPr>
      <w:r>
        <w:rPr>
          <w:rFonts w:ascii="Arial" w:cs="Arial" w:eastAsia="Arial" w:hAnsi="Arial"/>
          <w:sz w:val="18"/>
          <w:szCs w:val="18"/>
          <w:color w:val="auto"/>
        </w:rPr>
        <w:t>Brock Fiduciary is an independent fiduciary and investment adviser to the UAW Retiree Medical Benefits Trust (“UAW RMBT”). Pursuant to an Independent Fiduciary Agreement, dated August 8, 2011, between Brock Fiduciary and UAW RMBT, Brock Fiduciary has been given the power to vote and dispose of any securities of the Issuer held by UAW RMBT, including any Common Stock. As a result, the Reporting Persons may be deemed to beneficially own the Common Stock held by UAW RMBT.</w:t>
      </w:r>
    </w:p>
    <w:p>
      <w:pPr>
        <w:spacing w:after="0" w:line="79" w:lineRule="exact"/>
        <w:rPr>
          <w:sz w:val="20"/>
          <w:szCs w:val="20"/>
          <w:color w:val="auto"/>
        </w:rPr>
      </w:pPr>
    </w:p>
    <w:p>
      <w:pPr>
        <w:jc w:val="both"/>
        <w:ind w:left="920" w:firstLine="360"/>
        <w:spacing w:after="0" w:line="277" w:lineRule="auto"/>
        <w:rPr>
          <w:sz w:val="20"/>
          <w:szCs w:val="20"/>
          <w:color w:val="auto"/>
        </w:rPr>
      </w:pPr>
      <w:r>
        <w:rPr>
          <w:rFonts w:ascii="Arial" w:cs="Arial" w:eastAsia="Arial" w:hAnsi="Arial"/>
          <w:sz w:val="18"/>
          <w:szCs w:val="18"/>
          <w:color w:val="auto"/>
        </w:rPr>
        <w:t>Based on information provided to the Reporting Persons by UAW RMBT, as of the date hereof, UAW RMBT owned 140,150,000 shares of Common Stock.</w:t>
      </w:r>
    </w:p>
    <w:p>
      <w:pPr>
        <w:spacing w:after="0" w:line="76" w:lineRule="exact"/>
        <w:rPr>
          <w:sz w:val="20"/>
          <w:szCs w:val="20"/>
          <w:color w:val="auto"/>
        </w:rPr>
      </w:pPr>
    </w:p>
    <w:p>
      <w:pPr>
        <w:ind w:left="900" w:right="3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8.8%. This percentage is based on a total of 1,589,788,282 shares of Common Stock outstanding as reported in the Issuer’s annual report on Form 10-K filed on February 6,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500" w:right="7000" w:hanging="587"/>
        <w:spacing w:after="0" w:line="383"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140,150,000 shares of Common Stock.</w:t>
      </w:r>
    </w:p>
    <w:p>
      <w:pPr>
        <w:spacing w:after="0" w:line="130" w:lineRule="exact"/>
        <w:rPr>
          <w:rFonts w:ascii="Arial" w:cs="Arial" w:eastAsia="Arial" w:hAnsi="Arial"/>
          <w:sz w:val="18"/>
          <w:szCs w:val="18"/>
          <w:color w:val="auto"/>
        </w:rPr>
      </w:pPr>
    </w:p>
    <w:p>
      <w:pPr>
        <w:ind w:left="1500" w:right="6100" w:hanging="587"/>
        <w:spacing w:after="0" w:line="383"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500" w:right="5920" w:hanging="587"/>
        <w:spacing w:after="0" w:line="440" w:lineRule="auto"/>
        <w:tabs>
          <w:tab w:leader="none" w:pos="1489" w:val="left"/>
        </w:tabs>
        <w:numPr>
          <w:ilvl w:val="1"/>
          <w:numId w:val="7"/>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140,150,000 shares of Common Stock.</w:t>
      </w:r>
    </w:p>
    <w:p>
      <w:pPr>
        <w:sectPr>
          <w:pgSz w:w="11900" w:h="16838" w:orient="portrait"/>
          <w:cols w:equalWidth="0" w:num="1">
            <w:col w:w="11340"/>
          </w:cols>
          <w:pgMar w:left="240" w:top="270" w:right="31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UAW RMBT is party to a Stockholders Agreement dated as of October 15, 2009 (the “Stockholders Agreement”), by and among the Issuer, United States Department of the Treasury (“UST”), 7176384 Canada Inc. (since renamed Canada GEN Investment Corporation, “Canada GEN”), UAW RMBT and, solely for the purposes of Section 6.20 thereof, General Motors LLC. The Stockholders Agreement was filed as Exhibit 10.8 to the Current Report on Form 8-K filed by the Issuer on November 16, 2009.</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Stockholders Agreement provides UAW RMBT the right to designate one director to the board of directors of the Issuer (which designation is subject to the consent of the International Union, United Automobile, Aerospace and Agricultural Implement Workers of America and, if the designated nominee is not independent within the meaning of Rule 303A.02 of the New York Stock Exchange Listed Company Manual or any successor provision, to the consent of the UST, such consent not to be unreasonably withheld) so long as UAW RMBT holds at least 50% of the shares of Common Stock it held upon its initial investment in the Issuer. Canada GEN is required to vote in favor of UAW RMBT’s designee.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UAW RMBT and Canada GEN collectively have beneficial ownership of 250,234,746 shares of Common Stock. As of December 31, 2013, this represented 15.7% of the outstanding Common Stock based on a total of 1,589,788,282 shares of Common Stock outstanding. The share ownership reported by UAW RMBT does not include any shares owned by the other parties to the Shareholders’ Agreement, except to the extent already disclosed in this Schedule 13G.</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Because the Reporting Persons may be deemed a beneficial owner of the securities, the Reporting Persons may be deemed a member of any group that the parties to the Stockholders Agreement are deemed to be part of.</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420"/>
          </w:cols>
          <w:pgMar w:left="240" w:top="270"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2014</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Brock Capital Group LLC, as Managing Member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Charles Brock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580" w:type="dxa"/>
            <w:vAlign w:val="bottom"/>
          </w:tcPr>
          <w:p>
            <w:pPr>
              <w:ind w:left="6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Chairman &amp;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Brock Capital Group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Charles Brock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580" w:type="dxa"/>
            <w:vAlign w:val="bottom"/>
          </w:tcPr>
          <w:p>
            <w:pPr>
              <w:ind w:left="6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Chairman &amp; CEO</w:t>
            </w:r>
          </w:p>
        </w:tc>
      </w:tr>
    </w:tbl>
    <w:p>
      <w:pPr>
        <w:sectPr>
          <w:pgSz w:w="11900" w:h="16838" w:orient="portrait"/>
          <w:cols w:equalWidth="0" w:num="2">
            <w:col w:w="7120" w:space="200"/>
            <w:col w:w="4100"/>
          </w:cols>
          <w:pgMar w:left="240" w:top="270" w:right="239" w:bottom="1440" w:gutter="0" w:footer="0" w:header="0"/>
          <w:type w:val="continuous"/>
        </w:sectPr>
      </w:pPr>
    </w:p>
    <w:bookmarkStart w:id="7" w:name="page8"/>
    <w:bookmarkEnd w:id="7"/>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ectPr>
          <w:pgSz w:w="11900" w:h="16838" w:orient="portrait"/>
          <w:cols w:equalWidth="0" w:num="1">
            <w:col w:w="10219"/>
          </w:cols>
          <w:pgMar w:left="240" w:top="27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it contained herein, but shall not be responsible for the completeness and accuracy of the information concerning the other entities or persons, except to the extent that it knows or has reason to believe that such information is inaccurate.</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10, 2014</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Brock Capital Group LLC, as Managing Member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Charles Brock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580" w:type="dxa"/>
            <w:vAlign w:val="bottom"/>
          </w:tcPr>
          <w:p>
            <w:pPr>
              <w:ind w:left="6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Chairman &amp;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Brock Capital Group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Charles Brock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580" w:type="dxa"/>
            <w:vAlign w:val="bottom"/>
          </w:tcPr>
          <w:p>
            <w:pPr>
              <w:ind w:left="6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Chairman &amp; CEO</w:t>
            </w:r>
          </w:p>
        </w:tc>
      </w:tr>
    </w:tbl>
    <w:p>
      <w:pPr>
        <w:spacing w:after="0" w:line="1" w:lineRule="exact"/>
        <w:rPr>
          <w:sz w:val="20"/>
          <w:szCs w:val="20"/>
          <w:color w:val="auto"/>
        </w:rPr>
      </w:pPr>
    </w:p>
    <w:sectPr>
      <w:pgSz w:w="11900" w:h="16838" w:orient="portrait"/>
      <w:cols w:equalWidth="0" w:num="2">
        <w:col w:w="7120" w:space="200"/>
        <w:col w:w="410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2019-12-07T20:24:56Z</dcterms:created>
  <dcterms:modified xsi:type="dcterms:W3CDTF">2019-12-07T20:24:56Z</dcterms:modified>
</cp:coreProperties>
</file>