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12, 2017 (June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223520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001-34960</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27-0756180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500"/>
          </w:cols>
          <w:pgMar w:left="240" w:top="368" w:right="239" w:bottom="1440" w:gutter="0" w:footer="0" w:header="0"/>
          <w:type w:val="continuous"/>
        </w:sectPr>
      </w:pPr>
    </w:p>
    <w:p>
      <w:pPr>
        <w:spacing w:after="0" w:line="20"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50" w:lineRule="exact"/>
        <w:rPr>
          <w:sz w:val="24"/>
          <w:szCs w:val="24"/>
          <w:color w:val="auto"/>
        </w:rPr>
      </w:pPr>
    </w:p>
    <w:p>
      <w:pPr>
        <w:jc w:val="center"/>
        <w:ind w:right="17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177" w:lineRule="exact"/>
        <w:rPr>
          <w:sz w:val="24"/>
          <w:szCs w:val="24"/>
          <w:color w:val="auto"/>
        </w:rPr>
      </w:pPr>
    </w:p>
    <w:p>
      <w:pPr>
        <w:sectPr>
          <w:pgSz w:w="11900" w:h="16838" w:orient="portrait"/>
          <w:cols w:equalWidth="0" w:num="2">
            <w:col w:w="7500" w:space="720"/>
            <w:col w:w="320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220345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below in Item 5.07 of this Current Report on Form 8-K, on June 6, 2017, the shareholders of General Motors Company (the “Company”) approved the General Motors Company 2017 Short-Term Incentive Plan (the “STIP”) and the General Motors Company 2017 Long-Term Incentive Plan (the “LTIP” and, together with the STIP, the “Plans”) at the Company’s 2017 Annual Meeting of Shareholders (the “Annual Meeting”). The material terms of the STIP and the LTIP are described in Item No. 3 and Item No. 4, respectively, of the Company’s definitive proxy statement filed with the Securities and Exchange Commission on April 13, 2017 (the “Proxy Statement”), which descriptions are incorporated by reference herein. The descriptions of the Plans in the Proxy Statement are qualified in their entirety by reference to the full text of the STIP and the LTIP, as applicable, copies of which were filed as Appendix A and Appendix B, respectively, to the Proxy Statement and are incorporated by reference herein. The Plans had previously been approved by the Company’s Board of Directors and became effective immediately upon shareholder approval.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form of award agreement for the award of stock options under the LTIP is filed as Exhibit 10.3 hereto and is incorporated by reference herein.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June 6, 2017, the Company held its Annual Meeting. Set forth below are each of the matters submitted to a vote of the shareholders at the Annual Meeting, and the preliminary voting results reported by the Company’s proxy solicitor, Innisfree M&amp;A Incorporated (“Innisfree”), based on the information available to Innisfree. These results </w:t>
      </w:r>
      <w:r>
        <w:rPr>
          <w:rFonts w:ascii="Arial" w:cs="Arial" w:eastAsia="Arial" w:hAnsi="Arial"/>
          <w:sz w:val="17"/>
          <w:szCs w:val="17"/>
          <w:b w:val="1"/>
          <w:bCs w:val="1"/>
          <w:color w:val="auto"/>
        </w:rPr>
        <w:t>do not include</w:t>
      </w:r>
      <w:r>
        <w:rPr>
          <w:rFonts w:ascii="Arial" w:cs="Arial" w:eastAsia="Arial" w:hAnsi="Arial"/>
          <w:sz w:val="17"/>
          <w:szCs w:val="17"/>
          <w:color w:val="auto"/>
        </w:rPr>
        <w:t xml:space="preserve"> (i) shares voted on the green proxy card distributed by Greenlight Capital, Inc. and certain of its affiliates (together, “Greenlight”) outside of the system maintained by Broadridge Financial Solutions, Inc. (“Broadridge”), (ii) shares (A) not represented by a white proxy card returned to the Company, (B) not otherwise known to have been voted at the Annual Meeting and (C) either (I) for which legal proxies were issued (approximately 66,217 shares which number excludes shares represented by legal proxies which are known to have been voted at the Annual Meeting) or (II) held in registered name (approximately 1,554,932 shares, not including registered shares for which a white proxy card was returned) or (iii) shares voted that Innisfree could not definitively match with a shareholder identified as being a record or beneficial holder of shares of the Company’s common stock, par value $0.01 per share (“Common Stock”), as of the record date for the Annual Meeting. Further, these preliminary results do not reflect the impact of any revocations of votes previously submitted on the white proxy card either through in-person voting at the Annual Meeting or through the submission of a later-dated green proxy card outside of the Broadridge system.</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 addition to being incomplete for the reasons described above, these results are preliminary only and are subject to change </w:t>
      </w:r>
      <w:r>
        <w:rPr>
          <w:rFonts w:ascii="Arial" w:cs="Arial" w:eastAsia="Arial" w:hAnsi="Arial"/>
          <w:sz w:val="18"/>
          <w:szCs w:val="18"/>
          <w:color w:val="auto"/>
        </w:rPr>
        <w:t>based on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certification of the voting results by the independent inspector of elections for the Annual Meeting, IVS Associates, Inc. (“IVS”). The Company will file an amendment to this Current Report on Form 8-K to disclose the final voting results after receiving IVS’s final certified report.</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close of business on April 7, 2017, the record date for the Annual Meeting, 1,510,395,471 shares of Common Stock were outstanding and entitled to vote. Based on the preliminary results from Innisfree and subject to the qualifications set forth above, at least 1,246,503,133 shares of Common Stock were voted in person or by proxy at the Annual Meeting, representing more than 82 percent of the shares entitled to be voted.</w:t>
      </w:r>
    </w:p>
    <w:p>
      <w:pPr>
        <w:sectPr>
          <w:pgSz w:w="11900" w:h="16838" w:orient="portrait"/>
          <w:cols w:equalWidth="0" w:num="1">
            <w:col w:w="11420"/>
          </w:cols>
          <w:pgMar w:left="240" w:top="270" w:right="2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preliminary tabulation from Innisfree of voting results (subject to the caveats noted in the paragraphs above) for the election of directors and other proposals is set forth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Item No. 1 – Election of Directors</w:t>
      </w:r>
      <w:r>
        <w:rPr>
          <w:rFonts w:ascii="Arial" w:cs="Arial" w:eastAsia="Arial" w:hAnsi="Arial"/>
          <w:sz w:val="18"/>
          <w:szCs w:val="18"/>
          <w:color w:val="auto"/>
        </w:rPr>
        <w:t>. Based on the preliminary results from Innisfree, the Company’s shareholders elected the following nominees, constituting the Company’s full slate of nominees, to serve on the Company’s Board of Directors until the next annual meeting of shareholders and until their successors have been duly elected or appointed: Mary T. Barra, Theodore M. Solso, Joseph J. Ashton, Linda R. Gooden, Joseph Jimenez, Jane L. Mendillo, Michael G. Mullen, James J. Mulva, Patricia F. Russo, Thomas M. Schoewe, and Carol M. Stephenson.</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3"/>
          </w:tcPr>
          <w:p>
            <w:pPr>
              <w:spacing w:after="0"/>
              <w:rPr>
                <w:sz w:val="20"/>
                <w:szCs w:val="20"/>
                <w:color w:val="auto"/>
              </w:rPr>
            </w:pPr>
            <w:r>
              <w:rPr>
                <w:rFonts w:ascii="Arial" w:cs="Arial" w:eastAsia="Arial" w:hAnsi="Arial"/>
                <w:sz w:val="18"/>
                <w:szCs w:val="18"/>
                <w:i w:val="1"/>
                <w:iCs w:val="1"/>
                <w:color w:val="auto"/>
              </w:rPr>
              <w:t>The Company’s Board of Directors’ Nominees</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3700" w:type="dxa"/>
            <w:vAlign w:val="bottom"/>
            <w:gridSpan w:val="3"/>
          </w:tcPr>
          <w:p>
            <w:pPr>
              <w:ind w:left="1840"/>
              <w:spacing w:after="0"/>
              <w:rPr>
                <w:sz w:val="20"/>
                <w:szCs w:val="20"/>
                <w:color w:val="auto"/>
              </w:rPr>
            </w:pPr>
            <w:r>
              <w:rPr>
                <w:rFonts w:ascii="Arial" w:cs="Arial" w:eastAsia="Arial" w:hAnsi="Arial"/>
                <w:sz w:val="18"/>
                <w:szCs w:val="18"/>
                <w:b w:val="1"/>
                <w:bCs w:val="1"/>
                <w:color w:val="auto"/>
              </w:rPr>
              <w:t>Director</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For</w:t>
            </w:r>
          </w:p>
        </w:tc>
        <w:tc>
          <w:tcPr>
            <w:tcW w:w="3200" w:type="dxa"/>
            <w:vAlign w:val="bottom"/>
            <w:gridSpan w:val="2"/>
          </w:tcPr>
          <w:p>
            <w:pPr>
              <w:ind w:left="1820"/>
              <w:spacing w:after="0"/>
              <w:rPr>
                <w:sz w:val="20"/>
                <w:szCs w:val="20"/>
                <w:color w:val="auto"/>
              </w:rPr>
            </w:pPr>
            <w:r>
              <w:rPr>
                <w:rFonts w:ascii="Arial" w:cs="Arial" w:eastAsia="Arial" w:hAnsi="Arial"/>
                <w:sz w:val="18"/>
                <w:szCs w:val="18"/>
                <w:b w:val="1"/>
                <w:bCs w:val="1"/>
                <w:color w:val="auto"/>
                <w:w w:val="91"/>
              </w:rPr>
              <w:t>Abstain/Withhold</w:t>
            </w:r>
          </w:p>
        </w:tc>
      </w:tr>
      <w:tr>
        <w:trPr>
          <w:trHeight w:val="210"/>
        </w:trPr>
        <w:tc>
          <w:tcPr>
            <w:tcW w:w="184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Mary T. Barra</w:t>
            </w:r>
          </w:p>
        </w:tc>
        <w:tc>
          <w:tcPr>
            <w:tcW w:w="3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1,142,152,192</w:t>
            </w:r>
          </w:p>
        </w:tc>
        <w:tc>
          <w:tcPr>
            <w:tcW w:w="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23,050,149</w:t>
            </w:r>
          </w:p>
        </w:tc>
      </w:tr>
      <w:tr>
        <w:trPr>
          <w:trHeight w:val="216"/>
        </w:trPr>
        <w:tc>
          <w:tcPr>
            <w:tcW w:w="184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Theodore M. Solso</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1,158,038,321</w:t>
            </w:r>
          </w:p>
        </w:tc>
        <w:tc>
          <w:tcPr>
            <w:tcW w:w="80" w:type="dxa"/>
            <w:vAlign w:val="bottom"/>
          </w:tcPr>
          <w:p>
            <w:pPr>
              <w:spacing w:after="0"/>
              <w:rPr>
                <w:sz w:val="18"/>
                <w:szCs w:val="18"/>
                <w:color w:val="auto"/>
              </w:rPr>
            </w:pPr>
          </w:p>
        </w:tc>
        <w:tc>
          <w:tcPr>
            <w:tcW w:w="3200" w:type="dxa"/>
            <w:vAlign w:val="bottom"/>
            <w:gridSpan w:val="2"/>
          </w:tcPr>
          <w:p>
            <w:pPr>
              <w:ind w:left="1820"/>
              <w:spacing w:after="0"/>
              <w:rPr>
                <w:sz w:val="20"/>
                <w:szCs w:val="20"/>
                <w:color w:val="auto"/>
              </w:rPr>
            </w:pPr>
            <w:r>
              <w:rPr>
                <w:rFonts w:ascii="Arial" w:cs="Arial" w:eastAsia="Arial" w:hAnsi="Arial"/>
                <w:sz w:val="18"/>
                <w:szCs w:val="18"/>
                <w:color w:val="auto"/>
              </w:rPr>
              <w:t>7,162,020</w:t>
            </w:r>
          </w:p>
        </w:tc>
      </w:tr>
      <w:tr>
        <w:trPr>
          <w:trHeight w:val="216"/>
        </w:trPr>
        <w:tc>
          <w:tcPr>
            <w:tcW w:w="184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J. Ashton</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1,158,281,666</w:t>
            </w:r>
          </w:p>
        </w:tc>
        <w:tc>
          <w:tcPr>
            <w:tcW w:w="8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6,920,676</w:t>
            </w:r>
          </w:p>
        </w:tc>
      </w:tr>
      <w:tr>
        <w:trPr>
          <w:trHeight w:val="216"/>
        </w:trPr>
        <w:tc>
          <w:tcPr>
            <w:tcW w:w="184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Linda R. Gooden</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1,154,007,068</w:t>
            </w:r>
          </w:p>
        </w:tc>
        <w:tc>
          <w:tcPr>
            <w:tcW w:w="80" w:type="dxa"/>
            <w:vAlign w:val="bottom"/>
          </w:tcPr>
          <w:p>
            <w:pPr>
              <w:spacing w:after="0"/>
              <w:rPr>
                <w:sz w:val="18"/>
                <w:szCs w:val="18"/>
                <w:color w:val="auto"/>
              </w:rPr>
            </w:pPr>
          </w:p>
        </w:tc>
        <w:tc>
          <w:tcPr>
            <w:tcW w:w="3200" w:type="dxa"/>
            <w:vAlign w:val="bottom"/>
            <w:gridSpan w:val="2"/>
          </w:tcPr>
          <w:p>
            <w:pPr>
              <w:ind w:left="1820"/>
              <w:spacing w:after="0"/>
              <w:rPr>
                <w:sz w:val="20"/>
                <w:szCs w:val="20"/>
                <w:color w:val="auto"/>
              </w:rPr>
            </w:pPr>
            <w:r>
              <w:rPr>
                <w:rFonts w:ascii="Arial" w:cs="Arial" w:eastAsia="Arial" w:hAnsi="Arial"/>
                <w:sz w:val="18"/>
                <w:szCs w:val="18"/>
                <w:color w:val="auto"/>
              </w:rPr>
              <w:t>11,193,273</w:t>
            </w:r>
          </w:p>
        </w:tc>
      </w:tr>
      <w:tr>
        <w:trPr>
          <w:trHeight w:val="216"/>
        </w:trPr>
        <w:tc>
          <w:tcPr>
            <w:tcW w:w="184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Jimenez</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1,145,859,195</w:t>
            </w:r>
          </w:p>
        </w:tc>
        <w:tc>
          <w:tcPr>
            <w:tcW w:w="8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19,341,146</w:t>
            </w:r>
          </w:p>
        </w:tc>
      </w:tr>
      <w:tr>
        <w:trPr>
          <w:trHeight w:val="216"/>
        </w:trPr>
        <w:tc>
          <w:tcPr>
            <w:tcW w:w="184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Jane L. Mendillo</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1,012,503,844</w:t>
            </w:r>
          </w:p>
        </w:tc>
        <w:tc>
          <w:tcPr>
            <w:tcW w:w="80" w:type="dxa"/>
            <w:vAlign w:val="bottom"/>
          </w:tcPr>
          <w:p>
            <w:pPr>
              <w:spacing w:after="0"/>
              <w:rPr>
                <w:sz w:val="18"/>
                <w:szCs w:val="18"/>
                <w:color w:val="auto"/>
              </w:rPr>
            </w:pPr>
          </w:p>
        </w:tc>
        <w:tc>
          <w:tcPr>
            <w:tcW w:w="3200" w:type="dxa"/>
            <w:vAlign w:val="bottom"/>
            <w:gridSpan w:val="2"/>
          </w:tcPr>
          <w:p>
            <w:pPr>
              <w:ind w:left="1820"/>
              <w:spacing w:after="0"/>
              <w:rPr>
                <w:sz w:val="20"/>
                <w:szCs w:val="20"/>
                <w:color w:val="auto"/>
              </w:rPr>
            </w:pPr>
            <w:r>
              <w:rPr>
                <w:rFonts w:ascii="Arial" w:cs="Arial" w:eastAsia="Arial" w:hAnsi="Arial"/>
                <w:sz w:val="18"/>
                <w:szCs w:val="18"/>
                <w:color w:val="auto"/>
              </w:rPr>
              <w:t>5,470,701</w:t>
            </w:r>
          </w:p>
        </w:tc>
      </w:tr>
      <w:tr>
        <w:trPr>
          <w:trHeight w:val="216"/>
        </w:trPr>
        <w:tc>
          <w:tcPr>
            <w:tcW w:w="184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G. Mullen</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1,011,656,723</w:t>
            </w:r>
          </w:p>
        </w:tc>
        <w:tc>
          <w:tcPr>
            <w:tcW w:w="8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6,317,822</w:t>
            </w:r>
          </w:p>
        </w:tc>
      </w:tr>
      <w:tr>
        <w:trPr>
          <w:trHeight w:val="216"/>
        </w:trPr>
        <w:tc>
          <w:tcPr>
            <w:tcW w:w="184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James J. Mulva</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1,151,367,822</w:t>
            </w:r>
          </w:p>
        </w:tc>
        <w:tc>
          <w:tcPr>
            <w:tcW w:w="80" w:type="dxa"/>
            <w:vAlign w:val="bottom"/>
          </w:tcPr>
          <w:p>
            <w:pPr>
              <w:spacing w:after="0"/>
              <w:rPr>
                <w:sz w:val="18"/>
                <w:szCs w:val="18"/>
                <w:color w:val="auto"/>
              </w:rPr>
            </w:pPr>
          </w:p>
        </w:tc>
        <w:tc>
          <w:tcPr>
            <w:tcW w:w="3200" w:type="dxa"/>
            <w:vAlign w:val="bottom"/>
            <w:gridSpan w:val="2"/>
          </w:tcPr>
          <w:p>
            <w:pPr>
              <w:ind w:left="1820"/>
              <w:spacing w:after="0"/>
              <w:rPr>
                <w:sz w:val="20"/>
                <w:szCs w:val="20"/>
                <w:color w:val="auto"/>
              </w:rPr>
            </w:pPr>
            <w:r>
              <w:rPr>
                <w:rFonts w:ascii="Arial" w:cs="Arial" w:eastAsia="Arial" w:hAnsi="Arial"/>
                <w:sz w:val="18"/>
                <w:szCs w:val="18"/>
                <w:color w:val="auto"/>
              </w:rPr>
              <w:t>13,832,519</w:t>
            </w:r>
          </w:p>
        </w:tc>
      </w:tr>
      <w:tr>
        <w:trPr>
          <w:trHeight w:val="216"/>
        </w:trPr>
        <w:tc>
          <w:tcPr>
            <w:tcW w:w="184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Patricia F. Russo</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1,135,974,888</w:t>
            </w:r>
          </w:p>
        </w:tc>
        <w:tc>
          <w:tcPr>
            <w:tcW w:w="8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29,225,453</w:t>
            </w:r>
          </w:p>
        </w:tc>
      </w:tr>
      <w:tr>
        <w:trPr>
          <w:trHeight w:val="216"/>
        </w:trPr>
        <w:tc>
          <w:tcPr>
            <w:tcW w:w="184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Thomas M. Schoewe</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1,158,399,980</w:t>
            </w:r>
          </w:p>
        </w:tc>
        <w:tc>
          <w:tcPr>
            <w:tcW w:w="80" w:type="dxa"/>
            <w:vAlign w:val="bottom"/>
          </w:tcPr>
          <w:p>
            <w:pPr>
              <w:spacing w:after="0"/>
              <w:rPr>
                <w:sz w:val="18"/>
                <w:szCs w:val="18"/>
                <w:color w:val="auto"/>
              </w:rPr>
            </w:pPr>
          </w:p>
        </w:tc>
        <w:tc>
          <w:tcPr>
            <w:tcW w:w="3200" w:type="dxa"/>
            <w:vAlign w:val="bottom"/>
            <w:gridSpan w:val="2"/>
          </w:tcPr>
          <w:p>
            <w:pPr>
              <w:ind w:left="1820"/>
              <w:spacing w:after="0"/>
              <w:rPr>
                <w:sz w:val="20"/>
                <w:szCs w:val="20"/>
                <w:color w:val="auto"/>
              </w:rPr>
            </w:pPr>
            <w:r>
              <w:rPr>
                <w:rFonts w:ascii="Arial" w:cs="Arial" w:eastAsia="Arial" w:hAnsi="Arial"/>
                <w:sz w:val="18"/>
                <w:szCs w:val="18"/>
                <w:color w:val="auto"/>
              </w:rPr>
              <w:t>6,800,361</w:t>
            </w:r>
          </w:p>
        </w:tc>
      </w:tr>
      <w:tr>
        <w:trPr>
          <w:trHeight w:val="216"/>
        </w:trPr>
        <w:tc>
          <w:tcPr>
            <w:tcW w:w="184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M. Stephenson</w:t>
            </w:r>
          </w:p>
        </w:tc>
        <w:tc>
          <w:tcPr>
            <w:tcW w:w="2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968,617,987</w:t>
            </w:r>
          </w:p>
        </w:tc>
        <w:tc>
          <w:tcPr>
            <w:tcW w:w="8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21,158,543</w:t>
            </w:r>
          </w:p>
        </w:tc>
      </w:tr>
      <w:tr>
        <w:trPr>
          <w:trHeight w:val="540"/>
        </w:trPr>
        <w:tc>
          <w:tcPr>
            <w:tcW w:w="3700" w:type="dxa"/>
            <w:vAlign w:val="bottom"/>
            <w:gridSpan w:val="3"/>
          </w:tcPr>
          <w:p>
            <w:pPr>
              <w:spacing w:after="0"/>
              <w:rPr>
                <w:sz w:val="20"/>
                <w:szCs w:val="20"/>
                <w:color w:val="auto"/>
              </w:rPr>
            </w:pPr>
            <w:r>
              <w:rPr>
                <w:rFonts w:ascii="Arial" w:cs="Arial" w:eastAsia="Arial" w:hAnsi="Arial"/>
                <w:sz w:val="18"/>
                <w:szCs w:val="18"/>
                <w:i w:val="1"/>
                <w:iCs w:val="1"/>
                <w:color w:val="auto"/>
              </w:rPr>
              <w:t>Greenlight’s Nominees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59"/>
        </w:trPr>
        <w:tc>
          <w:tcPr>
            <w:tcW w:w="3700" w:type="dxa"/>
            <w:vAlign w:val="bottom"/>
            <w:gridSpan w:val="3"/>
          </w:tcPr>
          <w:p>
            <w:pPr>
              <w:ind w:left="1840"/>
              <w:spacing w:after="0"/>
              <w:rPr>
                <w:sz w:val="20"/>
                <w:szCs w:val="20"/>
                <w:color w:val="auto"/>
              </w:rPr>
            </w:pPr>
            <w:r>
              <w:rPr>
                <w:rFonts w:ascii="Arial" w:cs="Arial" w:eastAsia="Arial" w:hAnsi="Arial"/>
                <w:sz w:val="18"/>
                <w:szCs w:val="18"/>
                <w:b w:val="1"/>
                <w:bCs w:val="1"/>
                <w:color w:val="auto"/>
              </w:rPr>
              <w:t>Director</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For</w:t>
            </w:r>
          </w:p>
        </w:tc>
        <w:tc>
          <w:tcPr>
            <w:tcW w:w="3200" w:type="dxa"/>
            <w:vAlign w:val="bottom"/>
            <w:gridSpan w:val="2"/>
          </w:tcPr>
          <w:p>
            <w:pPr>
              <w:ind w:left="1820"/>
              <w:spacing w:after="0"/>
              <w:rPr>
                <w:sz w:val="20"/>
                <w:szCs w:val="20"/>
                <w:color w:val="auto"/>
              </w:rPr>
            </w:pPr>
            <w:r>
              <w:rPr>
                <w:rFonts w:ascii="Arial" w:cs="Arial" w:eastAsia="Arial" w:hAnsi="Arial"/>
                <w:sz w:val="18"/>
                <w:szCs w:val="18"/>
                <w:b w:val="1"/>
                <w:bCs w:val="1"/>
                <w:color w:val="auto"/>
                <w:w w:val="91"/>
              </w:rPr>
              <w:t>Abstain/Withhold</w:t>
            </w:r>
          </w:p>
        </w:tc>
      </w:tr>
      <w:tr>
        <w:trPr>
          <w:trHeight w:val="210"/>
        </w:trPr>
        <w:tc>
          <w:tcPr>
            <w:tcW w:w="1840" w:type="dxa"/>
            <w:vAlign w:val="bottom"/>
          </w:tcPr>
          <w:p>
            <w:pPr>
              <w:spacing w:after="0"/>
              <w:rPr>
                <w:sz w:val="18"/>
                <w:szCs w:val="18"/>
                <w:color w:val="auto"/>
              </w:rPr>
            </w:pPr>
          </w:p>
        </w:tc>
        <w:tc>
          <w:tcPr>
            <w:tcW w:w="1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Leo Hindery, Jr.</w:t>
            </w:r>
          </w:p>
        </w:tc>
        <w:tc>
          <w:tcPr>
            <w:tcW w:w="1800" w:type="dxa"/>
            <w:vAlign w:val="bottom"/>
            <w:tcBorders>
              <w:top w:val="single" w:sz="8" w:color="CCEEFF"/>
            </w:tcBorders>
            <w:gridSpan w:val="2"/>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172,007,528</w:t>
            </w:r>
          </w:p>
        </w:tc>
        <w:tc>
          <w:tcPr>
            <w:tcW w:w="18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1,526,560</w:t>
            </w:r>
          </w:p>
        </w:tc>
      </w:tr>
      <w:tr>
        <w:trPr>
          <w:trHeight w:val="216"/>
        </w:trPr>
        <w:tc>
          <w:tcPr>
            <w:tcW w:w="184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Vinit Sethi</w:t>
            </w:r>
          </w:p>
        </w:tc>
        <w:tc>
          <w:tcPr>
            <w:tcW w:w="2700" w:type="dxa"/>
            <w:vAlign w:val="bottom"/>
            <w:gridSpan w:val="4"/>
          </w:tcPr>
          <w:p>
            <w:pPr>
              <w:jc w:val="center"/>
              <w:ind w:left="1710"/>
              <w:spacing w:after="0"/>
              <w:rPr>
                <w:sz w:val="20"/>
                <w:szCs w:val="20"/>
                <w:color w:val="auto"/>
              </w:rPr>
            </w:pPr>
            <w:r>
              <w:rPr>
                <w:rFonts w:ascii="Arial" w:cs="Arial" w:eastAsia="Arial" w:hAnsi="Arial"/>
                <w:sz w:val="18"/>
                <w:szCs w:val="18"/>
                <w:color w:val="auto"/>
                <w:w w:val="89"/>
              </w:rPr>
              <w:t>142,639,469</w:t>
            </w:r>
          </w:p>
        </w:tc>
        <w:tc>
          <w:tcPr>
            <w:tcW w:w="3200" w:type="dxa"/>
            <w:vAlign w:val="bottom"/>
            <w:gridSpan w:val="2"/>
          </w:tcPr>
          <w:p>
            <w:pPr>
              <w:ind w:left="1820"/>
              <w:spacing w:after="0"/>
              <w:rPr>
                <w:sz w:val="20"/>
                <w:szCs w:val="20"/>
                <w:color w:val="auto"/>
              </w:rPr>
            </w:pPr>
            <w:r>
              <w:rPr>
                <w:rFonts w:ascii="Arial" w:cs="Arial" w:eastAsia="Arial" w:hAnsi="Arial"/>
                <w:sz w:val="18"/>
                <w:szCs w:val="18"/>
                <w:color w:val="auto"/>
              </w:rPr>
              <w:t>2,696,604</w:t>
            </w:r>
          </w:p>
        </w:tc>
      </w:tr>
      <w:tr>
        <w:trPr>
          <w:trHeight w:val="216"/>
        </w:trPr>
        <w:tc>
          <w:tcPr>
            <w:tcW w:w="184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William N. Thorndike, Jr.</w:t>
            </w:r>
          </w:p>
        </w:tc>
        <w:tc>
          <w:tcPr>
            <w:tcW w:w="2700" w:type="dxa"/>
            <w:vAlign w:val="bottom"/>
            <w:gridSpan w:val="4"/>
            <w:shd w:val="clear" w:color="auto" w:fill="CCEEFF"/>
          </w:tcPr>
          <w:p>
            <w:pPr>
              <w:jc w:val="center"/>
              <w:ind w:left="1710"/>
              <w:spacing w:after="0"/>
              <w:rPr>
                <w:sz w:val="20"/>
                <w:szCs w:val="20"/>
                <w:color w:val="auto"/>
              </w:rPr>
            </w:pPr>
            <w:r>
              <w:rPr>
                <w:rFonts w:ascii="Arial" w:cs="Arial" w:eastAsia="Arial" w:hAnsi="Arial"/>
                <w:sz w:val="18"/>
                <w:szCs w:val="18"/>
                <w:color w:val="auto"/>
                <w:w w:val="89"/>
              </w:rPr>
              <w:t>143,799,581</w:t>
            </w:r>
          </w:p>
        </w:tc>
        <w:tc>
          <w:tcPr>
            <w:tcW w:w="3200" w:type="dxa"/>
            <w:vAlign w:val="bottom"/>
            <w:gridSpan w:val="2"/>
            <w:shd w:val="clear" w:color="auto" w:fill="CCEEFF"/>
          </w:tcPr>
          <w:p>
            <w:pPr>
              <w:ind w:left="1820"/>
              <w:spacing w:after="0"/>
              <w:rPr>
                <w:sz w:val="20"/>
                <w:szCs w:val="20"/>
                <w:color w:val="auto"/>
              </w:rPr>
            </w:pPr>
            <w:r>
              <w:rPr>
                <w:rFonts w:ascii="Arial" w:cs="Arial" w:eastAsia="Arial" w:hAnsi="Arial"/>
                <w:sz w:val="18"/>
                <w:szCs w:val="18"/>
                <w:color w:val="auto"/>
              </w:rPr>
              <w:t>1,536,492</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Item No. 2 – Approval, on an Advisory Basis, of Named Executive Officer Compensation</w:t>
      </w:r>
      <w:r>
        <w:rPr>
          <w:rFonts w:ascii="Arial" w:cs="Arial" w:eastAsia="Arial" w:hAnsi="Arial"/>
          <w:sz w:val="18"/>
          <w:szCs w:val="18"/>
          <w:color w:val="auto"/>
        </w:rPr>
        <w:t>. Based on the preliminary results from Innisfree, the Company’s shareholders approved, by advisory vote, the compensation of the Company’s named executive officers.</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241"/>
        </w:trPr>
        <w:tc>
          <w:tcPr>
            <w:tcW w:w="27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For</w:t>
            </w:r>
          </w:p>
        </w:tc>
        <w:tc>
          <w:tcPr>
            <w:tcW w:w="24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Against</w:t>
            </w:r>
          </w:p>
        </w:tc>
        <w:tc>
          <w:tcPr>
            <w:tcW w:w="2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Abstain/Withhold</w:t>
            </w:r>
          </w:p>
        </w:tc>
      </w:tr>
      <w:tr>
        <w:trPr>
          <w:trHeight w:val="216"/>
        </w:trPr>
        <w:tc>
          <w:tcPr>
            <w:tcW w:w="272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8"/>
              </w:rPr>
              <w:t>1,122,107,343</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86"/>
              </w:rPr>
              <w:t>37,243,508</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4"/>
              </w:rPr>
              <w:t>5,865,485</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Item No. 3 – Approval of the General Motors Company 2017 Short-Term Incentive Plan</w:t>
      </w:r>
      <w:r>
        <w:rPr>
          <w:rFonts w:ascii="Arial" w:cs="Arial" w:eastAsia="Arial" w:hAnsi="Arial"/>
          <w:sz w:val="18"/>
          <w:szCs w:val="18"/>
          <w:color w:val="auto"/>
        </w:rPr>
        <w:t>. Based on the preliminary results from Innisfree, the Company’s shareholders approved the General Motors Company 2017 Short-Term Incentive Plan.</w:t>
      </w:r>
    </w:p>
    <w:p>
      <w:pPr>
        <w:sectPr>
          <w:pgSz w:w="11900" w:h="16838" w:orient="portrait"/>
          <w:cols w:equalWidth="0" w:num="1">
            <w:col w:w="11420"/>
          </w:cols>
          <w:pgMar w:left="240" w:top="274" w:right="239" w:bottom="1440" w:gutter="0" w:footer="0" w:header="0"/>
        </w:sectPr>
      </w:pPr>
    </w:p>
    <w:bookmarkStart w:id="3" w:name="page4"/>
    <w:bookmarkEnd w:id="3"/>
    <w:tbl>
      <w:tblPr>
        <w:tblLayout w:type="fixed"/>
        <w:tblInd w:w="1840" w:type="dxa"/>
        <w:tblCellMar>
          <w:top w:w="0" w:type="dxa"/>
          <w:left w:w="0" w:type="dxa"/>
          <w:bottom w:w="0" w:type="dxa"/>
          <w:right w:w="0" w:type="dxa"/>
        </w:tblCellMar>
      </w:tblPr>
      <w:tr>
        <w:trPr>
          <w:trHeight w:val="241"/>
        </w:trPr>
        <w:tc>
          <w:tcPr>
            <w:tcW w:w="27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For</w:t>
            </w:r>
          </w:p>
        </w:tc>
        <w:tc>
          <w:tcPr>
            <w:tcW w:w="24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Against</w:t>
            </w:r>
          </w:p>
        </w:tc>
        <w:tc>
          <w:tcPr>
            <w:tcW w:w="2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Abstain/Withhold</w:t>
            </w:r>
          </w:p>
        </w:tc>
      </w:tr>
      <w:tr>
        <w:trPr>
          <w:trHeight w:val="216"/>
        </w:trPr>
        <w:tc>
          <w:tcPr>
            <w:tcW w:w="272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8"/>
              </w:rPr>
              <w:t>1,120,600,360</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86"/>
              </w:rPr>
              <w:t>39,097,608</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4"/>
              </w:rPr>
              <w:t>5,518,948</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u w:val="single" w:color="auto"/>
          <w:color w:val="auto"/>
        </w:rPr>
        <w:t>Item No. 4 – Approval of the General Motors Company 2017 Long-Term Incentive Plan</w:t>
      </w:r>
      <w:r>
        <w:rPr>
          <w:rFonts w:ascii="Arial" w:cs="Arial" w:eastAsia="Arial" w:hAnsi="Arial"/>
          <w:sz w:val="18"/>
          <w:szCs w:val="18"/>
          <w:color w:val="auto"/>
        </w:rPr>
        <w:t>. Based on the preliminary results from Innisfree, the Company’s shareholders approved the General Motors Company 2017 Long-Term Incentive Plan.</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241"/>
        </w:trPr>
        <w:tc>
          <w:tcPr>
            <w:tcW w:w="27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For</w:t>
            </w:r>
          </w:p>
        </w:tc>
        <w:tc>
          <w:tcPr>
            <w:tcW w:w="24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Against</w:t>
            </w:r>
          </w:p>
        </w:tc>
        <w:tc>
          <w:tcPr>
            <w:tcW w:w="2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Abstain/Withhold</w:t>
            </w:r>
          </w:p>
        </w:tc>
      </w:tr>
      <w:tr>
        <w:trPr>
          <w:trHeight w:val="216"/>
        </w:trPr>
        <w:tc>
          <w:tcPr>
            <w:tcW w:w="2720" w:type="dxa"/>
            <w:vAlign w:val="bottom"/>
            <w:shd w:val="clear" w:color="auto" w:fill="CCEEFF"/>
          </w:tcPr>
          <w:p>
            <w:pPr>
              <w:jc w:val="right"/>
              <w:ind w:right="1610"/>
              <w:spacing w:after="0"/>
              <w:rPr>
                <w:sz w:val="20"/>
                <w:szCs w:val="20"/>
                <w:color w:val="auto"/>
              </w:rPr>
            </w:pPr>
            <w:r>
              <w:rPr>
                <w:rFonts w:ascii="Arial" w:cs="Arial" w:eastAsia="Arial" w:hAnsi="Arial"/>
                <w:sz w:val="18"/>
                <w:szCs w:val="18"/>
                <w:color w:val="auto"/>
                <w:w w:val="86"/>
              </w:rPr>
              <w:t>1,122,249,911</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86"/>
              </w:rPr>
              <w:t>37,579,925</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4"/>
              </w:rPr>
              <w:t>5,386,993</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Item No. 5 – Ratification of the Selection of Deloitte &amp; Touche LLP as the Company’s Independent Registered Public Accounting Firm for 2017</w:t>
      </w:r>
      <w:r>
        <w:rPr>
          <w:rFonts w:ascii="Arial" w:cs="Arial" w:eastAsia="Arial" w:hAnsi="Arial"/>
          <w:sz w:val="18"/>
          <w:szCs w:val="18"/>
          <w:color w:val="auto"/>
        </w:rPr>
        <w:t>. Based on the preliminary results from Innisfree, the Company’s shareholders ratified the appointment of Deloitte &amp; Touche LLP as the Company’s independent registered public accounting firm for 2017.</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241"/>
        </w:trPr>
        <w:tc>
          <w:tcPr>
            <w:tcW w:w="27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For</w:t>
            </w:r>
          </w:p>
        </w:tc>
        <w:tc>
          <w:tcPr>
            <w:tcW w:w="24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Against</w:t>
            </w:r>
          </w:p>
        </w:tc>
        <w:tc>
          <w:tcPr>
            <w:tcW w:w="2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Abstain/Withhold</w:t>
            </w:r>
          </w:p>
        </w:tc>
      </w:tr>
      <w:tr>
        <w:trPr>
          <w:trHeight w:val="216"/>
        </w:trPr>
        <w:tc>
          <w:tcPr>
            <w:tcW w:w="2720" w:type="dxa"/>
            <w:vAlign w:val="bottom"/>
            <w:shd w:val="clear" w:color="auto" w:fill="CCEEFF"/>
          </w:tcPr>
          <w:p>
            <w:pPr>
              <w:jc w:val="right"/>
              <w:ind w:right="1590"/>
              <w:spacing w:after="0"/>
              <w:rPr>
                <w:sz w:val="20"/>
                <w:szCs w:val="20"/>
                <w:color w:val="auto"/>
              </w:rPr>
            </w:pPr>
            <w:r>
              <w:rPr>
                <w:rFonts w:ascii="Arial" w:cs="Arial" w:eastAsia="Arial" w:hAnsi="Arial"/>
                <w:sz w:val="18"/>
                <w:szCs w:val="18"/>
                <w:color w:val="auto"/>
                <w:w w:val="88"/>
              </w:rPr>
              <w:t>1,226,251,591</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86"/>
              </w:rPr>
              <w:t>15,966,667</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4"/>
              </w:rPr>
              <w:t>4,284,876</w:t>
            </w: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Item No. 6 – Shareholder Proposal Regarding Independent Board Chairman</w:t>
      </w:r>
      <w:r>
        <w:rPr>
          <w:rFonts w:ascii="Arial" w:cs="Arial" w:eastAsia="Arial" w:hAnsi="Arial"/>
          <w:sz w:val="18"/>
          <w:szCs w:val="18"/>
          <w:color w:val="auto"/>
        </w:rPr>
        <w:t>. Based on the preliminary results from Innisfree, the Company’s shareholders did not approve a shareholder proposal regarding an independent board chairman.</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241"/>
        </w:trPr>
        <w:tc>
          <w:tcPr>
            <w:tcW w:w="27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For</w:t>
            </w:r>
          </w:p>
        </w:tc>
        <w:tc>
          <w:tcPr>
            <w:tcW w:w="24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Against</w:t>
            </w:r>
          </w:p>
        </w:tc>
        <w:tc>
          <w:tcPr>
            <w:tcW w:w="2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Abstain/Withhold</w:t>
            </w:r>
          </w:p>
        </w:tc>
      </w:tr>
      <w:tr>
        <w:trPr>
          <w:trHeight w:val="216"/>
        </w:trPr>
        <w:tc>
          <w:tcPr>
            <w:tcW w:w="272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87"/>
              </w:rPr>
              <w:t>481,780,557</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87"/>
              </w:rPr>
              <w:t>677,988,562</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4"/>
              </w:rPr>
              <w:t>5,445,961</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u w:val="single" w:color="auto"/>
          <w:color w:val="auto"/>
        </w:rPr>
        <w:t>Item No. 7 – Greenlight Proposal Regarding Creation of Dual-Class Common Stock</w:t>
      </w:r>
      <w:r>
        <w:rPr>
          <w:rFonts w:ascii="Arial" w:cs="Arial" w:eastAsia="Arial" w:hAnsi="Arial"/>
          <w:sz w:val="18"/>
          <w:szCs w:val="18"/>
          <w:color w:val="auto"/>
        </w:rPr>
        <w:t>. Based on the preliminary results from Innisfree, the Company’s shareholders did not approve Greenlight’s proposal regarding the creation of dual-class common stock.</w:t>
      </w:r>
    </w:p>
    <w:p>
      <w:pPr>
        <w:spacing w:after="0" w:line="193" w:lineRule="exact"/>
        <w:rPr>
          <w:sz w:val="20"/>
          <w:szCs w:val="20"/>
          <w:color w:val="auto"/>
        </w:rPr>
      </w:pPr>
    </w:p>
    <w:tbl>
      <w:tblPr>
        <w:tblLayout w:type="fixed"/>
        <w:tblInd w:w="1840" w:type="dxa"/>
        <w:tblCellMar>
          <w:top w:w="0" w:type="dxa"/>
          <w:left w:w="0" w:type="dxa"/>
          <w:bottom w:w="0" w:type="dxa"/>
          <w:right w:w="0" w:type="dxa"/>
        </w:tblCellMar>
      </w:tblPr>
      <w:tr>
        <w:trPr>
          <w:trHeight w:val="241"/>
        </w:trPr>
        <w:tc>
          <w:tcPr>
            <w:tcW w:w="272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For</w:t>
            </w:r>
          </w:p>
        </w:tc>
        <w:tc>
          <w:tcPr>
            <w:tcW w:w="24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Against</w:t>
            </w:r>
          </w:p>
        </w:tc>
        <w:tc>
          <w:tcPr>
            <w:tcW w:w="2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Abstain/Withhold</w:t>
            </w:r>
          </w:p>
        </w:tc>
      </w:tr>
      <w:tr>
        <w:trPr>
          <w:trHeight w:val="216"/>
        </w:trPr>
        <w:tc>
          <w:tcPr>
            <w:tcW w:w="272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86"/>
              </w:rPr>
              <w:t>89,631,372</w:t>
            </w:r>
          </w:p>
        </w:tc>
        <w:tc>
          <w:tcPr>
            <w:tcW w:w="240" w:type="dxa"/>
            <w:vAlign w:val="bottom"/>
            <w:shd w:val="clear" w:color="auto" w:fill="CCEEFF"/>
          </w:tcPr>
          <w:p>
            <w:pPr>
              <w:spacing w:after="0"/>
              <w:rPr>
                <w:sz w:val="18"/>
                <w:szCs w:val="18"/>
                <w:color w:val="auto"/>
              </w:rPr>
            </w:pPr>
          </w:p>
        </w:tc>
        <w:tc>
          <w:tcPr>
            <w:tcW w:w="232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88"/>
              </w:rPr>
              <w:t>1,066,859,165</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450"/>
              <w:spacing w:after="0"/>
              <w:rPr>
                <w:sz w:val="20"/>
                <w:szCs w:val="20"/>
                <w:color w:val="auto"/>
              </w:rPr>
            </w:pPr>
            <w:r>
              <w:rPr>
                <w:rFonts w:ascii="Arial" w:cs="Arial" w:eastAsia="Arial" w:hAnsi="Arial"/>
                <w:sz w:val="18"/>
                <w:szCs w:val="18"/>
                <w:color w:val="auto"/>
                <w:w w:val="84"/>
              </w:rPr>
              <w:t>8,724,129</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60" w:lineRule="exact"/>
        <w:rPr>
          <w:sz w:val="20"/>
          <w:szCs w:val="20"/>
          <w:color w:val="auto"/>
        </w:rPr>
      </w:pPr>
    </w:p>
    <w:p>
      <w:pPr>
        <w:ind w:left="920" w:right="320" w:hanging="737"/>
        <w:spacing w:after="0" w:line="277" w:lineRule="auto"/>
        <w:tabs>
          <w:tab w:leader="none" w:pos="9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General Motors Company 2017 Short-Term Incentive Plan (incorporated herein by reference to Appendix A to the General Motors Company Definitive Proxy Statement on Schedule 14A filed April 13, 2017).</w:t>
      </w:r>
    </w:p>
    <w:p>
      <w:pPr>
        <w:spacing w:after="0" w:line="62" w:lineRule="exact"/>
        <w:rPr>
          <w:sz w:val="20"/>
          <w:szCs w:val="20"/>
          <w:color w:val="auto"/>
        </w:rPr>
      </w:pPr>
    </w:p>
    <w:p>
      <w:pPr>
        <w:ind w:left="920" w:right="340" w:hanging="737"/>
        <w:spacing w:after="0" w:line="277" w:lineRule="auto"/>
        <w:tabs>
          <w:tab w:leader="none" w:pos="9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General Motors Company 2017 Long-Term Incentive Plan (incorporated herein by reference to Appendix B to the General Motors Company Definitive Proxy Statement on Schedule 14A filed April 13, 2017).</w:t>
      </w:r>
    </w:p>
    <w:p>
      <w:pPr>
        <w:spacing w:after="0" w:line="62" w:lineRule="exact"/>
        <w:rPr>
          <w:sz w:val="20"/>
          <w:szCs w:val="20"/>
          <w:color w:val="auto"/>
        </w:rPr>
      </w:pPr>
    </w:p>
    <w:p>
      <w:pPr>
        <w:ind w:left="20" w:right="960" w:firstLine="175"/>
        <w:spacing w:after="0" w:line="402" w:lineRule="auto"/>
        <w:rPr>
          <w:sz w:val="20"/>
          <w:szCs w:val="20"/>
          <w:color w:val="auto"/>
        </w:rPr>
      </w:pPr>
      <w:r>
        <w:rPr>
          <w:rFonts w:ascii="Arial" w:cs="Arial" w:eastAsia="Arial" w:hAnsi="Arial"/>
          <w:sz w:val="18"/>
          <w:szCs w:val="18"/>
          <w:color w:val="auto"/>
        </w:rPr>
        <w:t>10.3* Form of Non-Qualified Stock Option Grant Award Agreement under the General Motors Company 2017 Long-Term Incentive Plan. * filed herewith</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80" w:type="dxa"/>
            <w:vAlign w:val="bottom"/>
            <w:vMerge w:val="restart"/>
          </w:tcPr>
          <w:p>
            <w:pPr>
              <w:spacing w:after="0"/>
              <w:rPr>
                <w:sz w:val="20"/>
                <w:szCs w:val="20"/>
                <w:color w:val="auto"/>
              </w:rPr>
            </w:pPr>
            <w:r>
              <w:rPr>
                <w:rFonts w:ascii="Arial" w:cs="Arial" w:eastAsia="Arial" w:hAnsi="Arial"/>
                <w:sz w:val="18"/>
                <w:szCs w:val="18"/>
                <w:color w:val="auto"/>
              </w:rPr>
              <w:t>Date: June 12, 2017</w:t>
            </w:r>
          </w:p>
        </w:tc>
        <w:tc>
          <w:tcPr>
            <w:tcW w:w="2500" w:type="dxa"/>
            <w:vAlign w:val="bottom"/>
            <w:vMerge w:val="restart"/>
          </w:tcPr>
          <w:p>
            <w:pPr>
              <w:ind w:left="2220"/>
              <w:spacing w:after="0"/>
              <w:rPr>
                <w:sz w:val="20"/>
                <w:szCs w:val="20"/>
                <w:color w:val="auto"/>
              </w:rPr>
            </w:pPr>
            <w:r>
              <w:rPr>
                <w:rFonts w:ascii="Arial" w:cs="Arial" w:eastAsia="Arial" w:hAnsi="Arial"/>
                <w:sz w:val="18"/>
                <w:szCs w:val="18"/>
                <w:color w:val="auto"/>
                <w:w w:val="99"/>
              </w:rPr>
              <w:t>By:</w:t>
            </w:r>
          </w:p>
        </w:tc>
        <w:tc>
          <w:tcPr>
            <w:tcW w:w="1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Jill E. Sutton</w:t>
            </w: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2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Jill E. Sutton</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Deputy General Counsel &amp; Corporate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10.3</w:t>
      </w: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General Motors Company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2017 Long-Term Incentive Plan</w:t>
      </w:r>
    </w:p>
    <w:p>
      <w:pPr>
        <w:jc w:val="center"/>
        <w:ind w:right="20"/>
        <w:spacing w:after="0"/>
        <w:rPr>
          <w:sz w:val="20"/>
          <w:szCs w:val="20"/>
          <w:color w:val="auto"/>
        </w:rPr>
      </w:pPr>
      <w:r>
        <w:rPr>
          <w:rFonts w:ascii="Arial" w:cs="Arial" w:eastAsia="Arial" w:hAnsi="Arial"/>
          <w:sz w:val="20"/>
          <w:szCs w:val="20"/>
          <w:b w:val="1"/>
          <w:bCs w:val="1"/>
          <w:color w:val="auto"/>
        </w:rPr>
        <w:t>2017 Non-Qualified Stock Option Grant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Non-Qualified Stock Options</w:t>
      </w:r>
    </w:p>
    <w:p>
      <w:pPr>
        <w:spacing w:after="0" w:line="33"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Options</w:t>
      </w:r>
      <w:r>
        <w:rPr>
          <w:rFonts w:ascii="Arial" w:cs="Arial" w:eastAsia="Arial" w:hAnsi="Arial"/>
          <w:sz w:val="20"/>
          <w:szCs w:val="20"/>
          <w:color w:val="auto"/>
        </w:rPr>
        <w:t>”) under the General Motors Company 2017 Long-Term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 As the Options vest, you have the right to purchase Shares at the exercise price noted below (“</w:t>
      </w:r>
      <w:r>
        <w:rPr>
          <w:rFonts w:ascii="Arial" w:cs="Arial" w:eastAsia="Arial" w:hAnsi="Arial"/>
          <w:sz w:val="20"/>
          <w:szCs w:val="20"/>
          <w:b w:val="1"/>
          <w:bCs w:val="1"/>
          <w:color w:val="auto"/>
        </w:rPr>
        <w:t>Exercise Price</w:t>
      </w:r>
      <w:r>
        <w:rPr>
          <w:rFonts w:ascii="Arial" w:cs="Arial" w:eastAsia="Arial" w:hAnsi="Arial"/>
          <w:sz w:val="20"/>
          <w:szCs w:val="20"/>
          <w:color w:val="auto"/>
        </w:rPr>
        <w:t>”).</w:t>
      </w:r>
    </w:p>
    <w:p>
      <w:pPr>
        <w:spacing w:after="0" w:line="19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5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Issuer</w:t>
            </w:r>
          </w:p>
        </w:tc>
        <w:tc>
          <w:tcPr>
            <w:tcW w:w="890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General Motors Company, a Delaware corporation</w:t>
            </w:r>
          </w:p>
        </w:tc>
      </w:tr>
      <w:tr>
        <w:trPr>
          <w:trHeight w:val="230"/>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8900" w:type="dxa"/>
            <w:vAlign w:val="bottom"/>
            <w:tcBorders>
              <w:bottom w:val="single" w:sz="8" w:color="auto"/>
              <w:right w:val="single" w:sz="8" w:color="auto"/>
            </w:tcBorders>
          </w:tcPr>
          <w:p>
            <w:pPr>
              <w:spacing w:after="0"/>
              <w:rPr>
                <w:sz w:val="19"/>
                <w:szCs w:val="19"/>
                <w:color w:val="auto"/>
              </w:rPr>
            </w:pPr>
          </w:p>
        </w:tc>
      </w:tr>
      <w:tr>
        <w:trPr>
          <w:trHeight w:val="200"/>
        </w:trPr>
        <w:tc>
          <w:tcPr>
            <w:tcW w:w="2540" w:type="dxa"/>
            <w:vAlign w:val="bottom"/>
            <w:tcBorders>
              <w:left w:val="single" w:sz="8" w:color="auto"/>
              <w:right w:val="single" w:sz="8" w:color="auto"/>
            </w:tcBorders>
          </w:tcPr>
          <w:p>
            <w:pPr>
              <w:ind w:left="160"/>
              <w:spacing w:after="0" w:line="200" w:lineRule="exact"/>
              <w:rPr>
                <w:sz w:val="20"/>
                <w:szCs w:val="20"/>
                <w:color w:val="auto"/>
              </w:rPr>
            </w:pPr>
            <w:r>
              <w:rPr>
                <w:rFonts w:ascii="Arial" w:cs="Arial" w:eastAsia="Arial" w:hAnsi="Arial"/>
                <w:sz w:val="20"/>
                <w:szCs w:val="20"/>
                <w:b w:val="1"/>
                <w:bCs w:val="1"/>
                <w:color w:val="auto"/>
              </w:rPr>
              <w:t>Number of Options</w:t>
            </w:r>
          </w:p>
        </w:tc>
        <w:tc>
          <w:tcPr>
            <w:tcW w:w="8900" w:type="dxa"/>
            <w:vAlign w:val="bottom"/>
            <w:tcBorders>
              <w:right w:val="single" w:sz="8" w:color="auto"/>
            </w:tcBorders>
          </w:tcPr>
          <w:p>
            <w:pPr>
              <w:ind w:left="200"/>
              <w:spacing w:after="0" w:line="200" w:lineRule="exact"/>
              <w:rPr>
                <w:sz w:val="20"/>
                <w:szCs w:val="20"/>
                <w:color w:val="auto"/>
              </w:rPr>
            </w:pPr>
            <w:r>
              <w:rPr>
                <w:rFonts w:ascii="Arial" w:cs="Arial" w:eastAsia="Arial" w:hAnsi="Arial"/>
                <w:sz w:val="20"/>
                <w:szCs w:val="20"/>
                <w:b w:val="1"/>
                <w:bCs w:val="1"/>
                <w:color w:val="auto"/>
              </w:rPr>
              <w:t>[Insert Number of Options]</w:t>
            </w:r>
          </w:p>
        </w:tc>
      </w:tr>
      <w:tr>
        <w:trPr>
          <w:trHeight w:val="256"/>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Granted To You</w:t>
            </w:r>
          </w:p>
        </w:tc>
        <w:tc>
          <w:tcPr>
            <w:tcW w:w="8900" w:type="dxa"/>
            <w:vAlign w:val="bottom"/>
            <w:tcBorders>
              <w:right w:val="single" w:sz="8" w:color="auto"/>
            </w:tcBorders>
          </w:tcPr>
          <w:p>
            <w:pPr>
              <w:spacing w:after="0"/>
              <w:rPr>
                <w:sz w:val="22"/>
                <w:szCs w:val="22"/>
                <w:color w:val="auto"/>
              </w:rPr>
            </w:pPr>
          </w:p>
        </w:tc>
      </w:tr>
      <w:tr>
        <w:trPr>
          <w:trHeight w:val="253"/>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right w:val="single" w:sz="8" w:color="auto"/>
            </w:tcBorders>
          </w:tcPr>
          <w:p>
            <w:pPr>
              <w:spacing w:after="0"/>
              <w:rPr>
                <w:sz w:val="21"/>
                <w:szCs w:val="21"/>
                <w:color w:val="auto"/>
              </w:rPr>
            </w:pPr>
          </w:p>
        </w:tc>
      </w:tr>
      <w:tr>
        <w:trPr>
          <w:trHeight w:val="250"/>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Exercise Price</w:t>
            </w: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$34.34</w:t>
            </w:r>
          </w:p>
        </w:tc>
      </w:tr>
      <w:tr>
        <w:trPr>
          <w:trHeight w:val="230"/>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8900" w:type="dxa"/>
            <w:vAlign w:val="bottom"/>
            <w:tcBorders>
              <w:bottom w:val="single" w:sz="8" w:color="auto"/>
              <w:right w:val="single" w:sz="8" w:color="auto"/>
            </w:tcBorders>
          </w:tcPr>
          <w:p>
            <w:pPr>
              <w:spacing w:after="0"/>
              <w:rPr>
                <w:sz w:val="19"/>
                <w:szCs w:val="19"/>
                <w:color w:val="auto"/>
              </w:rPr>
            </w:pPr>
          </w:p>
        </w:tc>
      </w:tr>
      <w:tr>
        <w:trPr>
          <w:trHeight w:val="250"/>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Grant Date</w:t>
            </w: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June 7, 2017</w:t>
            </w:r>
          </w:p>
        </w:tc>
      </w:tr>
      <w:tr>
        <w:trPr>
          <w:trHeight w:val="230"/>
        </w:trPr>
        <w:tc>
          <w:tcPr>
            <w:tcW w:w="2540" w:type="dxa"/>
            <w:vAlign w:val="bottom"/>
            <w:tcBorders>
              <w:left w:val="single" w:sz="8" w:color="auto"/>
              <w:bottom w:val="single" w:sz="8" w:color="auto"/>
              <w:right w:val="single" w:sz="8" w:color="auto"/>
            </w:tcBorders>
          </w:tcPr>
          <w:p>
            <w:pPr>
              <w:spacing w:after="0"/>
              <w:rPr>
                <w:sz w:val="19"/>
                <w:szCs w:val="19"/>
                <w:color w:val="auto"/>
              </w:rPr>
            </w:pPr>
          </w:p>
        </w:tc>
        <w:tc>
          <w:tcPr>
            <w:tcW w:w="8900" w:type="dxa"/>
            <w:vAlign w:val="bottom"/>
            <w:tcBorders>
              <w:bottom w:val="single" w:sz="8" w:color="auto"/>
              <w:right w:val="single" w:sz="8" w:color="auto"/>
            </w:tcBorders>
          </w:tcPr>
          <w:p>
            <w:pPr>
              <w:spacing w:after="0"/>
              <w:rPr>
                <w:sz w:val="19"/>
                <w:szCs w:val="19"/>
                <w:color w:val="auto"/>
              </w:rPr>
            </w:pPr>
          </w:p>
        </w:tc>
      </w:tr>
      <w:tr>
        <w:trPr>
          <w:trHeight w:val="200"/>
        </w:trPr>
        <w:tc>
          <w:tcPr>
            <w:tcW w:w="2540" w:type="dxa"/>
            <w:vAlign w:val="bottom"/>
            <w:tcBorders>
              <w:left w:val="single" w:sz="8" w:color="auto"/>
              <w:right w:val="single" w:sz="8" w:color="auto"/>
            </w:tcBorders>
          </w:tcPr>
          <w:p>
            <w:pPr>
              <w:ind w:left="160"/>
              <w:spacing w:after="0" w:line="200" w:lineRule="exact"/>
              <w:rPr>
                <w:sz w:val="20"/>
                <w:szCs w:val="20"/>
                <w:color w:val="auto"/>
              </w:rPr>
            </w:pPr>
            <w:r>
              <w:rPr>
                <w:rFonts w:ascii="Arial" w:cs="Arial" w:eastAsia="Arial" w:hAnsi="Arial"/>
                <w:sz w:val="20"/>
                <w:szCs w:val="20"/>
                <w:b w:val="1"/>
                <w:bCs w:val="1"/>
                <w:color w:val="auto"/>
              </w:rPr>
              <w:t>Vesting Commencement</w:t>
            </w:r>
          </w:p>
        </w:tc>
        <w:tc>
          <w:tcPr>
            <w:tcW w:w="8900" w:type="dxa"/>
            <w:vAlign w:val="bottom"/>
            <w:tcBorders>
              <w:right w:val="single" w:sz="8" w:color="auto"/>
            </w:tcBorders>
          </w:tcPr>
          <w:p>
            <w:pPr>
              <w:ind w:left="200"/>
              <w:spacing w:after="0" w:line="200" w:lineRule="exact"/>
              <w:rPr>
                <w:sz w:val="20"/>
                <w:szCs w:val="20"/>
                <w:color w:val="auto"/>
              </w:rPr>
            </w:pPr>
            <w:r>
              <w:rPr>
                <w:rFonts w:ascii="Arial" w:cs="Arial" w:eastAsia="Arial" w:hAnsi="Arial"/>
                <w:sz w:val="20"/>
                <w:szCs w:val="20"/>
                <w:color w:val="auto"/>
              </w:rPr>
              <w:t>February 14, 2017</w:t>
            </w:r>
          </w:p>
        </w:tc>
      </w:tr>
      <w:tr>
        <w:trPr>
          <w:trHeight w:val="256"/>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Date</w:t>
            </w:r>
          </w:p>
        </w:tc>
        <w:tc>
          <w:tcPr>
            <w:tcW w:w="8900" w:type="dxa"/>
            <w:vAlign w:val="bottom"/>
            <w:tcBorders>
              <w:right w:val="single" w:sz="8" w:color="auto"/>
            </w:tcBorders>
          </w:tcPr>
          <w:p>
            <w:pPr>
              <w:spacing w:after="0"/>
              <w:rPr>
                <w:sz w:val="22"/>
                <w:szCs w:val="22"/>
                <w:color w:val="auto"/>
              </w:rPr>
            </w:pPr>
          </w:p>
        </w:tc>
      </w:tr>
      <w:tr>
        <w:trPr>
          <w:trHeight w:val="253"/>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right w:val="single" w:sz="8" w:color="auto"/>
            </w:tcBorders>
          </w:tcPr>
          <w:p>
            <w:pPr>
              <w:spacing w:after="0"/>
              <w:rPr>
                <w:sz w:val="21"/>
                <w:szCs w:val="21"/>
                <w:color w:val="auto"/>
              </w:rPr>
            </w:pPr>
          </w:p>
        </w:tc>
      </w:tr>
      <w:tr>
        <w:trPr>
          <w:trHeight w:val="206"/>
        </w:trPr>
        <w:tc>
          <w:tcPr>
            <w:tcW w:w="254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b w:val="1"/>
                <w:bCs w:val="1"/>
                <w:color w:val="auto"/>
              </w:rPr>
              <w:t>Vesting Schedule</w:t>
            </w:r>
          </w:p>
        </w:tc>
        <w:tc>
          <w:tcPr>
            <w:tcW w:w="890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20"/>
                <w:szCs w:val="20"/>
                <w:color w:val="auto"/>
                <w:w w:val="91"/>
              </w:rPr>
              <w:t>One-third of the Options will vest on the first, second and third anniversaries of the Vesting Commencement</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Date as follows:</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One-third on February 14, 2018</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One-third on February 14, 2019</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One-third on February 14, 2020</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0"/>
              </w:rPr>
              <w:t>For purposes of calculating the pro rata portion of the Award as may be required under the terms of the Plan,</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0"/>
              </w:rPr>
              <w:t>the time period for such proration will be deemed to have commenced on the Vesting Commencement Date.</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0"/>
              </w:rPr>
              <w:t>Except as otherwise provided in the Plan and this Award Document, any portion of the Options not vested as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of a Termination of Service shall be forfeited.</w:t>
            </w:r>
          </w:p>
        </w:tc>
      </w:tr>
      <w:tr>
        <w:trPr>
          <w:trHeight w:val="253"/>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right w:val="single" w:sz="8" w:color="auto"/>
            </w:tcBorders>
          </w:tcPr>
          <w:p>
            <w:pPr>
              <w:spacing w:after="0"/>
              <w:rPr>
                <w:sz w:val="21"/>
                <w:szCs w:val="21"/>
                <w:color w:val="auto"/>
              </w:rPr>
            </w:pPr>
          </w:p>
        </w:tc>
      </w:tr>
      <w:tr>
        <w:trPr>
          <w:trHeight w:val="250"/>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Expiration Date</w:t>
            </w: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June 7, 2027 upon the close of the New York Stock Exchange.</w:t>
            </w:r>
          </w:p>
        </w:tc>
      </w:tr>
      <w:tr>
        <w:trPr>
          <w:trHeight w:val="455"/>
        </w:trPr>
        <w:tc>
          <w:tcPr>
            <w:tcW w:w="2540" w:type="dxa"/>
            <w:vAlign w:val="bottom"/>
            <w:tcBorders>
              <w:left w:val="single" w:sz="8" w:color="auto"/>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Any unexercised Options that remain following the Expiration Date shall be forfeited.</w:t>
            </w:r>
          </w:p>
        </w:tc>
      </w:tr>
    </w:tbl>
    <w:p>
      <w:pPr>
        <w:sectPr>
          <w:pgSz w:w="11900" w:h="16838" w:orient="portrait"/>
          <w:cols w:equalWidth="0" w:num="1">
            <w:col w:w="11440"/>
          </w:cols>
          <w:pgMar w:left="240" w:top="111" w:right="2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6"/>
        </w:trPr>
        <w:tc>
          <w:tcPr>
            <w:tcW w:w="2540" w:type="dxa"/>
            <w:vAlign w:val="bottom"/>
            <w:tcBorders>
              <w:top w:val="single" w:sz="8" w:color="auto"/>
              <w:left w:val="single" w:sz="8" w:color="auto"/>
              <w:right w:val="single" w:sz="8" w:color="auto"/>
            </w:tcBorders>
          </w:tcPr>
          <w:p>
            <w:pPr>
              <w:ind w:left="160"/>
              <w:spacing w:after="0" w:line="227" w:lineRule="exact"/>
              <w:rPr>
                <w:sz w:val="20"/>
                <w:szCs w:val="20"/>
                <w:color w:val="auto"/>
              </w:rPr>
            </w:pPr>
            <w:r>
              <w:rPr>
                <w:rFonts w:ascii="Arial" w:cs="Arial" w:eastAsia="Arial" w:hAnsi="Arial"/>
                <w:sz w:val="20"/>
                <w:szCs w:val="20"/>
                <w:b w:val="1"/>
                <w:bCs w:val="1"/>
                <w:color w:val="auto"/>
              </w:rPr>
              <w:t>Form of Settlement</w:t>
            </w:r>
          </w:p>
        </w:tc>
        <w:tc>
          <w:tcPr>
            <w:tcW w:w="8900" w:type="dxa"/>
            <w:vAlign w:val="bottom"/>
            <w:tcBorders>
              <w:top w:val="single" w:sz="8" w:color="auto"/>
              <w:right w:val="single" w:sz="8" w:color="auto"/>
            </w:tcBorders>
          </w:tcPr>
          <w:p>
            <w:pPr>
              <w:ind w:left="200"/>
              <w:spacing w:after="0" w:line="227" w:lineRule="exact"/>
              <w:rPr>
                <w:sz w:val="20"/>
                <w:szCs w:val="20"/>
                <w:color w:val="auto"/>
              </w:rPr>
            </w:pPr>
            <w:r>
              <w:rPr>
                <w:rFonts w:ascii="Arial" w:cs="Arial" w:eastAsia="Arial" w:hAnsi="Arial"/>
                <w:sz w:val="20"/>
                <w:szCs w:val="20"/>
                <w:color w:val="auto"/>
                <w:w w:val="90"/>
              </w:rPr>
              <w:t>Unless otherwise prohibited by the Plan, this Award Document, law or administrative rules established under</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the Plan, your Options may be exercised and settled in the following ways:</w:t>
            </w:r>
          </w:p>
        </w:tc>
      </w:tr>
      <w:tr>
        <w:trPr>
          <w:trHeight w:val="473"/>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Buy and Hold – Exercise Options to buy Shares using cash and then hold the Shares;</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89"/>
              </w:rPr>
              <w:t>Cashless – Exercise Options to buy Shares and sell the acquired Shares at the same time without using cash.</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Net proceeds received in cash;</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2"/>
              </w:rPr>
              <w:t>Net Shares – Exercise Options to buy Shares and sell the acquired Shares at the same time without using</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cash. Net proceeds received in Shares;</w:t>
            </w:r>
          </w:p>
        </w:tc>
      </w:tr>
      <w:tr>
        <w:trPr>
          <w:trHeight w:val="473"/>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Stock for Stock – Exercise Options to buy Shares using the value of Shares already owned;</w:t>
            </w:r>
          </w:p>
        </w:tc>
      </w:tr>
      <w:tr>
        <w:trPr>
          <w:trHeight w:val="473"/>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Combination or Other Methods (as may be approved by the Committee).</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2"/>
              </w:rPr>
              <w:t>Notwithstanding the forgoing and the terms of the Plan, the Company reserves the right to limit the form of</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3"/>
              </w:rPr>
              <w:t>settlement based on your home or host location at the time of exercise. For example, if you are providing</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5"/>
              </w:rPr>
              <w:t>services in certain specified jurisdictions at the time of exercise, you may only exercise vested Options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0"/>
              </w:rPr>
              <w:t>through a cashless exercise. The Company also reserves the right to further modify the form of settlement of</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1"/>
              </w:rPr>
              <w:t>your Award as it deems appropriate to account for the impact of local law and regulations. For example,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2"/>
              </w:rPr>
              <w:t>Company may adjust settlement to account for unique limitations regarding the provision of equity outside</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the United States.</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1"/>
              </w:rPr>
              <w:t>Regardless of the form of settlement, as required by law, the Company will withhold any applicable federal,</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2"/>
              </w:rPr>
              <w:t>state, local or foreign tax in connection with any exercise of the Options. You are responsible for any taxes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due upon exercise of the Options.</w:t>
            </w:r>
          </w:p>
        </w:tc>
      </w:tr>
      <w:tr>
        <w:trPr>
          <w:trHeight w:val="253"/>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right w:val="single" w:sz="8" w:color="auto"/>
            </w:tcBorders>
          </w:tcPr>
          <w:p>
            <w:pPr>
              <w:spacing w:after="0"/>
              <w:rPr>
                <w:sz w:val="21"/>
                <w:szCs w:val="21"/>
                <w:color w:val="auto"/>
              </w:rPr>
            </w:pPr>
          </w:p>
        </w:tc>
      </w:tr>
      <w:tr>
        <w:trPr>
          <w:trHeight w:val="206"/>
        </w:trPr>
        <w:tc>
          <w:tcPr>
            <w:tcW w:w="2540" w:type="dxa"/>
            <w:vAlign w:val="bottom"/>
            <w:tcBorders>
              <w:left w:val="single" w:sz="8" w:color="auto"/>
              <w:right w:val="single" w:sz="8" w:color="auto"/>
            </w:tcBorders>
          </w:tcPr>
          <w:p>
            <w:pPr>
              <w:ind w:left="160"/>
              <w:spacing w:after="0" w:line="207" w:lineRule="exact"/>
              <w:rPr>
                <w:sz w:val="20"/>
                <w:szCs w:val="20"/>
                <w:color w:val="auto"/>
              </w:rPr>
            </w:pPr>
            <w:r>
              <w:rPr>
                <w:rFonts w:ascii="Arial" w:cs="Arial" w:eastAsia="Arial" w:hAnsi="Arial"/>
                <w:sz w:val="20"/>
                <w:szCs w:val="20"/>
                <w:b w:val="1"/>
                <w:bCs w:val="1"/>
                <w:color w:val="auto"/>
              </w:rPr>
              <w:t>Conditions Precedent</w:t>
            </w:r>
          </w:p>
        </w:tc>
        <w:tc>
          <w:tcPr>
            <w:tcW w:w="8900" w:type="dxa"/>
            <w:vAlign w:val="bottom"/>
            <w:tcBorders>
              <w:right w:val="single" w:sz="8" w:color="auto"/>
            </w:tcBorders>
          </w:tcPr>
          <w:p>
            <w:pPr>
              <w:ind w:left="200"/>
              <w:spacing w:after="0" w:line="207" w:lineRule="exact"/>
              <w:rPr>
                <w:sz w:val="20"/>
                <w:szCs w:val="20"/>
                <w:color w:val="auto"/>
              </w:rPr>
            </w:pPr>
            <w:r>
              <w:rPr>
                <w:rFonts w:ascii="Arial" w:cs="Arial" w:eastAsia="Arial" w:hAnsi="Arial"/>
                <w:sz w:val="20"/>
                <w:szCs w:val="20"/>
                <w:color w:val="auto"/>
                <w:w w:val="89"/>
              </w:rPr>
              <w:t>Pursuant and subject to Section 11 of the Plan, as a condition precedent to the vesting and/or exercise of any</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portion of your Award, you shall:</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Refrain from engaging in any activity which will cause damage to the Company or is in any</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w w:val="98"/>
              </w:rPr>
              <w:t>manner inimical or in any way contrary to the best interests of the Company, as determined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pursuant to the Plan; and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9"/>
                <w:szCs w:val="19"/>
                <w:color w:val="auto"/>
                <w:w w:val="99"/>
              </w:rPr>
              <w:t>Furnish to the Company such information with respect to the satisfaction of the foregoing as the</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Committee may reasonably request.</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5"/>
              </w:rPr>
              <w:t>In addition, the Committee may require you to enter into such agreements as the Committee considers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appropriate.</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2"/>
              </w:rPr>
              <w:t>Your failure to satisfy any of the foregoing conditions precedent will result in the immediate cancellation of</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2"/>
              </w:rPr>
              <w:t>the unvested portion of your Award and any vested portion of your Award that has not yet been exercised,</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and you will not be entitled to receive any consideration with respect to such cancellation.</w:t>
            </w:r>
          </w:p>
        </w:tc>
      </w:tr>
      <w:tr>
        <w:trPr>
          <w:trHeight w:val="253"/>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440"/>
          </w:cols>
          <w:pgMar w:left="240" w:top="268" w:right="21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6"/>
        </w:trPr>
        <w:tc>
          <w:tcPr>
            <w:tcW w:w="2540" w:type="dxa"/>
            <w:vAlign w:val="bottom"/>
            <w:tcBorders>
              <w:top w:val="single" w:sz="8" w:color="auto"/>
              <w:left w:val="single" w:sz="8" w:color="auto"/>
              <w:right w:val="single" w:sz="8" w:color="auto"/>
            </w:tcBorders>
          </w:tcPr>
          <w:p>
            <w:pPr>
              <w:ind w:left="160"/>
              <w:spacing w:after="0" w:line="227" w:lineRule="exact"/>
              <w:rPr>
                <w:sz w:val="20"/>
                <w:szCs w:val="20"/>
                <w:color w:val="auto"/>
              </w:rPr>
            </w:pPr>
            <w:r>
              <w:rPr>
                <w:rFonts w:ascii="Arial" w:cs="Arial" w:eastAsia="Arial" w:hAnsi="Arial"/>
                <w:sz w:val="20"/>
                <w:szCs w:val="20"/>
                <w:b w:val="1"/>
                <w:bCs w:val="1"/>
                <w:color w:val="auto"/>
              </w:rPr>
              <w:t>Restrictive Covenants</w:t>
            </w:r>
          </w:p>
        </w:tc>
        <w:tc>
          <w:tcPr>
            <w:tcW w:w="8900" w:type="dxa"/>
            <w:vAlign w:val="bottom"/>
            <w:tcBorders>
              <w:top w:val="single" w:sz="8" w:color="auto"/>
              <w:right w:val="single" w:sz="8" w:color="auto"/>
            </w:tcBorders>
          </w:tcPr>
          <w:p>
            <w:pPr>
              <w:ind w:left="200"/>
              <w:spacing w:after="0" w:line="227" w:lineRule="exact"/>
              <w:rPr>
                <w:sz w:val="20"/>
                <w:szCs w:val="20"/>
                <w:color w:val="auto"/>
              </w:rPr>
            </w:pPr>
            <w:r>
              <w:rPr>
                <w:rFonts w:ascii="Arial" w:cs="Arial" w:eastAsia="Arial" w:hAnsi="Arial"/>
                <w:sz w:val="20"/>
                <w:szCs w:val="20"/>
                <w:color w:val="auto"/>
                <w:w w:val="98"/>
              </w:rPr>
              <w:t>In exchange for the Options described in this Award Document, except to the extent this provision is</w:t>
            </w:r>
          </w:p>
        </w:tc>
      </w:tr>
      <w:tr>
        <w:trPr>
          <w:trHeight w:val="224"/>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line="224" w:lineRule="exact"/>
              <w:rPr>
                <w:sz w:val="20"/>
                <w:szCs w:val="20"/>
                <w:color w:val="auto"/>
              </w:rPr>
            </w:pPr>
            <w:r>
              <w:rPr>
                <w:rFonts w:ascii="Arial" w:cs="Arial" w:eastAsia="Arial" w:hAnsi="Arial"/>
                <w:sz w:val="20"/>
                <w:szCs w:val="20"/>
                <w:color w:val="auto"/>
                <w:w w:val="92"/>
              </w:rPr>
              <w:t>expressly unenforceable or unlawful under applicable law, you agree to the following restrictive covenants</w:t>
            </w:r>
          </w:p>
        </w:tc>
      </w:tr>
      <w:tr>
        <w:trPr>
          <w:trHeight w:val="236"/>
        </w:trPr>
        <w:tc>
          <w:tcPr>
            <w:tcW w:w="2540" w:type="dxa"/>
            <w:vAlign w:val="bottom"/>
            <w:tcBorders>
              <w:left w:val="single" w:sz="8" w:color="auto"/>
              <w:right w:val="single" w:sz="8" w:color="auto"/>
            </w:tcBorders>
          </w:tcPr>
          <w:p>
            <w:pPr>
              <w:spacing w:after="0"/>
              <w:rPr>
                <w:sz w:val="20"/>
                <w:szCs w:val="20"/>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Restrictive Covenants</w:t>
            </w:r>
            <w:r>
              <w:rPr>
                <w:rFonts w:ascii="Arial" w:cs="Arial" w:eastAsia="Arial" w:hAnsi="Arial"/>
                <w:sz w:val="20"/>
                <w:szCs w:val="20"/>
                <w:color w:val="auto"/>
                <w:w w:val="92"/>
              </w:rPr>
              <w:t>”) that apply during your employment with the Company and its Subsidiaries, and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8"/>
              </w:rPr>
              <w:t>for the 12-month period commencing on your Termination of Service, including a Full Career Status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Termination:</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You will not directly or indirectly engage in or perform any engineering, purchasing, design,</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w w:val="91"/>
              </w:rPr>
              <w:t>marketing, manufacturing or any other tasks or functions or provide services in any other capacity</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(e.g., as an employee, a board member, a manager or a consultant) for any motor vehicle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w w:val="98"/>
              </w:rPr>
              <w:t>manufacturer (including its parent, subsidiaries, and other affiliates) that competes with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Company or its Subsidiaries;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You will not directly or indirectly, knowingly induce any employee of the Company or any</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w w:val="95"/>
              </w:rPr>
              <w:t>Subsidiary to leave their employment for participation, directly or indirectly, with any existing or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future business venture associated with you; and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You will not directly or indirectly solicit any client, customer, or supplier of, or provider to the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w w:val="98"/>
              </w:rPr>
              <w:t>Company or its Subsidiaries who was a client, customer, supplier or provider for which you</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w w:val="95"/>
              </w:rPr>
              <w:t>provided services or supervised services during the 12-month period immediately prior to your</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Termination of Service.</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89"/>
              </w:rPr>
              <w:t>You may seek permission from the Company to take action that would otherwise violate one or more aspects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5"/>
              </w:rPr>
              <w:t>of these Restrictive Covenants, including a request to work in a direct or indirect capacity for any motor</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5"/>
              </w:rPr>
              <w:t>vehicle manufacturer that competes with the Company, but the Company may deny such request in its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unfettered discretion and otherwise enforce the provisions of the Restrictive Covenants.</w:t>
            </w:r>
          </w:p>
        </w:tc>
      </w:tr>
      <w:tr>
        <w:trPr>
          <w:trHeight w:val="452"/>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3"/>
              </w:rPr>
              <w:t>If you violate any of the Restrictive Covenants during its effective period without the Company’s consent,</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6"/>
              </w:rPr>
              <w:t>both the unvested and vested but unexercised portion of your Award will immediately be cancelled. In</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5"/>
              </w:rPr>
              <w:t>addition, you agree to repay to the Company all of the gains resulting from any exercise of the Options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0"/>
              </w:rPr>
              <w:t>during the period commencing on the date that is 12 months prior to your Termination of Service and ending</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2"/>
              </w:rPr>
              <w:t>on the date that is 12 months following your Termination of Service. The Company may also take action at</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3"/>
              </w:rPr>
              <w:t>equity or in law to enforce the provisions of the applicable Restrictive Covenants. Following application of</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w w:val="91"/>
              </w:rPr>
              <w:t>this provision of the Award Document, you will continue to be bound by the obligations, promises and other</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agreements contained in the Plan and the Award Document.</w:t>
            </w:r>
          </w:p>
        </w:tc>
      </w:tr>
      <w:tr>
        <w:trPr>
          <w:trHeight w:val="253"/>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right w:val="single" w:sz="8" w:color="auto"/>
            </w:tcBorders>
          </w:tcPr>
          <w:p>
            <w:pPr>
              <w:spacing w:after="0"/>
              <w:rPr>
                <w:sz w:val="21"/>
                <w:szCs w:val="21"/>
                <w:color w:val="auto"/>
              </w:rPr>
            </w:pPr>
          </w:p>
        </w:tc>
      </w:tr>
      <w:tr>
        <w:trPr>
          <w:trHeight w:val="200"/>
        </w:trPr>
        <w:tc>
          <w:tcPr>
            <w:tcW w:w="2540" w:type="dxa"/>
            <w:vAlign w:val="bottom"/>
            <w:tcBorders>
              <w:left w:val="single" w:sz="8" w:color="auto"/>
              <w:right w:val="single" w:sz="8" w:color="auto"/>
            </w:tcBorders>
          </w:tcPr>
          <w:p>
            <w:pPr>
              <w:ind w:left="160"/>
              <w:spacing w:after="0" w:line="200" w:lineRule="exact"/>
              <w:rPr>
                <w:sz w:val="20"/>
                <w:szCs w:val="20"/>
                <w:color w:val="auto"/>
              </w:rPr>
            </w:pPr>
            <w:r>
              <w:rPr>
                <w:rFonts w:ascii="Arial" w:cs="Arial" w:eastAsia="Arial" w:hAnsi="Arial"/>
                <w:sz w:val="20"/>
                <w:szCs w:val="20"/>
                <w:b w:val="1"/>
                <w:bCs w:val="1"/>
                <w:color w:val="auto"/>
              </w:rPr>
              <w:t>Other Terms and</w:t>
            </w:r>
          </w:p>
        </w:tc>
        <w:tc>
          <w:tcPr>
            <w:tcW w:w="8900" w:type="dxa"/>
            <w:vAlign w:val="bottom"/>
            <w:tcBorders>
              <w:right w:val="single" w:sz="8" w:color="auto"/>
            </w:tcBorders>
          </w:tcPr>
          <w:p>
            <w:pPr>
              <w:ind w:left="200"/>
              <w:spacing w:after="0" w:line="200" w:lineRule="exact"/>
              <w:rPr>
                <w:sz w:val="20"/>
                <w:szCs w:val="20"/>
                <w:color w:val="auto"/>
              </w:rPr>
            </w:pPr>
            <w:r>
              <w:rPr>
                <w:rFonts w:ascii="Arial" w:cs="Arial" w:eastAsia="Arial" w:hAnsi="Arial"/>
                <w:sz w:val="20"/>
                <w:szCs w:val="20"/>
                <w:color w:val="auto"/>
                <w:w w:val="93"/>
              </w:rPr>
              <w:t>Refer to the Plan for additional terms and conditions applicable to your Award, including but not limited to</w:t>
            </w:r>
          </w:p>
        </w:tc>
      </w:tr>
      <w:tr>
        <w:trPr>
          <w:trHeight w:val="256"/>
        </w:trPr>
        <w:tc>
          <w:tcPr>
            <w:tcW w:w="2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20"/>
                <w:szCs w:val="20"/>
                <w:b w:val="1"/>
                <w:bCs w:val="1"/>
                <w:color w:val="auto"/>
              </w:rPr>
              <w:t>Conditions of the Award</w:t>
            </w:r>
          </w:p>
        </w:tc>
        <w:tc>
          <w:tcPr>
            <w:tcW w:w="8900" w:type="dxa"/>
            <w:vAlign w:val="bottom"/>
            <w:tcBorders>
              <w:right w:val="single" w:sz="8" w:color="auto"/>
            </w:tcBorders>
          </w:tcPr>
          <w:p>
            <w:pPr>
              <w:ind w:left="200"/>
              <w:spacing w:after="0"/>
              <w:rPr>
                <w:sz w:val="20"/>
                <w:szCs w:val="20"/>
                <w:color w:val="auto"/>
              </w:rPr>
            </w:pPr>
            <w:r>
              <w:rPr>
                <w:rFonts w:ascii="Arial" w:cs="Arial" w:eastAsia="Arial" w:hAnsi="Arial"/>
                <w:sz w:val="20"/>
                <w:szCs w:val="20"/>
                <w:color w:val="auto"/>
              </w:rPr>
              <w:t>those relating to:</w:t>
            </w:r>
          </w:p>
        </w:tc>
      </w:tr>
      <w:tr>
        <w:trPr>
          <w:trHeight w:val="330"/>
        </w:trPr>
        <w:tc>
          <w:tcPr>
            <w:tcW w:w="254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No dividends or dividend equivalents will be earned or paid on the Options granted;</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Effects of your Termination of Service on your Award, including upon Death, Disability,</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9"/>
                <w:szCs w:val="19"/>
                <w:color w:val="auto"/>
                <w:w w:val="99"/>
              </w:rPr>
              <w:t>Your Award being subject to any clawback or recoupment policies of the Company as may be in</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940"/>
              <w:spacing w:after="0"/>
              <w:rPr>
                <w:sz w:val="20"/>
                <w:szCs w:val="20"/>
                <w:color w:val="auto"/>
              </w:rPr>
            </w:pPr>
            <w:r>
              <w:rPr>
                <w:rFonts w:ascii="Arial" w:cs="Arial" w:eastAsia="Arial" w:hAnsi="Arial"/>
                <w:sz w:val="20"/>
                <w:szCs w:val="20"/>
                <w:color w:val="auto"/>
              </w:rPr>
              <w:t>effect from time to time;</w:t>
            </w:r>
          </w:p>
        </w:tc>
      </w:tr>
      <w:tr>
        <w:trPr>
          <w:trHeight w:val="230"/>
        </w:trPr>
        <w:tc>
          <w:tcPr>
            <w:tcW w:w="2540" w:type="dxa"/>
            <w:vAlign w:val="bottom"/>
            <w:tcBorders>
              <w:left w:val="single" w:sz="8" w:color="auto"/>
              <w:right w:val="single" w:sz="8" w:color="auto"/>
            </w:tcBorders>
          </w:tcPr>
          <w:p>
            <w:pPr>
              <w:spacing w:after="0"/>
              <w:rPr>
                <w:sz w:val="19"/>
                <w:szCs w:val="19"/>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The impact of a Change in Control or other specified corporate event on your Award; and</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90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Jurisdiction and governing law.</w:t>
            </w:r>
          </w:p>
        </w:tc>
      </w:tr>
      <w:tr>
        <w:trPr>
          <w:trHeight w:val="253"/>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90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440"/>
          </w:cols>
          <w:pgMar w:left="240" w:top="268" w:right="2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Terms/Acknowledgements</w:t>
      </w:r>
    </w:p>
    <w:p>
      <w:pPr>
        <w:spacing w:after="0" w:line="22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the Options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left="340" w:right="100" w:hanging="332"/>
        <w:spacing w:after="0" w:line="250"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13" w:lineRule="exact"/>
        <w:rPr>
          <w:rFonts w:ascii="Arial" w:cs="Arial" w:eastAsia="Arial" w:hAnsi="Arial"/>
          <w:sz w:val="20"/>
          <w:szCs w:val="20"/>
          <w:color w:val="auto"/>
        </w:rPr>
      </w:pPr>
    </w:p>
    <w:p>
      <w:pPr>
        <w:ind w:left="340" w:right="60" w:hanging="332"/>
        <w:spacing w:after="0" w:line="244"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21" w:lineRule="exact"/>
        <w:rPr>
          <w:rFonts w:ascii="Arial" w:cs="Arial" w:eastAsia="Arial" w:hAnsi="Arial"/>
          <w:sz w:val="20"/>
          <w:szCs w:val="20"/>
          <w:color w:val="auto"/>
        </w:rPr>
      </w:pPr>
    </w:p>
    <w:p>
      <w:pPr>
        <w:ind w:left="340" w:right="40" w:hanging="332"/>
        <w:spacing w:after="0" w:line="244"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221" w:lineRule="exact"/>
        <w:rPr>
          <w:rFonts w:ascii="Arial" w:cs="Arial" w:eastAsia="Arial" w:hAnsi="Arial"/>
          <w:sz w:val="20"/>
          <w:szCs w:val="20"/>
          <w:color w:val="auto"/>
        </w:rPr>
      </w:pPr>
    </w:p>
    <w:p>
      <w:pPr>
        <w:ind w:left="340" w:hanging="332"/>
        <w:spacing w:after="0" w:line="244"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1" w:lineRule="exact"/>
        <w:rPr>
          <w:rFonts w:ascii="Arial" w:cs="Arial" w:eastAsia="Arial" w:hAnsi="Arial"/>
          <w:sz w:val="20"/>
          <w:szCs w:val="20"/>
          <w:color w:val="auto"/>
        </w:rPr>
      </w:pPr>
    </w:p>
    <w:p>
      <w:pPr>
        <w:ind w:left="340" w:right="60" w:hanging="332"/>
        <w:spacing w:after="0" w:line="31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Award includes Restrictive Covenants and conditions precedent that apply during and following your termination of employment, and the Options described in this Award constitute good and valuable consideration provided in exchange for those Restrictive Covenants.</w:t>
      </w:r>
    </w:p>
    <w:p>
      <w:pPr>
        <w:spacing w:after="0" w:line="157"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13" w:lineRule="exact"/>
        <w:rPr>
          <w:rFonts w:ascii="Arial" w:cs="Arial" w:eastAsia="Arial" w:hAnsi="Arial"/>
          <w:sz w:val="20"/>
          <w:szCs w:val="20"/>
          <w:color w:val="auto"/>
        </w:rPr>
      </w:pPr>
    </w:p>
    <w:p>
      <w:pPr>
        <w:ind w:left="340" w:right="220" w:hanging="332"/>
        <w:spacing w:after="0" w:line="260"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future value of the Options and subsequent Shares as a result of exercise is unknown and cannot be predicted with certainty and may increase or decrease in value.</w:t>
      </w:r>
    </w:p>
    <w:p>
      <w:pPr>
        <w:spacing w:after="0" w:line="203" w:lineRule="exact"/>
        <w:rPr>
          <w:rFonts w:ascii="Arial" w:cs="Arial" w:eastAsia="Arial" w:hAnsi="Arial"/>
          <w:sz w:val="20"/>
          <w:szCs w:val="20"/>
          <w:color w:val="auto"/>
        </w:rPr>
      </w:pPr>
    </w:p>
    <w:p>
      <w:pPr>
        <w:ind w:left="340" w:hanging="332"/>
        <w:spacing w:after="0" w:line="28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Options, the termination of the Plan, or the diminution in value of the Options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88" w:lineRule="exact"/>
        <w:rPr>
          <w:rFonts w:ascii="Arial" w:cs="Arial" w:eastAsia="Arial" w:hAnsi="Arial"/>
          <w:sz w:val="18"/>
          <w:szCs w:val="18"/>
          <w:color w:val="auto"/>
        </w:rPr>
      </w:pPr>
    </w:p>
    <w:p>
      <w:pPr>
        <w:ind w:left="340" w:right="160" w:hanging="332"/>
        <w:spacing w:after="0" w:line="287" w:lineRule="auto"/>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Company has adopted a stock ownership requirement policy and, if your position is covered, you shall be subject to and comply with this policy as may be in effect from time to time. Options do not count towards your stock ownership requirement.</w:t>
      </w:r>
    </w:p>
    <w:p>
      <w:pPr>
        <w:sectPr>
          <w:pgSz w:w="11900" w:h="16838" w:orient="portrait"/>
          <w:cols w:equalWidth="0" w:num="1">
            <w:col w:w="11420"/>
          </w:cols>
          <w:pgMar w:left="240" w:top="265" w:right="239" w:bottom="1440" w:gutter="0" w:footer="0" w:header="0"/>
        </w:sectPr>
      </w:pPr>
    </w:p>
    <w:bookmarkStart w:id="9" w:name="page10"/>
    <w:bookmarkEnd w:id="9"/>
    <w:p>
      <w:pPr>
        <w:ind w:left="340" w:hanging="332"/>
        <w:spacing w:after="0" w:line="263" w:lineRule="auto"/>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203" w:lineRule="exact"/>
        <w:rPr>
          <w:rFonts w:ascii="Arial" w:cs="Arial" w:eastAsia="Arial" w:hAnsi="Arial"/>
          <w:sz w:val="19"/>
          <w:szCs w:val="19"/>
          <w:color w:val="auto"/>
        </w:rPr>
      </w:pPr>
    </w:p>
    <w:p>
      <w:pPr>
        <w:ind w:left="340" w:right="40" w:hanging="332"/>
        <w:spacing w:after="0" w:line="244"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This Plan and this Award are governed by the laws of the State of Delaware, without regard to the conflicts of law provisions thereof, and any cause or claim arising with respect to this Award or the subject matter contained in this Award Document will be exclusively resolved in the Courts of Delaware. The Company will make reasonable efforts so that the Award complies with all applicable federal and state securities laws; provided, however, notwithstanding any other provision of the Award Document, the Options shall not be exercisable if the exercise thereof would result in a violation of any such law.</w:t>
      </w:r>
    </w:p>
    <w:p>
      <w:pPr>
        <w:spacing w:after="0" w:line="221" w:lineRule="exact"/>
        <w:rPr>
          <w:rFonts w:ascii="Arial" w:cs="Arial" w:eastAsia="Arial" w:hAnsi="Arial"/>
          <w:sz w:val="20"/>
          <w:szCs w:val="20"/>
          <w:color w:val="auto"/>
        </w:rPr>
      </w:pPr>
    </w:p>
    <w:p>
      <w:pPr>
        <w:ind w:left="340" w:right="800" w:hanging="332"/>
        <w:spacing w:after="0" w:line="260"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3" w:lineRule="exact"/>
        <w:rPr>
          <w:rFonts w:ascii="Arial" w:cs="Arial" w:eastAsia="Arial" w:hAnsi="Arial"/>
          <w:sz w:val="20"/>
          <w:szCs w:val="20"/>
          <w:color w:val="auto"/>
        </w:rPr>
      </w:pPr>
    </w:p>
    <w:p>
      <w:pPr>
        <w:ind w:left="340" w:hanging="332"/>
        <w:spacing w:after="0" w:line="250"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You have read this Award Document and the Plan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To accept this offer you will need to follow the link at the bottom of this page. Your electronic acceptance confirms the following:</w:t>
      </w:r>
    </w:p>
    <w:p>
      <w:pPr>
        <w:spacing w:after="0" w:line="216"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204" w:lineRule="exact"/>
        <w:rPr>
          <w:sz w:val="20"/>
          <w:szCs w:val="20"/>
          <w:color w:val="auto"/>
        </w:rPr>
      </w:pPr>
    </w:p>
    <w:p>
      <w:pPr>
        <w:ind w:left="340" w:right="240" w:hanging="332"/>
        <w:spacing w:after="0" w:line="260"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Accept the Options (and any Shares resulting from the exercise of the Options) that are issued by the Company to me in accordance with the terms of the Plan and this Award Document; and</w:t>
      </w:r>
    </w:p>
    <w:p>
      <w:pPr>
        <w:spacing w:after="0" w:line="203" w:lineRule="exact"/>
        <w:rPr>
          <w:rFonts w:ascii="Arial" w:cs="Arial" w:eastAsia="Arial" w:hAnsi="Arial"/>
          <w:sz w:val="20"/>
          <w:szCs w:val="20"/>
          <w:color w:val="auto"/>
        </w:rPr>
      </w:pPr>
    </w:p>
    <w:p>
      <w:pPr>
        <w:ind w:left="340" w:hanging="332"/>
        <w:spacing w:after="0"/>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If you do not accept this Award by [x], this offer will lapse and be incapable of acceptance (unless otherwise agreed to by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[x].</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0"/>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2019-12-07T11:02:21Z</dcterms:created>
  <dcterms:modified xsi:type="dcterms:W3CDTF">2019-12-07T11:02:21Z</dcterms:modified>
</cp:coreProperties>
</file>