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Date of Report (Date of earliest event reported) April 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20"/>
          </w:cols>
          <w:pgMar w:left="240" w:top="230" w:right="65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40" w:space="720"/>
            <w:col w:w="1940"/>
          </w:cols>
          <w:pgMar w:left="240" w:top="230"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40"/>
          </w:cols>
          <w:pgMar w:left="240" w:top="230"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20"/>
          </w:cols>
          <w:pgMar w:left="240" w:top="230"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8"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8.01 Other Events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Signature</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Index to Exhibits</w:t>
      </w:r>
    </w:p>
    <w:p>
      <w:pPr>
        <w:spacing w:after="0" w:line="9" w:lineRule="exact"/>
        <w:rPr>
          <w:sz w:val="20"/>
          <w:szCs w:val="20"/>
          <w:color w:val="auto"/>
        </w:rPr>
      </w:pPr>
    </w:p>
    <w:p>
      <w:pPr>
        <w:ind w:left="4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Sales Release and Charts Dated April 1, 2010</w:t>
        </w:r>
      </w:hyperlink>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On April 1, 2010, General Motors Company (GM) issued a news release announcing March sales. The release and charts are attached as Exhibit 99.1.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9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r>
      <w:tr>
        <w:trPr>
          <w:trHeight w:val="372"/>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35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Method of Filing</w:t>
            </w:r>
          </w:p>
        </w:tc>
        <w:tc>
          <w:tcPr>
            <w:tcW w:w="200" w:type="dxa"/>
            <w:vAlign w:val="bottom"/>
          </w:tcPr>
          <w:p>
            <w:pPr>
              <w:spacing w:after="0"/>
              <w:rPr>
                <w:sz w:val="24"/>
                <w:szCs w:val="24"/>
                <w:color w:val="auto"/>
              </w:rPr>
            </w:pPr>
          </w:p>
        </w:tc>
      </w:tr>
      <w:tr>
        <w:trPr>
          <w:trHeight w:val="316"/>
        </w:trPr>
        <w:tc>
          <w:tcPr>
            <w:tcW w:w="100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Sales Release and Charts Dated April 1, 2010</w:t>
            </w:r>
          </w:p>
        </w:tc>
        <w:tc>
          <w:tcPr>
            <w:tcW w:w="740" w:type="dxa"/>
            <w:vAlign w:val="bottom"/>
          </w:tcPr>
          <w:p>
            <w:pPr>
              <w:spacing w:after="0"/>
              <w:rPr>
                <w:sz w:val="24"/>
                <w:szCs w:val="24"/>
                <w:color w:val="auto"/>
              </w:rPr>
            </w:pPr>
          </w:p>
        </w:tc>
        <w:tc>
          <w:tcPr>
            <w:tcW w:w="5220" w:type="dxa"/>
            <w:vAlign w:val="bottom"/>
            <w:gridSpan w:val="3"/>
          </w:tcPr>
          <w:p>
            <w:pPr>
              <w:jc w:val="center"/>
              <w:ind w:left="3752"/>
              <w:spacing w:after="0"/>
              <w:rPr>
                <w:sz w:val="20"/>
                <w:szCs w:val="20"/>
                <w:color w:val="auto"/>
              </w:rPr>
            </w:pPr>
            <w:r>
              <w:rPr>
                <w:rFonts w:ascii="Arial" w:cs="Arial" w:eastAsia="Arial" w:hAnsi="Arial"/>
                <w:sz w:val="18"/>
                <w:szCs w:val="18"/>
                <w:color w:val="auto"/>
                <w:w w:val="89"/>
              </w:rPr>
              <w:t>Attached as Exhibit</w:t>
            </w:r>
          </w:p>
        </w:tc>
      </w:tr>
    </w:tbl>
    <w:p>
      <w:pPr>
        <w:sectPr>
          <w:pgSz w:w="11900" w:h="16838" w:orient="portrait"/>
          <w:cols w:equalWidth="0" w:num="1">
            <w:col w:w="11300"/>
          </w:cols>
          <w:pgMar w:left="24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(Company)</w:t>
      </w:r>
    </w:p>
    <w:p>
      <w:pPr>
        <w:spacing w:after="0" w:line="340" w:lineRule="exact"/>
        <w:rPr>
          <w:sz w:val="20"/>
          <w:szCs w:val="20"/>
          <w:color w:val="auto"/>
        </w:rPr>
      </w:pPr>
    </w:p>
    <w:p>
      <w:pPr>
        <w:spacing w:after="0"/>
        <w:tabs>
          <w:tab w:leader="none" w:pos="5900" w:val="left"/>
          <w:tab w:leader="none" w:pos="7920" w:val="left"/>
          <w:tab w:leader="none" w:pos="8260" w:val="left"/>
        </w:tabs>
        <w:rPr>
          <w:sz w:val="20"/>
          <w:szCs w:val="20"/>
          <w:color w:val="auto"/>
        </w:rPr>
      </w:pPr>
      <w:r>
        <w:rPr>
          <w:rFonts w:ascii="Arial" w:cs="Arial" w:eastAsia="Arial" w:hAnsi="Arial"/>
          <w:sz w:val="18"/>
          <w:szCs w:val="18"/>
          <w:color w:val="auto"/>
        </w:rPr>
        <w:t>Date: April 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Nick S. Cyprus</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Vice President, Controller and Chief Accounting Officer</w:t>
      </w:r>
    </w:p>
    <w:p>
      <w:pPr>
        <w:sectPr>
          <w:pgSz w:w="11900" w:h="16838" w:orient="portrait"/>
          <w:cols w:equalWidth="0" w:num="1">
            <w:col w:w="10960"/>
          </w:cols>
          <w:pgMar w:left="240" w:top="459" w:right="6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118110</wp:posOffset>
            </wp:positionV>
            <wp:extent cx="5746115" cy="1329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4611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Buick-GMC Sales Increase 54 Percent in March, Leading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43-Percent Gain for GM Brands</w:t>
      </w:r>
    </w:p>
    <w:p>
      <w:pPr>
        <w:spacing w:after="0" w:line="205"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Combined Sales for Chevrolet, Buick, GMC and Cadillac Increase 43 percent</w:t>
      </w:r>
    </w:p>
    <w:p>
      <w:pPr>
        <w:spacing w:after="0" w:line="90" w:lineRule="exact"/>
        <w:rPr>
          <w:rFonts w:ascii="Arial" w:cs="Arial" w:eastAsia="Arial" w:hAnsi="Arial"/>
          <w:sz w:val="18"/>
          <w:szCs w:val="18"/>
          <w:b w:val="1"/>
          <w:bCs w:val="1"/>
          <w:i w:val="1"/>
          <w:iCs w:val="1"/>
          <w:color w:val="auto"/>
        </w:rPr>
      </w:pPr>
    </w:p>
    <w:p>
      <w:pPr>
        <w:ind w:left="440" w:hanging="324"/>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Sixth Consecutive Month of Year-over-Year Sales Gains for GM’s Four Brands</w:t>
      </w:r>
    </w:p>
    <w:p>
      <w:pPr>
        <w:spacing w:after="0" w:line="90" w:lineRule="exact"/>
        <w:rPr>
          <w:rFonts w:ascii="Arial" w:cs="Arial" w:eastAsia="Arial" w:hAnsi="Arial"/>
          <w:sz w:val="18"/>
          <w:szCs w:val="18"/>
          <w:b w:val="1"/>
          <w:bCs w:val="1"/>
          <w:i w:val="1"/>
          <w:iCs w:val="1"/>
          <w:color w:val="auto"/>
        </w:rPr>
      </w:pPr>
    </w:p>
    <w:p>
      <w:pPr>
        <w:ind w:left="440" w:hanging="324"/>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GM Estimates the Brands Will Increase Combined Total and Retail Market Share</w:t>
      </w:r>
    </w:p>
    <w:p>
      <w:pPr>
        <w:spacing w:after="0" w:line="165"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Buick and GMC dealers in the U.S. reported sales for those brands in March that were 54 percent higher than March 2009. This led to an overall</w:t>
      </w:r>
      <w:r>
        <w:rPr>
          <w:rFonts w:ascii="Arial" w:cs="Arial" w:eastAsia="Arial" w:hAnsi="Arial"/>
          <w:sz w:val="18"/>
          <w:szCs w:val="18"/>
          <w:b w:val="1"/>
          <w:bCs w:val="1"/>
          <w:color w:val="auto"/>
        </w:rPr>
        <w:t xml:space="preserve"> </w:t>
      </w:r>
      <w:r>
        <w:rPr>
          <w:rFonts w:ascii="Arial" w:cs="Arial" w:eastAsia="Arial" w:hAnsi="Arial"/>
          <w:sz w:val="18"/>
          <w:szCs w:val="18"/>
          <w:color w:val="auto"/>
        </w:rPr>
        <w:t>gain of 43 percent for the Chevrolet, Buick, GMC and Cadillac brands in the U.S. Total combined sales for GM’s four brands were 185,406 during the month. This represents a 34-percent increase from February 2010.</w:t>
      </w:r>
    </w:p>
    <w:p>
      <w:pPr>
        <w:spacing w:after="0" w:line="13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These results are evidence that the company’s plan to create sustainable and profitable growth is on track, according to Susan Docherty, GM vice president of marketing. “Our March results show continued progress toward our growth plan. By investing in our brands and remaining disciplined in our approach to the U.S. market, we posted solid results,” said Docherty. “Our new vehicles, like the Chevrolet Equinox, Buick LaCrosse, GMC Terrain, and Cadillac SRX, are being well-received by customers for many good reasons, including quality, safety, excellent fuel economy, and higher resale values.”</w:t>
      </w:r>
    </w:p>
    <w:p>
      <w:pPr>
        <w:spacing w:after="0" w:line="11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Buick sales rose 76 percent and were led by the Buick LaCrosse, with an increase of 236 percent for the month. Year-to-date, sales of the LaCrosse have increased 197 percent (read more).</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GMC sales increased by 45 percent for the month, led by sales of the GMC Terrain, which were up 331 percent for the month versus the vehicle it replaced. For the year, sales of the Terrain are up 245 percent (read more).</w:t>
      </w:r>
    </w:p>
    <w:p>
      <w:pPr>
        <w:sectPr>
          <w:pgSz w:w="11900" w:h="16838" w:orient="portrait"/>
          <w:cols w:equalWidth="0" w:num="1">
            <w:col w:w="11420"/>
          </w:cols>
          <w:pgMar w:left="240" w:top="125" w:right="239" w:bottom="1440" w:gutter="0" w:footer="0" w:header="0"/>
        </w:sectPr>
      </w:pPr>
    </w:p>
    <w:bookmarkStart w:id="5" w:name="page6"/>
    <w:bookmarkEnd w:id="5"/>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Chevrolet dealers reported sales of 133,165 – 41 percent higher than March 2009. The Chevrolet Equinox continued to sell at a brisk pace, with sales up 194 percent, compared to last year. Year-to-date, sales of the Equinox have more than doubled (read more).</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order to meet growing customer demand for the Chevrolet Equinox and GMC Terrain, GM announced plans to add additional production capacity last week (read more).</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Cadillac March sales increased 42 percent on high demand for the Cadillac SRX. March sales of the SRX were 550 percent higher than a year ago, and are up more than 425 percent for the year (read more)</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Month-end dealer inventory in the U.S. stood at about 428,000 units, which is about 8,000 higher compared to February 2010, and about 338,000 lower than March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Key Facts:</w:t>
      </w:r>
    </w:p>
    <w:p>
      <w:pPr>
        <w:spacing w:after="0" w:line="96" w:lineRule="exact"/>
        <w:rPr>
          <w:sz w:val="20"/>
          <w:szCs w:val="20"/>
          <w:color w:val="auto"/>
        </w:rPr>
      </w:pPr>
    </w:p>
    <w:p>
      <w:pPr>
        <w:ind w:left="440" w:right="60" w:hanging="324"/>
        <w:spacing w:after="0" w:line="268" w:lineRule="auto"/>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Chevrolet: </w:t>
      </w:r>
      <w:r>
        <w:rPr>
          <w:rFonts w:ascii="Arial" w:cs="Arial" w:eastAsia="Arial" w:hAnsi="Arial"/>
          <w:sz w:val="18"/>
          <w:szCs w:val="18"/>
          <w:i w:val="1"/>
          <w:iCs w:val="1"/>
          <w:color w:val="auto"/>
        </w:rPr>
        <w:t>total sales up 41 percent; retail sales up 24 percent; Chevrolet Equinox retail sales increased 225 percent; Camaro recorded its highest level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retail sales (8,267) since it was launched 12 months ago</w:t>
      </w:r>
    </w:p>
    <w:p>
      <w:pPr>
        <w:spacing w:after="0" w:line="50" w:lineRule="exact"/>
        <w:rPr>
          <w:rFonts w:ascii="Arial" w:cs="Arial" w:eastAsia="Arial" w:hAnsi="Arial"/>
          <w:sz w:val="18"/>
          <w:szCs w:val="18"/>
          <w:i w:val="1"/>
          <w:iCs w:val="1"/>
          <w:color w:val="auto"/>
        </w:rPr>
      </w:pPr>
    </w:p>
    <w:p>
      <w:pPr>
        <w:ind w:left="440" w:hanging="324"/>
        <w:spacing w:after="0"/>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Buick: </w:t>
      </w:r>
      <w:r>
        <w:rPr>
          <w:rFonts w:ascii="Arial" w:cs="Arial" w:eastAsia="Arial" w:hAnsi="Arial"/>
          <w:sz w:val="18"/>
          <w:szCs w:val="18"/>
          <w:i w:val="1"/>
          <w:iCs w:val="1"/>
          <w:color w:val="auto"/>
        </w:rPr>
        <w:t>total sales up 76 percent; retail sales up 34 percent; Buick LaCrosse retail sales rose 144 percent</w:t>
      </w:r>
    </w:p>
    <w:p>
      <w:pPr>
        <w:spacing w:after="0" w:line="90" w:lineRule="exact"/>
        <w:rPr>
          <w:rFonts w:ascii="Arial" w:cs="Arial" w:eastAsia="Arial" w:hAnsi="Arial"/>
          <w:sz w:val="18"/>
          <w:szCs w:val="18"/>
          <w:i w:val="1"/>
          <w:iCs w:val="1"/>
          <w:color w:val="auto"/>
        </w:rPr>
      </w:pPr>
    </w:p>
    <w:p>
      <w:pPr>
        <w:ind w:left="440" w:right="40" w:hanging="324"/>
        <w:spacing w:after="0" w:line="268" w:lineRule="auto"/>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GMC: </w:t>
      </w:r>
      <w:r>
        <w:rPr>
          <w:rFonts w:ascii="Arial" w:cs="Arial" w:eastAsia="Arial" w:hAnsi="Arial"/>
          <w:sz w:val="18"/>
          <w:szCs w:val="18"/>
          <w:i w:val="1"/>
          <w:iCs w:val="1"/>
          <w:color w:val="auto"/>
        </w:rPr>
        <w:t>total sales up 45 percent; retail sales up 43 percent; GMC Terrain retail sales were up 425 percent (compared to the Pontiac Torrent – the vehicle it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replaced)</w:t>
      </w:r>
    </w:p>
    <w:p>
      <w:pPr>
        <w:spacing w:after="0" w:line="50" w:lineRule="exact"/>
        <w:rPr>
          <w:rFonts w:ascii="Arial" w:cs="Arial" w:eastAsia="Arial" w:hAnsi="Arial"/>
          <w:sz w:val="18"/>
          <w:szCs w:val="18"/>
          <w:i w:val="1"/>
          <w:iCs w:val="1"/>
          <w:color w:val="auto"/>
        </w:rPr>
      </w:pPr>
    </w:p>
    <w:p>
      <w:pPr>
        <w:ind w:left="440" w:hanging="324"/>
        <w:spacing w:after="0"/>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Cadillac: </w:t>
      </w:r>
      <w:r>
        <w:rPr>
          <w:rFonts w:ascii="Arial" w:cs="Arial" w:eastAsia="Arial" w:hAnsi="Arial"/>
          <w:sz w:val="18"/>
          <w:szCs w:val="18"/>
          <w:i w:val="1"/>
          <w:iCs w:val="1"/>
          <w:color w:val="auto"/>
        </w:rPr>
        <w:t>total sales up 42 percent; retail sales up 18 percent; Cadillac SRX retail sales were up 508 percent</w:t>
      </w:r>
    </w:p>
    <w:p>
      <w:pPr>
        <w:spacing w:after="0" w:line="90" w:lineRule="exact"/>
        <w:rPr>
          <w:rFonts w:ascii="Arial" w:cs="Arial" w:eastAsia="Arial" w:hAnsi="Arial"/>
          <w:sz w:val="18"/>
          <w:szCs w:val="18"/>
          <w:i w:val="1"/>
          <w:iCs w:val="1"/>
          <w:color w:val="auto"/>
        </w:rPr>
      </w:pPr>
    </w:p>
    <w:p>
      <w:pPr>
        <w:ind w:left="440" w:hanging="324"/>
        <w:spacing w:after="0"/>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Crossovers </w:t>
      </w:r>
      <w:r>
        <w:rPr>
          <w:rFonts w:ascii="Arial" w:cs="Arial" w:eastAsia="Arial" w:hAnsi="Arial"/>
          <w:sz w:val="18"/>
          <w:szCs w:val="18"/>
          <w:i w:val="1"/>
          <w:iCs w:val="1"/>
          <w:color w:val="auto"/>
        </w:rPr>
        <w:t>for GM’s four brands doubled sales in March compared to last year</w:t>
      </w:r>
    </w:p>
    <w:p>
      <w:pPr>
        <w:spacing w:after="0" w:line="90" w:lineRule="exact"/>
        <w:rPr>
          <w:rFonts w:ascii="Arial" w:cs="Arial" w:eastAsia="Arial" w:hAnsi="Arial"/>
          <w:sz w:val="18"/>
          <w:szCs w:val="18"/>
          <w:i w:val="1"/>
          <w:iCs w:val="1"/>
          <w:color w:val="auto"/>
        </w:rPr>
      </w:pPr>
    </w:p>
    <w:p>
      <w:pPr>
        <w:ind w:left="440" w:hanging="324"/>
        <w:spacing w:after="0"/>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CYTD Sales </w:t>
      </w:r>
      <w:r>
        <w:rPr>
          <w:rFonts w:ascii="Arial" w:cs="Arial" w:eastAsia="Arial" w:hAnsi="Arial"/>
          <w:sz w:val="18"/>
          <w:szCs w:val="18"/>
          <w:i w:val="1"/>
          <w:iCs w:val="1"/>
          <w:color w:val="auto"/>
        </w:rPr>
        <w:t>for Chevrolet, Buick, GMC and Cadillac are up 36 percent.</w:t>
      </w:r>
    </w:p>
    <w:p>
      <w:pPr>
        <w:spacing w:after="0" w:line="90" w:lineRule="exact"/>
        <w:rPr>
          <w:rFonts w:ascii="Arial" w:cs="Arial" w:eastAsia="Arial" w:hAnsi="Arial"/>
          <w:sz w:val="18"/>
          <w:szCs w:val="18"/>
          <w:i w:val="1"/>
          <w:iCs w:val="1"/>
          <w:color w:val="auto"/>
        </w:rPr>
      </w:pPr>
    </w:p>
    <w:p>
      <w:pPr>
        <w:ind w:left="440" w:hanging="324"/>
        <w:spacing w:after="0"/>
        <w:tabs>
          <w:tab w:leader="none" w:pos="4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Combined Total and Retail sales for Chevrolet, Buick, GMC and Cadillac have increased year-over-year for six straight months.</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About General Motors: </w:t>
      </w:r>
      <w:r>
        <w:rPr>
          <w:rFonts w:ascii="Arial" w:cs="Arial" w:eastAsia="Arial" w:hAnsi="Arial"/>
          <w:sz w:val="16"/>
          <w:szCs w:val="16"/>
          <w:color w:val="auto"/>
        </w:rPr>
        <w:t>General Motors, one of the world’s largest automakers, traces its roots back to 1908. With its global headquarters in Detroit, GM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employs 204,000 people in every major region of the world and does business in some 140 countries. GM and its strategic partners produce cars and trucks in 34 countries, and sell and service these vehicles through the following brands: Buick, Cadillac, Chevrolet, FAW, GMC, GM Daewoo, Holden, Opel, Vauxhall and Wuling. GM’s largest national market is the United States, followed by China,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6"/>
          <w:szCs w:val="16"/>
          <w:u w:val="single" w:color="auto"/>
          <w:color w:val="auto"/>
        </w:rPr>
        <w:t>www.gm.com</w:t>
      </w:r>
      <w:r>
        <w:rPr>
          <w:rFonts w:ascii="Arial" w:cs="Arial" w:eastAsia="Arial" w:hAnsi="Arial"/>
          <w:sz w:val="16"/>
          <w:szCs w:val="16"/>
          <w:color w:val="auto"/>
        </w:rPr>
        <w: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tom.e.henderson@gm.com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 cell</w:t>
      </w:r>
    </w:p>
    <w:p>
      <w:pPr>
        <w:sectPr>
          <w:pgSz w:w="11900" w:h="16838" w:orient="portrait"/>
          <w:cols w:equalWidth="0" w:num="1">
            <w:col w:w="11380"/>
          </w:cols>
          <w:pgMar w:left="240" w:top="2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8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668655"/>
                    </a:xfrm>
                    <a:prstGeom prst="rect">
                      <a:avLst/>
                    </a:prstGeom>
                    <a:noFill/>
                  </pic:spPr>
                </pic:pic>
              </a:graphicData>
            </a:graphic>
          </wp:anchor>
        </w:drawing>
        <w:t>For release: March 26, 2010, 7:00 AM</w:t>
      </w:r>
    </w:p>
    <w:p>
      <w:pPr>
        <w:spacing w:after="0" w:line="246" w:lineRule="exact"/>
        <w:rPr>
          <w:sz w:val="20"/>
          <w:szCs w:val="20"/>
          <w:color w:val="auto"/>
        </w:rPr>
      </w:pPr>
    </w:p>
    <w:p>
      <w:pPr>
        <w:ind w:right="5540"/>
        <w:spacing w:after="0" w:line="387" w:lineRule="auto"/>
        <w:rPr>
          <w:sz w:val="20"/>
          <w:szCs w:val="20"/>
          <w:color w:val="auto"/>
        </w:rPr>
      </w:pPr>
      <w:r>
        <w:rPr>
          <w:rFonts w:ascii="Arial" w:cs="Arial" w:eastAsia="Arial" w:hAnsi="Arial"/>
          <w:sz w:val="16"/>
          <w:szCs w:val="16"/>
          <w:b w:val="1"/>
          <w:bCs w:val="1"/>
          <w:color w:val="auto"/>
        </w:rPr>
        <w:t xml:space="preserve">CHEVY EQUINOX ADDS CAPACITY TO MEET CUSTOMER DEMAND </w:t>
      </w:r>
      <w:r>
        <w:rPr>
          <w:rFonts w:ascii="Arial" w:cs="Arial" w:eastAsia="Arial" w:hAnsi="Arial"/>
          <w:sz w:val="16"/>
          <w:szCs w:val="16"/>
          <w:i w:val="1"/>
          <w:iCs w:val="1"/>
          <w:color w:val="auto"/>
        </w:rPr>
        <w:t>Innovative Manufacturing Arrangement Allows For Additional Equinox Crossovers</w:t>
      </w:r>
    </w:p>
    <w:p>
      <w:pPr>
        <w:spacing w:after="0" w:line="1"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–Two plants are joining forces with an innovative solution to increase capacity for the hot-selling Chevrolet Equinox. Under the plan, the CAMI</w:t>
      </w:r>
      <w:r>
        <w:rPr>
          <w:rFonts w:ascii="Arial" w:cs="Arial" w:eastAsia="Arial" w:hAnsi="Arial"/>
          <w:sz w:val="16"/>
          <w:szCs w:val="16"/>
          <w:b w:val="1"/>
          <w:bCs w:val="1"/>
          <w:color w:val="auto"/>
        </w:rPr>
        <w:t xml:space="preserve"> </w:t>
      </w:r>
      <w:r>
        <w:rPr>
          <w:rFonts w:ascii="Arial" w:cs="Arial" w:eastAsia="Arial" w:hAnsi="Arial"/>
          <w:sz w:val="16"/>
          <w:szCs w:val="16"/>
          <w:color w:val="auto"/>
        </w:rPr>
        <w:t>Automotive plant in Ingersoll, Ontario, will be expanded to produce extra units beyond the plant’s existing capacity to paint and assemble them. These Equinox body assemblies will then be shipped to the Oshawa plant for paint and final assembly alongside the current Chevrolet Impala production.</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segment-leading fuel economy and the functionality of a crossover, the 2010 Chevrolet Equinox has been an unmitigated success since its introduction in June. It has maintained one of the industry’s lowest inventories, and dealers have been selling them right off the delivery trucks. This is the third action to increase capacity for the Equinox since its start of production last year.</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“This increased capacity for the Equinox is exactly what the doctor ordered,” said Alan Batey, U.S. vice president, Chevrolet sales. “This will help us get more vehicles on our dealers’ lots and offer customers more choice – a winning solution all the way around.”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Evidence of the success of the Chevy Equinox:</w:t>
      </w:r>
    </w:p>
    <w:p>
      <w:pPr>
        <w:spacing w:after="0" w:line="90"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Retail sales climbed 121% over Feb. 2009, the eighth consecutive month of year-over-year retail sales increase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half of Equinox sales come from non-GM trade-ins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February, Equinox averaged 16 days-to-turn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71,736 sales of 2010 Equinox since introduction (June through February)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Brian Goebel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Chevrolet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313-665-8049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brian.goebel@gm.com</w:t>
      </w:r>
    </w:p>
    <w:p>
      <w:pPr>
        <w:sectPr>
          <w:pgSz w:w="11900" w:h="16838" w:orient="portrait"/>
          <w:cols w:equalWidth="0" w:num="1">
            <w:col w:w="11420"/>
          </w:cols>
          <w:pgMar w:left="240" w:top="134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Buick sales up 76 percent in March,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reaching younger buyers with LaCrosse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Buick posted its sixth straight month of U.S. sales increases in March as the LaCrosse luxury sedan continued to attract a new audience for the brand.</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Buick reported March sales of 12,954, up 76 percent compared to the same month last year. Sales of LaCrosse were up 236 percent in March. The Enclave also had a good month with sales up 42 percent.</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Introduced in 2010, LaCrosse is reshaping the face of Buick. LaCrosse buyers are three times more likely to be in the 16-55 age range. LaCrosse also has had a double-digit percentage point residual value improvement over the previous model.</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“LaCrosse is getting the attention of younger buyers with its design, responsive handling and a host of advanced technologies,” said Brian Sweeney, U.S. vice president of Buick-GMC sales. “LaCrosse is changing consumer perception of the Buick brand.”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Buick lineup will get another boost this summer with the launch of the 2011 Regal, a mid-sized sports sedan with European-bred driving experience.</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With the new LaCrosse and soon-to-be released Regal, Buick is also attracting strong reviews from auto critics. </w:t>
      </w:r>
      <w:r>
        <w:rPr>
          <w:rFonts w:ascii="Arial" w:cs="Arial" w:eastAsia="Arial" w:hAnsi="Arial"/>
          <w:sz w:val="18"/>
          <w:szCs w:val="18"/>
          <w:i w:val="1"/>
          <w:iCs w:val="1"/>
          <w:color w:val="auto"/>
        </w:rPr>
        <w:t>Motor Trend</w:t>
      </w:r>
      <w:r>
        <w:rPr>
          <w:rFonts w:ascii="Arial" w:cs="Arial" w:eastAsia="Arial" w:hAnsi="Arial"/>
          <w:sz w:val="18"/>
          <w:szCs w:val="18"/>
          <w:color w:val="auto"/>
        </w:rPr>
        <w:t xml:space="preserve"> magazine declared “Buick is Back!” on its April cover. It was the first time in 28 years that Buick was featured on the magazine’s cover.</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the issue, LaCrosse beat the higher-priced Lexus ES 350 in a head-to-head comparison. Motor Trend Editor-in-Chief Angus Mackenzie said the Regal was “likely to appeal to young, affluent, trend-setting import buyers.”</w:t>
      </w:r>
    </w:p>
    <w:p>
      <w:pPr>
        <w:sectPr>
          <w:pgSz w:w="11900" w:h="16838" w:orient="portrait"/>
          <w:cols w:equalWidth="0" w:num="1">
            <w:col w:w="11360"/>
          </w:cols>
          <w:pgMar w:left="240" w:top="274"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Cadillac sales rise 42 percent led by SRX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SRX luxury crossover posted another triple-digit month of sales increases as Cadillac total sales increased 42 percent in March.</w:t>
      </w:r>
    </w:p>
    <w:p>
      <w:pPr>
        <w:spacing w:after="0" w:line="17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Sales of SRX, a compact crossover redesigned for the 2010 model year, rose 550 percent, the seventh straight month of more than 100 percent year-over-year growth. The new SRX also is commanding a residual value well above the residual value for the previous model – up more than 17 percentage points.</w:t>
      </w:r>
    </w:p>
    <w:p>
      <w:pPr>
        <w:spacing w:after="0" w:line="8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SRX is proof that the right vehicle can break through even in a difficult market,” said Kurt McNeil, U.S. vice president for Cadillac sales. “SRX is appealing to luxury buyers searching for a crossover with style and performance.”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a March review, AutoWeek editors cited the SRX Turbo’s excellent handling, smooth powertrain and premium interior.</w:t>
      </w:r>
    </w:p>
    <w:p>
      <w:pPr>
        <w:spacing w:after="0" w:line="17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hits keep coming from Cadillac,” AutoWeek Associate Editor Jonathan Wong wrote. “Following all the great CTS variants to spill out from Caddy, it continues the trend with this SRX Turbo.”</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SRX is building on a strong foundation at Cadillac. CTS retail sales rose 12 percent in March, compared to February, as its sales momentum this year continued. In May, Cadillac will launch an all-new CTS Coupe to extend the acclaimed CTS nameplate. The brand adds the high-performance CTS-V Sport Wagon later this year.</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GMC crossovers drive 45 percent March sales increase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GMC total sales rose 45 percent in March to 27,648 thanks to a strong month from Terrain, a compact crossover that’s broadening the appeal of GMC.</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GMC retail sales were up 43 percent. The brand has posted retail and total year-over-year increases for six straight months. Sales of Terrain rose 331 percent, compared to the vehicle it replaced. Acadia also had a good month with a 37 percent sales increase.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Sierra full-size pickup had its best retail sales month of the year and posted a total sales increase of 26 percent, compared to March last year.</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Terrain continues to bring new customers to the brand, attracting a higher proportion of women than any other GMC product. About 40 percent of Terrain buyers are women, more than 10 percentage points above the overall brand.</w:t>
      </w:r>
    </w:p>
    <w:p>
      <w:pPr>
        <w:spacing w:after="0" w:line="132"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To meet the growing customer demand for the Terrain, GM’s CAMI Automotive Plant in Ingersoll, Ontario, has developed an innovative production scheme – shuttling Terrain bodies to a plant in Oshawa for final assembly. This is the third time that production has been increased to meet growing demand for the Terrain.</w:t>
      </w:r>
    </w:p>
    <w:p>
      <w:pPr>
        <w:spacing w:after="0" w:line="62"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Terrain comes equipped with a host of safety and convenience features such as a standard rear-vision camera, programmable power lift gate, Bluetooth connectivity, a USB port and DVD rear-seat entertainment system. It also offers a best-in-segment EPA-estimated highway fuel economy of 32 miles per gallon.</w:t>
      </w:r>
    </w:p>
    <w:p>
      <w:pPr>
        <w:spacing w:after="0" w:line="62"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“Terrain maintains GMC’s reputation for bold styling and engineering excellence,” said Brian Sweeney, U.S. vice president for Buick-GMC sales. “At the same time, Terrain’s suite of standard features and fuel-efficiency are extending the brand to customers who see Terrain as a ‘smart choice’ for a capable crossover.”</w:t>
      </w:r>
    </w:p>
    <w:p>
      <w:pPr>
        <w:spacing w:after="0" w:line="6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In a recent review for AskPatty.com, a site that provides automotive advice for women, automotive journalist Madelyn Miller praised Terrain for its style, fuel-efficiency and versatility.</w:t>
      </w:r>
    </w:p>
    <w:p>
      <w:pPr>
        <w:spacing w:after="0" w:line="13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“Imagine a car that could carry five passengers – making you very popular for carpools. A car with a trunk that can carry soccer equipment, a month’s worth of groceries, and lots of luggage. A car that is kind of like a little black dress—it works well everywhere…Your fantasy is a reality with the GMC Terrain,” Miller wrote in her review.</w:t>
      </w:r>
    </w:p>
    <w:p>
      <w:pPr>
        <w:sectPr>
          <w:pgSz w:w="11900" w:h="16838" w:orient="portrait"/>
          <w:cols w:equalWidth="0" w:num="1">
            <w:col w:w="11380"/>
          </w:cols>
          <w:pgMar w:left="240" w:top="274"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Equinox, Traverse &amp; Camaro spark sales increase for Chevrolet</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Chevrolet posted 133,165 total deliveries in March 2010, up 41% versus the same month last year. This Chevrolet sales increase marked the third straight month of year-over-year total sales increases and the sixth straight month of retail sales increases.</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Chevrolet’s year-over-year increase was paced by its three most recent launch vehicles: Equinox, Traverse and Camaro. Chevrolet’s crossovers, Equinox and Traverse, turned in total sales increases of 194% and 33%, respectively. Meanwhile, Camaro delivered 8,904 total sales last month and achieved its highest retail sales month since launching in April of last year.</w:t>
      </w:r>
    </w:p>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Chevrolet also saw strong year-over-year sales increases from its core vehicles. Silverado sales rose 27% compared to the same month last year. Malibu sales were up 20%. Chevrolet Tahoe and Suburban notched total sales increases of 19% and 83%, respectively.</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“Chevrolet is focused on designing, building and selling the cars, crossovers and trucks that customers want to drive.” said Jim Campbell, U.S. Vice President for Chevrolet Marketing.</w:t>
      </w:r>
    </w:p>
    <w:p>
      <w:pPr>
        <w:sectPr>
          <w:pgSz w:w="11900" w:h="16838" w:orient="portrait"/>
          <w:cols w:equalWidth="0" w:num="1">
            <w:col w:w="11360"/>
          </w:cols>
          <w:pgMar w:left="240" w:top="274"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March 2010 – Divisional Brand Level</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4960" w:type="dxa"/>
            <w:vAlign w:val="bottom"/>
            <w:tcBorders>
              <w:top w:val="single" w:sz="8" w:color="auto"/>
              <w:left w:val="single" w:sz="8" w:color="auto"/>
            </w:tcBorders>
          </w:tcPr>
          <w:p>
            <w:pPr>
              <w:spacing w:after="0"/>
              <w:rPr>
                <w:sz w:val="13"/>
                <w:szCs w:val="13"/>
                <w:color w:val="auto"/>
              </w:rPr>
            </w:pPr>
          </w:p>
        </w:tc>
        <w:tc>
          <w:tcPr>
            <w:tcW w:w="2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March</w:t>
            </w:r>
          </w:p>
        </w:tc>
        <w:tc>
          <w:tcPr>
            <w:tcW w:w="6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22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(Calendar Year-to-Date)</w:t>
            </w:r>
          </w:p>
        </w:tc>
        <w:tc>
          <w:tcPr>
            <w:tcW w:w="58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516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4"/>
                <w:szCs w:val="14"/>
                <w:color w:val="auto"/>
              </w:rPr>
              <w:t>*S/D Curr: 26</w:t>
            </w:r>
          </w:p>
        </w:tc>
        <w:tc>
          <w:tcPr>
            <w:tcW w:w="10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vMerge w:val="restart"/>
          </w:tcPr>
          <w:p>
            <w:pPr>
              <w:jc w:val="right"/>
              <w:ind w:right="176"/>
              <w:spacing w:after="0"/>
              <w:rPr>
                <w:sz w:val="20"/>
                <w:szCs w:val="20"/>
                <w:color w:val="auto"/>
              </w:rPr>
            </w:pPr>
            <w:r>
              <w:rPr>
                <w:rFonts w:ascii="Arial" w:cs="Arial" w:eastAsia="Arial" w:hAnsi="Arial"/>
                <w:sz w:val="14"/>
                <w:szCs w:val="14"/>
                <w:color w:val="auto"/>
                <w:w w:val="92"/>
              </w:rPr>
              <w:t>January - March</w:t>
            </w: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5160" w:type="dxa"/>
            <w:vAlign w:val="bottom"/>
            <w:tcBorders>
              <w:left w:val="single" w:sz="8" w:color="auto"/>
              <w:bottom w:val="single" w:sz="8" w:color="auto"/>
              <w:right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960" w:type="dxa"/>
            <w:vAlign w:val="bottom"/>
            <w:tcBorders>
              <w:lef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jc w:val="right"/>
              <w:ind w:right="37"/>
              <w:spacing w:after="0" w:line="115" w:lineRule="exact"/>
              <w:rPr>
                <w:sz w:val="20"/>
                <w:szCs w:val="20"/>
                <w:color w:val="auto"/>
              </w:rPr>
            </w:pPr>
            <w:r>
              <w:rPr>
                <w:rFonts w:ascii="Arial" w:cs="Arial" w:eastAsia="Arial" w:hAnsi="Arial"/>
                <w:sz w:val="12"/>
                <w:szCs w:val="12"/>
                <w:color w:val="auto"/>
              </w:rPr>
              <w:t>% Chg</w:t>
            </w:r>
          </w:p>
        </w:tc>
        <w:tc>
          <w:tcPr>
            <w:tcW w:w="740" w:type="dxa"/>
            <w:vAlign w:val="bottom"/>
            <w:tcBorders>
              <w:right w:val="single" w:sz="8" w:color="auto"/>
            </w:tcBorders>
            <w:gridSpan w:val="2"/>
          </w:tcPr>
          <w:p>
            <w:pPr>
              <w:jc w:val="right"/>
              <w:ind w:right="100"/>
              <w:spacing w:after="0" w:line="115" w:lineRule="exact"/>
              <w:rPr>
                <w:sz w:val="20"/>
                <w:szCs w:val="20"/>
                <w:color w:val="auto"/>
              </w:rPr>
            </w:pPr>
            <w:r>
              <w:rPr>
                <w:rFonts w:ascii="Arial" w:cs="Arial" w:eastAsia="Arial" w:hAnsi="Arial"/>
                <w:sz w:val="12"/>
                <w:szCs w:val="12"/>
                <w:color w:val="auto"/>
              </w:rPr>
              <w:t>% Chg</w:t>
            </w: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80" w:type="dxa"/>
            <w:vAlign w:val="bottom"/>
            <w:tcBorders>
              <w:right w:val="single" w:sz="8" w:color="auto"/>
            </w:tcBorders>
          </w:tcPr>
          <w:p>
            <w:pPr>
              <w:jc w:val="right"/>
              <w:ind w:right="37"/>
              <w:spacing w:after="0" w:line="115" w:lineRule="exact"/>
              <w:rPr>
                <w:sz w:val="20"/>
                <w:szCs w:val="20"/>
                <w:color w:val="auto"/>
              </w:rPr>
            </w:pPr>
            <w:r>
              <w:rPr>
                <w:rFonts w:ascii="Arial" w:cs="Arial" w:eastAsia="Arial" w:hAnsi="Arial"/>
                <w:sz w:val="12"/>
                <w:szCs w:val="12"/>
                <w:color w:val="auto"/>
              </w:rPr>
              <w:t>%Chg</w:t>
            </w:r>
          </w:p>
        </w:tc>
        <w:tc>
          <w:tcPr>
            <w:tcW w:w="0" w:type="dxa"/>
            <w:vAlign w:val="bottom"/>
          </w:tcPr>
          <w:p>
            <w:pPr>
              <w:spacing w:after="0"/>
              <w:rPr>
                <w:sz w:val="1"/>
                <w:szCs w:val="1"/>
                <w:color w:val="auto"/>
              </w:rPr>
            </w:pPr>
          </w:p>
        </w:tc>
      </w:tr>
      <w:tr>
        <w:trPr>
          <w:trHeight w:val="173"/>
        </w:trPr>
        <w:tc>
          <w:tcPr>
            <w:tcW w:w="51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4"/>
                <w:szCs w:val="14"/>
                <w:color w:val="auto"/>
              </w:rPr>
              <w:t>*S/D Prev: 25</w:t>
            </w: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2010</w:t>
            </w: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Volume</w:t>
            </w:r>
          </w:p>
        </w:tc>
        <w:tc>
          <w:tcPr>
            <w:tcW w:w="74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per S/D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2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2009</w:t>
            </w:r>
          </w:p>
        </w:tc>
        <w:tc>
          <w:tcPr>
            <w:tcW w:w="5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210"/>
        </w:trPr>
        <w:tc>
          <w:tcPr>
            <w:tcW w:w="5160" w:type="dxa"/>
            <w:vAlign w:val="bottom"/>
            <w:tcBorders>
              <w:left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Vehicle Total</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188,546</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156,380</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20.6</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477,322</w:t>
            </w:r>
          </w:p>
        </w:tc>
        <w:tc>
          <w:tcPr>
            <w:tcW w:w="12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412,903</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5160" w:type="dxa"/>
            <w:vAlign w:val="bottom"/>
            <w:tcBorders>
              <w:left w:val="single" w:sz="8" w:color="auto"/>
              <w:right w:val="single" w:sz="8" w:color="auto"/>
            </w:tcBorders>
            <w:gridSpan w:val="2"/>
          </w:tcPr>
          <w:p>
            <w:pPr>
              <w:ind w:left="560"/>
              <w:spacing w:after="0"/>
              <w:rPr>
                <w:sz w:val="20"/>
                <w:szCs w:val="20"/>
                <w:color w:val="auto"/>
              </w:rPr>
            </w:pPr>
            <w:r>
              <w:rPr>
                <w:rFonts w:ascii="Arial" w:cs="Arial" w:eastAsia="Arial" w:hAnsi="Arial"/>
                <w:sz w:val="18"/>
                <w:szCs w:val="18"/>
                <w:color w:val="auto"/>
              </w:rPr>
              <w:t>Brand Total</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185,406</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129,368</w:t>
            </w:r>
          </w:p>
        </w:tc>
        <w:tc>
          <w:tcPr>
            <w:tcW w:w="680" w:type="dxa"/>
            <w:vAlign w:val="bottom"/>
          </w:tcPr>
          <w:p>
            <w:pPr>
              <w:jc w:val="right"/>
              <w:ind w:right="37"/>
              <w:spacing w:after="0"/>
              <w:rPr>
                <w:sz w:val="20"/>
                <w:szCs w:val="20"/>
                <w:color w:val="auto"/>
              </w:rPr>
            </w:pPr>
            <w:r>
              <w:rPr>
                <w:rFonts w:ascii="Arial" w:cs="Arial" w:eastAsia="Arial" w:hAnsi="Arial"/>
                <w:sz w:val="18"/>
                <w:szCs w:val="18"/>
                <w:color w:val="auto"/>
              </w:rPr>
              <w:t>43.3</w:t>
            </w:r>
          </w:p>
        </w:tc>
        <w:tc>
          <w:tcPr>
            <w:tcW w:w="64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right w:val="single" w:sz="8" w:color="auto"/>
            </w:tcBorders>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469,353</w:t>
            </w:r>
          </w:p>
        </w:tc>
        <w:tc>
          <w:tcPr>
            <w:tcW w:w="1220" w:type="dxa"/>
            <w:vAlign w:val="bottom"/>
          </w:tcPr>
          <w:p>
            <w:pPr>
              <w:jc w:val="right"/>
              <w:ind w:right="236"/>
              <w:spacing w:after="0"/>
              <w:rPr>
                <w:sz w:val="20"/>
                <w:szCs w:val="20"/>
                <w:color w:val="auto"/>
              </w:rPr>
            </w:pPr>
            <w:r>
              <w:rPr>
                <w:rFonts w:ascii="Arial" w:cs="Arial" w:eastAsia="Arial" w:hAnsi="Arial"/>
                <w:sz w:val="18"/>
                <w:szCs w:val="18"/>
                <w:color w:val="auto"/>
              </w:rPr>
              <w:t>346,135</w:t>
            </w:r>
          </w:p>
        </w:tc>
        <w:tc>
          <w:tcPr>
            <w:tcW w:w="58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5160" w:type="dxa"/>
            <w:vAlign w:val="bottom"/>
            <w:tcBorders>
              <w:left w:val="single" w:sz="8" w:color="auto"/>
              <w:bottom w:val="single" w:sz="8" w:color="auto"/>
              <w:right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rPr>
              <w:t>Other Brand Total</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3,140</w:t>
            </w:r>
          </w:p>
        </w:tc>
        <w:tc>
          <w:tcPr>
            <w:tcW w:w="10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27,012</w:t>
            </w: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-88.4</w:t>
            </w: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2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66,768</w:t>
            </w:r>
          </w:p>
        </w:tc>
        <w:tc>
          <w:tcPr>
            <w:tcW w:w="58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193"/>
        </w:trPr>
        <w:tc>
          <w:tcPr>
            <w:tcW w:w="4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960" w:type="dxa"/>
            <w:vAlign w:val="bottom"/>
            <w:tcBorders>
              <w:left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GM Vehicle Deliveries by Marketing Division</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4960" w:type="dxa"/>
            <w:vAlign w:val="bottom"/>
            <w:tcBorders>
              <w:left w:val="single" w:sz="8" w:color="auto"/>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tcPr>
          <w:p>
            <w:pPr>
              <w:jc w:val="right"/>
              <w:ind w:right="157"/>
              <w:spacing w:after="0" w:line="115" w:lineRule="exact"/>
              <w:rPr>
                <w:sz w:val="20"/>
                <w:szCs w:val="20"/>
                <w:color w:val="auto"/>
              </w:rPr>
            </w:pPr>
            <w:r>
              <w:rPr>
                <w:rFonts w:ascii="Arial" w:cs="Arial" w:eastAsia="Arial" w:hAnsi="Arial"/>
                <w:sz w:val="12"/>
                <w:szCs w:val="12"/>
                <w:color w:val="auto"/>
              </w:rPr>
              <w:t>% Chg</w:t>
            </w:r>
          </w:p>
        </w:tc>
        <w:tc>
          <w:tcPr>
            <w:tcW w:w="640" w:type="dxa"/>
            <w:vAlign w:val="bottom"/>
            <w:tcBorders>
              <w:right w:val="single" w:sz="8" w:color="auto"/>
            </w:tcBorders>
          </w:tcPr>
          <w:p>
            <w:pPr>
              <w:jc w:val="right"/>
              <w:ind w:right="17"/>
              <w:spacing w:after="0" w:line="115" w:lineRule="exact"/>
              <w:rPr>
                <w:sz w:val="20"/>
                <w:szCs w:val="20"/>
                <w:color w:val="auto"/>
              </w:rPr>
            </w:pPr>
            <w:r>
              <w:rPr>
                <w:rFonts w:ascii="Arial" w:cs="Arial" w:eastAsia="Arial" w:hAnsi="Arial"/>
                <w:sz w:val="12"/>
                <w:szCs w:val="12"/>
                <w:color w:val="auto"/>
              </w:rPr>
              <w:t>% Chg</w:t>
            </w: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80" w:type="dxa"/>
            <w:vAlign w:val="bottom"/>
            <w:tcBorders>
              <w:right w:val="single" w:sz="8" w:color="auto"/>
            </w:tcBorders>
          </w:tcPr>
          <w:p>
            <w:pPr>
              <w:jc w:val="right"/>
              <w:ind w:right="37"/>
              <w:spacing w:after="0" w:line="115" w:lineRule="exact"/>
              <w:rPr>
                <w:sz w:val="20"/>
                <w:szCs w:val="20"/>
                <w:color w:val="auto"/>
              </w:rPr>
            </w:pPr>
            <w:r>
              <w:rPr>
                <w:rFonts w:ascii="Arial" w:cs="Arial" w:eastAsia="Arial" w:hAnsi="Arial"/>
                <w:sz w:val="12"/>
                <w:szCs w:val="12"/>
                <w:color w:val="auto"/>
              </w:rPr>
              <w:t>%Chg</w:t>
            </w:r>
          </w:p>
        </w:tc>
        <w:tc>
          <w:tcPr>
            <w:tcW w:w="0" w:type="dxa"/>
            <w:vAlign w:val="bottom"/>
          </w:tcPr>
          <w:p>
            <w:pPr>
              <w:spacing w:after="0"/>
              <w:rPr>
                <w:sz w:val="1"/>
                <w:szCs w:val="1"/>
                <w:color w:val="auto"/>
              </w:rPr>
            </w:pPr>
          </w:p>
        </w:tc>
      </w:tr>
      <w:tr>
        <w:trPr>
          <w:trHeight w:val="159"/>
        </w:trPr>
        <w:tc>
          <w:tcPr>
            <w:tcW w:w="4960" w:type="dxa"/>
            <w:vAlign w:val="bottom"/>
            <w:tcBorders>
              <w:left w:val="single" w:sz="8" w:color="auto"/>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15"/>
              <w:spacing w:after="0" w:line="159" w:lineRule="exact"/>
              <w:rPr>
                <w:sz w:val="20"/>
                <w:szCs w:val="20"/>
                <w:color w:val="auto"/>
              </w:rPr>
            </w:pPr>
            <w:r>
              <w:rPr>
                <w:rFonts w:ascii="Arial" w:cs="Arial" w:eastAsia="Arial" w:hAnsi="Arial"/>
                <w:sz w:val="14"/>
                <w:szCs w:val="14"/>
                <w:color w:val="auto"/>
              </w:rPr>
              <w:t>2010</w:t>
            </w:r>
          </w:p>
        </w:tc>
        <w:tc>
          <w:tcPr>
            <w:tcW w:w="1040" w:type="dxa"/>
            <w:vAlign w:val="bottom"/>
            <w:tcBorders>
              <w:bottom w:val="single" w:sz="8" w:color="auto"/>
            </w:tcBorders>
          </w:tcPr>
          <w:p>
            <w:pPr>
              <w:jc w:val="right"/>
              <w:ind w:right="276"/>
              <w:spacing w:after="0" w:line="159" w:lineRule="exact"/>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jc w:val="right"/>
              <w:ind w:right="157"/>
              <w:spacing w:after="0" w:line="159" w:lineRule="exact"/>
              <w:rPr>
                <w:sz w:val="20"/>
                <w:szCs w:val="20"/>
                <w:color w:val="auto"/>
              </w:rPr>
            </w:pPr>
            <w:r>
              <w:rPr>
                <w:rFonts w:ascii="Arial" w:cs="Arial" w:eastAsia="Arial" w:hAnsi="Arial"/>
                <w:sz w:val="14"/>
                <w:szCs w:val="14"/>
                <w:color w:val="auto"/>
                <w:w w:val="88"/>
              </w:rPr>
              <w:t>Volume</w:t>
            </w:r>
          </w:p>
        </w:tc>
        <w:tc>
          <w:tcPr>
            <w:tcW w:w="640" w:type="dxa"/>
            <w:vAlign w:val="bottom"/>
            <w:tcBorders>
              <w:bottom w:val="single" w:sz="8" w:color="auto"/>
              <w:right w:val="single" w:sz="8" w:color="auto"/>
            </w:tcBorders>
          </w:tcPr>
          <w:p>
            <w:pPr>
              <w:jc w:val="right"/>
              <w:ind w:right="17"/>
              <w:spacing w:after="0" w:line="159" w:lineRule="exact"/>
              <w:rPr>
                <w:sz w:val="20"/>
                <w:szCs w:val="20"/>
                <w:color w:val="auto"/>
              </w:rPr>
            </w:pPr>
            <w:r>
              <w:rPr>
                <w:rFonts w:ascii="Arial" w:cs="Arial" w:eastAsia="Arial" w:hAnsi="Arial"/>
                <w:sz w:val="14"/>
                <w:szCs w:val="14"/>
                <w:color w:val="auto"/>
              </w:rPr>
              <w:t>per S/D</w:t>
            </w: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6"/>
              <w:spacing w:after="0" w:line="159" w:lineRule="exact"/>
              <w:rPr>
                <w:sz w:val="20"/>
                <w:szCs w:val="20"/>
                <w:color w:val="auto"/>
              </w:rPr>
            </w:pPr>
            <w:r>
              <w:rPr>
                <w:rFonts w:ascii="Arial" w:cs="Arial" w:eastAsia="Arial" w:hAnsi="Arial"/>
                <w:sz w:val="14"/>
                <w:szCs w:val="14"/>
                <w:color w:val="auto"/>
              </w:rPr>
              <w:t>2010</w:t>
            </w:r>
          </w:p>
        </w:tc>
        <w:tc>
          <w:tcPr>
            <w:tcW w:w="1220" w:type="dxa"/>
            <w:vAlign w:val="bottom"/>
            <w:tcBorders>
              <w:bottom w:val="single" w:sz="8" w:color="auto"/>
            </w:tcBorders>
          </w:tcPr>
          <w:p>
            <w:pPr>
              <w:jc w:val="right"/>
              <w:ind w:right="276"/>
              <w:spacing w:after="0" w:line="159" w:lineRule="exact"/>
              <w:rPr>
                <w:sz w:val="20"/>
                <w:szCs w:val="20"/>
                <w:color w:val="auto"/>
              </w:rPr>
            </w:pPr>
            <w:r>
              <w:rPr>
                <w:rFonts w:ascii="Arial" w:cs="Arial" w:eastAsia="Arial" w:hAnsi="Arial"/>
                <w:sz w:val="14"/>
                <w:szCs w:val="14"/>
                <w:color w:val="auto"/>
              </w:rPr>
              <w:t>2009</w:t>
            </w:r>
          </w:p>
        </w:tc>
        <w:tc>
          <w:tcPr>
            <w:tcW w:w="580" w:type="dxa"/>
            <w:vAlign w:val="bottom"/>
            <w:tcBorders>
              <w:bottom w:val="single" w:sz="8" w:color="auto"/>
              <w:right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210"/>
        </w:trPr>
        <w:tc>
          <w:tcPr>
            <w:tcW w:w="49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Buick Total</w:t>
            </w:r>
          </w:p>
        </w:tc>
        <w:tc>
          <w:tcPr>
            <w:tcW w:w="20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12,954</w:t>
            </w:r>
          </w:p>
        </w:tc>
        <w:tc>
          <w:tcPr>
            <w:tcW w:w="10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7,369</w:t>
            </w:r>
          </w:p>
        </w:tc>
        <w:tc>
          <w:tcPr>
            <w:tcW w:w="6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75.8</w:t>
            </w:r>
          </w:p>
        </w:tc>
        <w:tc>
          <w:tcPr>
            <w:tcW w:w="64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69.0</w:t>
            </w: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32,136</w:t>
            </w: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20,534</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4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200" w:type="dxa"/>
            <w:vAlign w:val="bottom"/>
          </w:tcPr>
          <w:p>
            <w:pPr>
              <w:spacing w:after="0"/>
              <w:rPr>
                <w:sz w:val="18"/>
                <w:szCs w:val="18"/>
                <w:color w:val="auto"/>
              </w:rPr>
            </w:pP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11,639</w:t>
            </w:r>
          </w:p>
        </w:tc>
        <w:tc>
          <w:tcPr>
            <w:tcW w:w="1040" w:type="dxa"/>
            <w:vAlign w:val="bottom"/>
          </w:tcPr>
          <w:p>
            <w:pPr>
              <w:jc w:val="right"/>
              <w:ind w:right="276"/>
              <w:spacing w:after="0"/>
              <w:rPr>
                <w:sz w:val="20"/>
                <w:szCs w:val="20"/>
                <w:color w:val="auto"/>
              </w:rPr>
            </w:pPr>
            <w:r>
              <w:rPr>
                <w:rFonts w:ascii="Arial" w:cs="Arial" w:eastAsia="Arial" w:hAnsi="Arial"/>
                <w:sz w:val="18"/>
                <w:szCs w:val="18"/>
                <w:color w:val="auto"/>
              </w:rPr>
              <w:t>8,209</w:t>
            </w:r>
          </w:p>
        </w:tc>
        <w:tc>
          <w:tcPr>
            <w:tcW w:w="680" w:type="dxa"/>
            <w:vAlign w:val="bottom"/>
          </w:tcPr>
          <w:p>
            <w:pPr>
              <w:jc w:val="right"/>
              <w:ind w:right="157"/>
              <w:spacing w:after="0"/>
              <w:rPr>
                <w:sz w:val="20"/>
                <w:szCs w:val="20"/>
                <w:color w:val="auto"/>
              </w:rPr>
            </w:pPr>
            <w:r>
              <w:rPr>
                <w:rFonts w:ascii="Arial" w:cs="Arial" w:eastAsia="Arial" w:hAnsi="Arial"/>
                <w:sz w:val="18"/>
                <w:szCs w:val="18"/>
                <w:color w:val="auto"/>
              </w:rPr>
              <w:t>41.8</w:t>
            </w:r>
          </w:p>
        </w:tc>
        <w:tc>
          <w:tcPr>
            <w:tcW w:w="6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29,352</w:t>
            </w:r>
          </w:p>
        </w:tc>
        <w:tc>
          <w:tcPr>
            <w:tcW w:w="1220" w:type="dxa"/>
            <w:vAlign w:val="bottom"/>
          </w:tcPr>
          <w:p>
            <w:pPr>
              <w:jc w:val="right"/>
              <w:ind w:right="276"/>
              <w:spacing w:after="0"/>
              <w:rPr>
                <w:sz w:val="20"/>
                <w:szCs w:val="20"/>
                <w:color w:val="auto"/>
              </w:rPr>
            </w:pPr>
            <w:r>
              <w:rPr>
                <w:rFonts w:ascii="Arial" w:cs="Arial" w:eastAsia="Arial" w:hAnsi="Arial"/>
                <w:sz w:val="18"/>
                <w:szCs w:val="18"/>
                <w:color w:val="auto"/>
              </w:rPr>
              <w:t>23,746</w:t>
            </w:r>
          </w:p>
        </w:tc>
        <w:tc>
          <w:tcPr>
            <w:tcW w:w="58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49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 **</w:t>
            </w:r>
          </w:p>
        </w:tc>
        <w:tc>
          <w:tcPr>
            <w:tcW w:w="20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133,165</w:t>
            </w:r>
          </w:p>
        </w:tc>
        <w:tc>
          <w:tcPr>
            <w:tcW w:w="10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94,704</w:t>
            </w:r>
          </w:p>
        </w:tc>
        <w:tc>
          <w:tcPr>
            <w:tcW w:w="6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40.6</w:t>
            </w:r>
          </w:p>
        </w:tc>
        <w:tc>
          <w:tcPr>
            <w:tcW w:w="64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35.2</w:t>
            </w: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338,458</w:t>
            </w: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247,445</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4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Total **</w:t>
            </w:r>
          </w:p>
        </w:tc>
        <w:tc>
          <w:tcPr>
            <w:tcW w:w="200" w:type="dxa"/>
            <w:vAlign w:val="bottom"/>
          </w:tcPr>
          <w:p>
            <w:pPr>
              <w:spacing w:after="0"/>
              <w:rPr>
                <w:sz w:val="18"/>
                <w:szCs w:val="18"/>
                <w:color w:val="auto"/>
              </w:rPr>
            </w:pP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27,648</w:t>
            </w:r>
          </w:p>
        </w:tc>
        <w:tc>
          <w:tcPr>
            <w:tcW w:w="1040" w:type="dxa"/>
            <w:vAlign w:val="bottom"/>
          </w:tcPr>
          <w:p>
            <w:pPr>
              <w:jc w:val="right"/>
              <w:ind w:right="276"/>
              <w:spacing w:after="0"/>
              <w:rPr>
                <w:sz w:val="20"/>
                <w:szCs w:val="20"/>
                <w:color w:val="auto"/>
              </w:rPr>
            </w:pPr>
            <w:r>
              <w:rPr>
                <w:rFonts w:ascii="Arial" w:cs="Arial" w:eastAsia="Arial" w:hAnsi="Arial"/>
                <w:sz w:val="18"/>
                <w:szCs w:val="18"/>
                <w:color w:val="auto"/>
              </w:rPr>
              <w:t>19,086</w:t>
            </w:r>
          </w:p>
        </w:tc>
        <w:tc>
          <w:tcPr>
            <w:tcW w:w="680" w:type="dxa"/>
            <w:vAlign w:val="bottom"/>
          </w:tcPr>
          <w:p>
            <w:pPr>
              <w:jc w:val="right"/>
              <w:ind w:right="157"/>
              <w:spacing w:after="0"/>
              <w:rPr>
                <w:sz w:val="20"/>
                <w:szCs w:val="20"/>
                <w:color w:val="auto"/>
              </w:rPr>
            </w:pPr>
            <w:r>
              <w:rPr>
                <w:rFonts w:ascii="Arial" w:cs="Arial" w:eastAsia="Arial" w:hAnsi="Arial"/>
                <w:sz w:val="18"/>
                <w:szCs w:val="18"/>
                <w:color w:val="auto"/>
              </w:rPr>
              <w:t>44.9</w:t>
            </w:r>
          </w:p>
        </w:tc>
        <w:tc>
          <w:tcPr>
            <w:tcW w:w="6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69,407</w:t>
            </w:r>
          </w:p>
        </w:tc>
        <w:tc>
          <w:tcPr>
            <w:tcW w:w="1220" w:type="dxa"/>
            <w:vAlign w:val="bottom"/>
          </w:tcPr>
          <w:p>
            <w:pPr>
              <w:jc w:val="right"/>
              <w:ind w:right="276"/>
              <w:spacing w:after="0"/>
              <w:rPr>
                <w:sz w:val="20"/>
                <w:szCs w:val="20"/>
                <w:color w:val="auto"/>
              </w:rPr>
            </w:pPr>
            <w:r>
              <w:rPr>
                <w:rFonts w:ascii="Arial" w:cs="Arial" w:eastAsia="Arial" w:hAnsi="Arial"/>
                <w:sz w:val="18"/>
                <w:szCs w:val="18"/>
                <w:color w:val="auto"/>
              </w:rPr>
              <w:t>54,410</w:t>
            </w:r>
          </w:p>
        </w:tc>
        <w:tc>
          <w:tcPr>
            <w:tcW w:w="58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4960" w:type="dxa"/>
            <w:vAlign w:val="bottom"/>
            <w:tcBorders>
              <w:left w:val="single" w:sz="8" w:color="auto"/>
              <w:right w:val="single" w:sz="8" w:color="auto"/>
            </w:tcBorders>
            <w:shd w:val="clear" w:color="auto" w:fill="CCEEFF"/>
          </w:tcPr>
          <w:p>
            <w:pPr>
              <w:ind w:left="2320"/>
              <w:spacing w:after="0"/>
              <w:rPr>
                <w:sz w:val="20"/>
                <w:szCs w:val="20"/>
                <w:color w:val="auto"/>
              </w:rPr>
            </w:pPr>
            <w:r>
              <w:rPr>
                <w:rFonts w:ascii="Arial" w:cs="Arial" w:eastAsia="Arial" w:hAnsi="Arial"/>
                <w:sz w:val="18"/>
                <w:szCs w:val="18"/>
                <w:color w:val="auto"/>
              </w:rPr>
              <w:t>Brand Total</w:t>
            </w:r>
          </w:p>
        </w:tc>
        <w:tc>
          <w:tcPr>
            <w:tcW w:w="20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185,406</w:t>
            </w:r>
          </w:p>
        </w:tc>
        <w:tc>
          <w:tcPr>
            <w:tcW w:w="10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129,368</w:t>
            </w:r>
          </w:p>
        </w:tc>
        <w:tc>
          <w:tcPr>
            <w:tcW w:w="6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43.3</w:t>
            </w:r>
          </w:p>
        </w:tc>
        <w:tc>
          <w:tcPr>
            <w:tcW w:w="64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37.8</w:t>
            </w: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469,353</w:t>
            </w: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346,135</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4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HUMMER Total</w:t>
            </w:r>
          </w:p>
        </w:tc>
        <w:tc>
          <w:tcPr>
            <w:tcW w:w="200" w:type="dxa"/>
            <w:vAlign w:val="bottom"/>
          </w:tcPr>
          <w:p>
            <w:pPr>
              <w:spacing w:after="0"/>
              <w:rPr>
                <w:sz w:val="18"/>
                <w:szCs w:val="18"/>
                <w:color w:val="auto"/>
              </w:rPr>
            </w:pP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294</w:t>
            </w:r>
          </w:p>
        </w:tc>
        <w:tc>
          <w:tcPr>
            <w:tcW w:w="1040" w:type="dxa"/>
            <w:vAlign w:val="bottom"/>
          </w:tcPr>
          <w:p>
            <w:pPr>
              <w:jc w:val="right"/>
              <w:ind w:right="276"/>
              <w:spacing w:after="0"/>
              <w:rPr>
                <w:sz w:val="20"/>
                <w:szCs w:val="20"/>
                <w:color w:val="auto"/>
              </w:rPr>
            </w:pPr>
            <w:r>
              <w:rPr>
                <w:rFonts w:ascii="Arial" w:cs="Arial" w:eastAsia="Arial" w:hAnsi="Arial"/>
                <w:sz w:val="18"/>
                <w:szCs w:val="18"/>
                <w:color w:val="auto"/>
              </w:rPr>
              <w:t>831</w:t>
            </w:r>
          </w:p>
        </w:tc>
        <w:tc>
          <w:tcPr>
            <w:tcW w:w="680" w:type="dxa"/>
            <w:vAlign w:val="bottom"/>
          </w:tcPr>
          <w:p>
            <w:pPr>
              <w:jc w:val="right"/>
              <w:ind w:right="157"/>
              <w:spacing w:after="0"/>
              <w:rPr>
                <w:sz w:val="20"/>
                <w:szCs w:val="20"/>
                <w:color w:val="auto"/>
              </w:rPr>
            </w:pPr>
            <w:r>
              <w:rPr>
                <w:rFonts w:ascii="Arial" w:cs="Arial" w:eastAsia="Arial" w:hAnsi="Arial"/>
                <w:sz w:val="18"/>
                <w:szCs w:val="18"/>
                <w:color w:val="auto"/>
              </w:rPr>
              <w:t>-64.6</w:t>
            </w:r>
          </w:p>
        </w:tc>
        <w:tc>
          <w:tcPr>
            <w:tcW w:w="6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855</w:t>
            </w:r>
          </w:p>
        </w:tc>
        <w:tc>
          <w:tcPr>
            <w:tcW w:w="1220" w:type="dxa"/>
            <w:vAlign w:val="bottom"/>
          </w:tcPr>
          <w:p>
            <w:pPr>
              <w:jc w:val="right"/>
              <w:ind w:right="276"/>
              <w:spacing w:after="0"/>
              <w:rPr>
                <w:sz w:val="20"/>
                <w:szCs w:val="20"/>
                <w:color w:val="auto"/>
              </w:rPr>
            </w:pPr>
            <w:r>
              <w:rPr>
                <w:rFonts w:ascii="Arial" w:cs="Arial" w:eastAsia="Arial" w:hAnsi="Arial"/>
                <w:sz w:val="18"/>
                <w:szCs w:val="18"/>
                <w:color w:val="auto"/>
              </w:rPr>
              <w:t>3,106</w:t>
            </w:r>
          </w:p>
        </w:tc>
        <w:tc>
          <w:tcPr>
            <w:tcW w:w="58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49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Pontiac Total</w:t>
            </w:r>
          </w:p>
        </w:tc>
        <w:tc>
          <w:tcPr>
            <w:tcW w:w="20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109</w:t>
            </w:r>
          </w:p>
        </w:tc>
        <w:tc>
          <w:tcPr>
            <w:tcW w:w="10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17,583</w:t>
            </w:r>
          </w:p>
        </w:tc>
        <w:tc>
          <w:tcPr>
            <w:tcW w:w="6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-99.4</w:t>
            </w:r>
          </w:p>
        </w:tc>
        <w:tc>
          <w:tcPr>
            <w:tcW w:w="64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-99.4</w:t>
            </w: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582</w:t>
            </w: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40,887</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4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Saab Total</w:t>
            </w:r>
          </w:p>
        </w:tc>
        <w:tc>
          <w:tcPr>
            <w:tcW w:w="200" w:type="dxa"/>
            <w:vAlign w:val="bottom"/>
          </w:tcPr>
          <w:p>
            <w:pPr>
              <w:spacing w:after="0"/>
              <w:rPr>
                <w:sz w:val="18"/>
                <w:szCs w:val="18"/>
                <w:color w:val="auto"/>
              </w:rPr>
            </w:pP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0</w:t>
            </w:r>
          </w:p>
        </w:tc>
        <w:tc>
          <w:tcPr>
            <w:tcW w:w="1040" w:type="dxa"/>
            <w:vAlign w:val="bottom"/>
          </w:tcPr>
          <w:p>
            <w:pPr>
              <w:jc w:val="right"/>
              <w:ind w:right="276"/>
              <w:spacing w:after="0"/>
              <w:rPr>
                <w:sz w:val="20"/>
                <w:szCs w:val="20"/>
                <w:color w:val="auto"/>
              </w:rPr>
            </w:pPr>
            <w:r>
              <w:rPr>
                <w:rFonts w:ascii="Arial" w:cs="Arial" w:eastAsia="Arial" w:hAnsi="Arial"/>
                <w:sz w:val="18"/>
                <w:szCs w:val="18"/>
                <w:color w:val="auto"/>
              </w:rPr>
              <w:t>1,265</w:t>
            </w:r>
          </w:p>
        </w:tc>
        <w:tc>
          <w:tcPr>
            <w:tcW w:w="68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608</w:t>
            </w:r>
          </w:p>
        </w:tc>
        <w:tc>
          <w:tcPr>
            <w:tcW w:w="1220" w:type="dxa"/>
            <w:vAlign w:val="bottom"/>
          </w:tcPr>
          <w:p>
            <w:pPr>
              <w:jc w:val="right"/>
              <w:ind w:right="276"/>
              <w:spacing w:after="0"/>
              <w:rPr>
                <w:sz w:val="20"/>
                <w:szCs w:val="20"/>
                <w:color w:val="auto"/>
              </w:rPr>
            </w:pPr>
            <w:r>
              <w:rPr>
                <w:rFonts w:ascii="Arial" w:cs="Arial" w:eastAsia="Arial" w:hAnsi="Arial"/>
                <w:sz w:val="18"/>
                <w:szCs w:val="18"/>
                <w:color w:val="auto"/>
              </w:rPr>
              <w:t>2,932</w:t>
            </w:r>
          </w:p>
        </w:tc>
        <w:tc>
          <w:tcPr>
            <w:tcW w:w="58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49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Saturn Total</w:t>
            </w:r>
          </w:p>
        </w:tc>
        <w:tc>
          <w:tcPr>
            <w:tcW w:w="20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2,737</w:t>
            </w:r>
          </w:p>
        </w:tc>
        <w:tc>
          <w:tcPr>
            <w:tcW w:w="10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7,333</w:t>
            </w:r>
          </w:p>
        </w:tc>
        <w:tc>
          <w:tcPr>
            <w:tcW w:w="6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-62.7</w:t>
            </w:r>
          </w:p>
        </w:tc>
        <w:tc>
          <w:tcPr>
            <w:tcW w:w="64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-64.1</w:t>
            </w: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5,924</w:t>
            </w: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19,843</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4960" w:type="dxa"/>
            <w:vAlign w:val="bottom"/>
            <w:tcBorders>
              <w:left w:val="single" w:sz="8" w:color="auto"/>
              <w:bottom w:val="single" w:sz="8" w:color="auto"/>
              <w:right w:val="single" w:sz="8" w:color="auto"/>
            </w:tcBorders>
          </w:tcPr>
          <w:p>
            <w:pPr>
              <w:ind w:left="2100"/>
              <w:spacing w:after="0"/>
              <w:rPr>
                <w:sz w:val="20"/>
                <w:szCs w:val="20"/>
                <w:color w:val="auto"/>
              </w:rPr>
            </w:pPr>
            <w:r>
              <w:rPr>
                <w:rFonts w:ascii="Arial" w:cs="Arial" w:eastAsia="Arial" w:hAnsi="Arial"/>
                <w:sz w:val="18"/>
                <w:szCs w:val="18"/>
                <w:color w:val="auto"/>
              </w:rPr>
              <w:t>Other Brand Total</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3,140</w:t>
            </w:r>
          </w:p>
        </w:tc>
        <w:tc>
          <w:tcPr>
            <w:tcW w:w="104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27,012</w:t>
            </w: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-88.4</w:t>
            </w:r>
          </w:p>
        </w:tc>
        <w:tc>
          <w:tcPr>
            <w:tcW w:w="64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7,969</w:t>
            </w:r>
          </w:p>
        </w:tc>
        <w:tc>
          <w:tcPr>
            <w:tcW w:w="122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66,768</w:t>
            </w:r>
          </w:p>
        </w:tc>
        <w:tc>
          <w:tcPr>
            <w:tcW w:w="5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0"/>
        </w:trPr>
        <w:tc>
          <w:tcPr>
            <w:tcW w:w="49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Vehicle Total</w:t>
            </w:r>
          </w:p>
        </w:tc>
        <w:tc>
          <w:tcPr>
            <w:tcW w:w="200" w:type="dxa"/>
            <w:vAlign w:val="bottom"/>
            <w:tcBorders>
              <w:bottom w:val="single" w:sz="8" w:color="auto"/>
              <w:right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188,546</w:t>
            </w:r>
          </w:p>
        </w:tc>
        <w:tc>
          <w:tcPr>
            <w:tcW w:w="10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156,380</w:t>
            </w:r>
          </w:p>
        </w:tc>
        <w:tc>
          <w:tcPr>
            <w:tcW w:w="6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20.6</w:t>
            </w:r>
          </w:p>
        </w:tc>
        <w:tc>
          <w:tcPr>
            <w:tcW w:w="64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477,322</w:t>
            </w:r>
          </w:p>
        </w:tc>
        <w:tc>
          <w:tcPr>
            <w:tcW w:w="12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412,903</w:t>
            </w:r>
          </w:p>
        </w:tc>
        <w:tc>
          <w:tcPr>
            <w:tcW w:w="58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Twenty-six selling days (S/D) for the March period this year and twenty-five for last year.</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August 2007, GM includes GMC &amp; Chevrolet dealer deliveries of commercial vehicles distributed by American Isuzu Motors, Inc.</w:t>
      </w:r>
    </w:p>
    <w:p>
      <w:pPr>
        <w:spacing w:after="0" w:line="151" w:lineRule="exact"/>
        <w:rPr>
          <w:sz w:val="20"/>
          <w:szCs w:val="20"/>
          <w:color w:val="auto"/>
        </w:rPr>
      </w:pPr>
    </w:p>
    <w:p>
      <w:pPr>
        <w:spacing w:after="0"/>
        <w:tabs>
          <w:tab w:leader="none" w:pos="10460" w:val="left"/>
        </w:tabs>
        <w:rPr>
          <w:sz w:val="20"/>
          <w:szCs w:val="20"/>
          <w:color w:val="auto"/>
        </w:rPr>
      </w:pPr>
      <w:r>
        <w:rPr>
          <w:rFonts w:ascii="Arial" w:cs="Arial" w:eastAsia="Arial" w:hAnsi="Arial"/>
          <w:sz w:val="18"/>
          <w:szCs w:val="18"/>
          <w:color w:val="auto"/>
        </w:rPr>
        <w:t>Global Market and Industry Analysis - Sales Reporting and Data Management</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March 2010 by Model</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4800" w:type="dxa"/>
            <w:vAlign w:val="bottom"/>
            <w:tcBorders>
              <w:top w:val="single" w:sz="8" w:color="auto"/>
              <w:left w:val="single" w:sz="8" w:color="auto"/>
              <w:right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60" w:type="dxa"/>
            <w:vAlign w:val="bottom"/>
            <w:tcBorders>
              <w:top w:val="single" w:sz="8" w:color="auto"/>
              <w:right w:val="single" w:sz="8" w:color="auto"/>
            </w:tcBorders>
          </w:tcPr>
          <w:p>
            <w:pPr>
              <w:spacing w:after="0"/>
              <w:rPr>
                <w:sz w:val="13"/>
                <w:szCs w:val="13"/>
                <w:color w:val="auto"/>
              </w:rPr>
            </w:pPr>
          </w:p>
        </w:tc>
        <w:tc>
          <w:tcPr>
            <w:tcW w:w="228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(Calendar Year-to-Date)</w:t>
            </w:r>
          </w:p>
        </w:tc>
        <w:tc>
          <w:tcPr>
            <w:tcW w:w="600" w:type="dxa"/>
            <w:vAlign w:val="bottom"/>
            <w:tcBorders>
              <w:top w:val="single" w:sz="8" w:color="auto"/>
              <w:right w:val="single" w:sz="8" w:color="auto"/>
            </w:tcBorders>
          </w:tcPr>
          <w:p>
            <w:pPr>
              <w:spacing w:after="0"/>
              <w:rPr>
                <w:sz w:val="13"/>
                <w:szCs w:val="13"/>
                <w:color w:val="auto"/>
              </w:rPr>
            </w:pPr>
          </w:p>
        </w:tc>
      </w:tr>
      <w:tr>
        <w:trPr>
          <w:trHeight w:val="173"/>
        </w:trPr>
        <w:tc>
          <w:tcPr>
            <w:tcW w:w="4800" w:type="dxa"/>
            <w:vAlign w:val="bottom"/>
            <w:tcBorders>
              <w:left w:val="single" w:sz="8" w:color="auto"/>
              <w:right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w:t>
            </w:r>
          </w:p>
        </w:tc>
        <w:tc>
          <w:tcPr>
            <w:tcW w:w="64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w w:val="92"/>
              </w:rPr>
              <w:t>January - March</w:t>
            </w:r>
          </w:p>
        </w:tc>
        <w:tc>
          <w:tcPr>
            <w:tcW w:w="600" w:type="dxa"/>
            <w:vAlign w:val="bottom"/>
            <w:tcBorders>
              <w:bottom w:val="single" w:sz="8" w:color="auto"/>
              <w:right w:val="single" w:sz="8" w:color="auto"/>
            </w:tcBorders>
          </w:tcPr>
          <w:p>
            <w:pPr>
              <w:spacing w:after="0"/>
              <w:rPr>
                <w:sz w:val="15"/>
                <w:szCs w:val="15"/>
                <w:color w:val="auto"/>
              </w:rPr>
            </w:pPr>
          </w:p>
        </w:tc>
      </w:tr>
      <w:tr>
        <w:trPr>
          <w:trHeight w:val="131"/>
        </w:trPr>
        <w:tc>
          <w:tcPr>
            <w:tcW w:w="4800" w:type="dxa"/>
            <w:vAlign w:val="bottom"/>
            <w:tcBorders>
              <w:left w:val="single" w:sz="8" w:color="auto"/>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jc w:val="right"/>
              <w:ind w:right="93"/>
              <w:spacing w:after="0" w:line="131" w:lineRule="exact"/>
              <w:rPr>
                <w:sz w:val="20"/>
                <w:szCs w:val="20"/>
                <w:color w:val="auto"/>
              </w:rPr>
            </w:pPr>
            <w:r>
              <w:rPr>
                <w:rFonts w:ascii="Arial" w:cs="Arial" w:eastAsia="Arial" w:hAnsi="Arial"/>
                <w:sz w:val="14"/>
                <w:szCs w:val="14"/>
                <w:color w:val="auto"/>
              </w:rPr>
              <w:t>% Chg</w:t>
            </w:r>
          </w:p>
        </w:tc>
        <w:tc>
          <w:tcPr>
            <w:tcW w:w="86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 Chg per</w:t>
            </w: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Borders>
              <w:right w:val="single" w:sz="8" w:color="auto"/>
            </w:tcBorders>
          </w:tcPr>
          <w:p>
            <w:pPr>
              <w:jc w:val="right"/>
              <w:ind w:right="33"/>
              <w:spacing w:after="0" w:line="131" w:lineRule="exact"/>
              <w:rPr>
                <w:sz w:val="20"/>
                <w:szCs w:val="20"/>
                <w:color w:val="auto"/>
              </w:rPr>
            </w:pPr>
            <w:r>
              <w:rPr>
                <w:rFonts w:ascii="Arial" w:cs="Arial" w:eastAsia="Arial" w:hAnsi="Arial"/>
                <w:sz w:val="14"/>
                <w:szCs w:val="14"/>
                <w:color w:val="auto"/>
              </w:rPr>
              <w:t>% Chg</w:t>
            </w:r>
          </w:p>
        </w:tc>
      </w:tr>
      <w:tr>
        <w:trPr>
          <w:trHeight w:val="173"/>
        </w:trPr>
        <w:tc>
          <w:tcPr>
            <w:tcW w:w="4800" w:type="dxa"/>
            <w:vAlign w:val="bottom"/>
            <w:tcBorders>
              <w:left w:val="single" w:sz="8" w:color="auto"/>
              <w:bottom w:val="single" w:sz="8" w:color="auto"/>
              <w:right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2009</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92"/>
              </w:rPr>
              <w:t>Volume</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S/D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2009</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4"/>
                <w:szCs w:val="14"/>
                <w:color w:val="auto"/>
                <w:w w:val="96"/>
              </w:rPr>
              <w:t>Volume</w:t>
            </w: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Days (S/D)</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26</w:t>
            </w:r>
          </w:p>
        </w:tc>
        <w:tc>
          <w:tcPr>
            <w:tcW w:w="11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25</w:t>
            </w:r>
          </w:p>
        </w:tc>
        <w:tc>
          <w:tcPr>
            <w:tcW w:w="6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Enclave</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4,519</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3,193</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41.5</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36.1</w:t>
            </w:r>
          </w:p>
        </w:tc>
        <w:tc>
          <w:tcPr>
            <w:tcW w:w="1040" w:type="dxa"/>
            <w:vAlign w:val="bottom"/>
          </w:tcPr>
          <w:p>
            <w:pPr>
              <w:jc w:val="right"/>
              <w:spacing w:after="0"/>
              <w:rPr>
                <w:sz w:val="20"/>
                <w:szCs w:val="20"/>
                <w:color w:val="auto"/>
              </w:rPr>
            </w:pPr>
            <w:r>
              <w:rPr>
                <w:rFonts w:ascii="Arial" w:cs="Arial" w:eastAsia="Arial" w:hAnsi="Arial"/>
                <w:sz w:val="18"/>
                <w:szCs w:val="18"/>
                <w:color w:val="auto"/>
              </w:rPr>
              <w:t>12,372</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9,271</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33.4</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LaCrosse</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6,054</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1,800</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7"/>
              </w:rPr>
              <w:t>236.3</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223.4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4,825</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197.3</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Lucerne</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2,381</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2,372</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0.4</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-3.5</w:t>
            </w:r>
          </w:p>
        </w:tc>
        <w:tc>
          <w:tcPr>
            <w:tcW w:w="1040" w:type="dxa"/>
            <w:vAlign w:val="bottom"/>
          </w:tcPr>
          <w:p>
            <w:pPr>
              <w:jc w:val="right"/>
              <w:spacing w:after="0"/>
              <w:rPr>
                <w:sz w:val="20"/>
                <w:szCs w:val="20"/>
                <w:color w:val="auto"/>
              </w:rPr>
            </w:pPr>
            <w:r>
              <w:rPr>
                <w:rFonts w:ascii="Arial" w:cs="Arial" w:eastAsia="Arial" w:hAnsi="Arial"/>
                <w:sz w:val="18"/>
                <w:szCs w:val="18"/>
                <w:color w:val="auto"/>
              </w:rPr>
              <w:t>5,419</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6,420</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-15.6</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Rainier</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Rendezvous</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1</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1</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Terraza</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14</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2"/>
              </w:rPr>
              <w:t>Buick Total</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12,954</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7,369</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75.8</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69.0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32,136</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20,534</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56.5</w:t>
            </w:r>
          </w:p>
        </w:tc>
      </w:tr>
      <w:tr>
        <w:trPr>
          <w:trHeight w:val="210"/>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CTS</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2,870</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3,899</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-26.4</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10,576</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-23.2</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DTS</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2,146</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1,161</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84.8</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77.7</w:t>
            </w:r>
          </w:p>
        </w:tc>
        <w:tc>
          <w:tcPr>
            <w:tcW w:w="1040" w:type="dxa"/>
            <w:vAlign w:val="bottom"/>
          </w:tcPr>
          <w:p>
            <w:pPr>
              <w:jc w:val="right"/>
              <w:spacing w:after="0"/>
              <w:rPr>
                <w:sz w:val="20"/>
                <w:szCs w:val="20"/>
                <w:color w:val="auto"/>
              </w:rPr>
            </w:pPr>
            <w:r>
              <w:rPr>
                <w:rFonts w:ascii="Arial" w:cs="Arial" w:eastAsia="Arial" w:hAnsi="Arial"/>
                <w:sz w:val="18"/>
                <w:szCs w:val="18"/>
                <w:color w:val="auto"/>
              </w:rPr>
              <w:t>3,375</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3,505</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-3.7</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Escalade</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1,269</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1,116</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13.7</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3,707</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Escalade ESV</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666</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510</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30.6</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25.6</w:t>
            </w:r>
          </w:p>
        </w:tc>
        <w:tc>
          <w:tcPr>
            <w:tcW w:w="1040" w:type="dxa"/>
            <w:vAlign w:val="bottom"/>
          </w:tcPr>
          <w:p>
            <w:pPr>
              <w:jc w:val="right"/>
              <w:spacing w:after="0"/>
              <w:rPr>
                <w:sz w:val="20"/>
                <w:szCs w:val="20"/>
                <w:color w:val="auto"/>
              </w:rPr>
            </w:pPr>
            <w:r>
              <w:rPr>
                <w:rFonts w:ascii="Arial" w:cs="Arial" w:eastAsia="Arial" w:hAnsi="Arial"/>
                <w:sz w:val="18"/>
                <w:szCs w:val="18"/>
                <w:color w:val="auto"/>
              </w:rPr>
              <w:t>1,614</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1,598</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Escalade EXT</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159</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226</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-29.6</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727</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-47.5</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SRX</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4,090</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629</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w w:val="97"/>
              </w:rPr>
              <w:t>550.2</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525.2</w:t>
            </w:r>
          </w:p>
        </w:tc>
        <w:tc>
          <w:tcPr>
            <w:tcW w:w="1040" w:type="dxa"/>
            <w:vAlign w:val="bottom"/>
          </w:tcPr>
          <w:p>
            <w:pPr>
              <w:jc w:val="right"/>
              <w:spacing w:after="0"/>
              <w:rPr>
                <w:sz w:val="20"/>
                <w:szCs w:val="20"/>
                <w:color w:val="auto"/>
              </w:rPr>
            </w:pPr>
            <w:r>
              <w:rPr>
                <w:rFonts w:ascii="Arial" w:cs="Arial" w:eastAsia="Arial" w:hAnsi="Arial"/>
                <w:sz w:val="18"/>
                <w:szCs w:val="18"/>
                <w:color w:val="auto"/>
              </w:rPr>
              <w:t>10,866</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2,069</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425.2</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STS</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400</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576</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-30.6</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1,346</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-28.3</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XLR</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39</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92</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-57.6</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-59.2</w:t>
            </w: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218</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-53.7</w:t>
            </w:r>
          </w:p>
        </w:tc>
      </w:tr>
      <w:tr>
        <w:trPr>
          <w:trHeight w:val="216"/>
        </w:trPr>
        <w:tc>
          <w:tcPr>
            <w:tcW w:w="48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9"/>
              </w:rPr>
              <w:t>Cadillac Total</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11,639</w:t>
            </w:r>
          </w:p>
        </w:tc>
        <w:tc>
          <w:tcPr>
            <w:tcW w:w="11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8,209</w:t>
            </w: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41.8</w:t>
            </w:r>
          </w:p>
        </w:tc>
        <w:tc>
          <w:tcPr>
            <w:tcW w:w="8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29,352</w:t>
            </w:r>
          </w:p>
        </w:tc>
        <w:tc>
          <w:tcPr>
            <w:tcW w:w="12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23,746</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23.6</w:t>
            </w:r>
          </w:p>
        </w:tc>
      </w:tr>
      <w:tr>
        <w:trPr>
          <w:trHeight w:val="210"/>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Avalanche</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1,619</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897</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80.5</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73.5</w:t>
            </w:r>
          </w:p>
        </w:tc>
        <w:tc>
          <w:tcPr>
            <w:tcW w:w="1040" w:type="dxa"/>
            <w:vAlign w:val="bottom"/>
          </w:tcPr>
          <w:p>
            <w:pPr>
              <w:jc w:val="right"/>
              <w:spacing w:after="0"/>
              <w:rPr>
                <w:sz w:val="20"/>
                <w:szCs w:val="20"/>
                <w:color w:val="auto"/>
              </w:rPr>
            </w:pPr>
            <w:r>
              <w:rPr>
                <w:rFonts w:ascii="Arial" w:cs="Arial" w:eastAsia="Arial" w:hAnsi="Arial"/>
                <w:sz w:val="18"/>
                <w:szCs w:val="18"/>
                <w:color w:val="auto"/>
              </w:rPr>
              <w:t>4,020</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3,198</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25.7</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Aveo</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3,979</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2,285</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74.1</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5,444</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48.5</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Camaro</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8,904</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20,757</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Chevy C/T Series</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0.0</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9</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-66.7</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Chevy W Series</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44</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74</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-40.5</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-42.8</w:t>
            </w: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217</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-48.8</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Cobalt</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10,316</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7,930</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30.1</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37,379</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21,438</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74.4</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Colorado</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2,045</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2,617</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-21.9</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-24.9</w:t>
            </w:r>
          </w:p>
        </w:tc>
        <w:tc>
          <w:tcPr>
            <w:tcW w:w="1040" w:type="dxa"/>
            <w:vAlign w:val="bottom"/>
          </w:tcPr>
          <w:p>
            <w:pPr>
              <w:jc w:val="right"/>
              <w:spacing w:after="0"/>
              <w:rPr>
                <w:sz w:val="20"/>
                <w:szCs w:val="20"/>
                <w:color w:val="auto"/>
              </w:rPr>
            </w:pPr>
            <w:r>
              <w:rPr>
                <w:rFonts w:ascii="Arial" w:cs="Arial" w:eastAsia="Arial" w:hAnsi="Arial"/>
                <w:sz w:val="18"/>
                <w:szCs w:val="18"/>
                <w:color w:val="auto"/>
              </w:rPr>
              <w:t>5,231</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7,713</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-32.2</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Corvette</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955</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1,183</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-19.3</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3,052</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-20.3</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Equinox</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12,805</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4,361</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w w:val="97"/>
              </w:rPr>
              <w:t>193.6</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182.3</w:t>
            </w:r>
          </w:p>
        </w:tc>
        <w:tc>
          <w:tcPr>
            <w:tcW w:w="1040" w:type="dxa"/>
            <w:vAlign w:val="bottom"/>
          </w:tcPr>
          <w:p>
            <w:pPr>
              <w:jc w:val="right"/>
              <w:spacing w:after="0"/>
              <w:rPr>
                <w:sz w:val="20"/>
                <w:szCs w:val="20"/>
                <w:color w:val="auto"/>
              </w:rPr>
            </w:pPr>
            <w:r>
              <w:rPr>
                <w:rFonts w:ascii="Arial" w:cs="Arial" w:eastAsia="Arial" w:hAnsi="Arial"/>
                <w:sz w:val="18"/>
                <w:szCs w:val="18"/>
                <w:color w:val="auto"/>
              </w:rPr>
              <w:t>30,379</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13,226</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129.7</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Express</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4,010</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4,682</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-14.4</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10,318</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HHR</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6,167</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3,974</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55.2</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49.2</w:t>
            </w:r>
          </w:p>
        </w:tc>
        <w:tc>
          <w:tcPr>
            <w:tcW w:w="1040" w:type="dxa"/>
            <w:vAlign w:val="bottom"/>
          </w:tcPr>
          <w:p>
            <w:pPr>
              <w:jc w:val="right"/>
              <w:spacing w:after="0"/>
              <w:rPr>
                <w:sz w:val="20"/>
                <w:szCs w:val="20"/>
                <w:color w:val="auto"/>
              </w:rPr>
            </w:pPr>
            <w:r>
              <w:rPr>
                <w:rFonts w:ascii="Arial" w:cs="Arial" w:eastAsia="Arial" w:hAnsi="Arial"/>
                <w:sz w:val="18"/>
                <w:szCs w:val="18"/>
                <w:color w:val="auto"/>
              </w:rPr>
              <w:t>16,277</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8,231</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97.8</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Impala</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15,594</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12,648</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23.3</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38,273</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27,515</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39.1</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Kodiak 4/5 Series</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208</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319</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-34.8</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-37.3</w:t>
            </w:r>
          </w:p>
        </w:tc>
        <w:tc>
          <w:tcPr>
            <w:tcW w:w="1040" w:type="dxa"/>
            <w:vAlign w:val="bottom"/>
          </w:tcPr>
          <w:p>
            <w:pPr>
              <w:jc w:val="right"/>
              <w:spacing w:after="0"/>
              <w:rPr>
                <w:sz w:val="20"/>
                <w:szCs w:val="20"/>
                <w:color w:val="auto"/>
              </w:rPr>
            </w:pPr>
            <w:r>
              <w:rPr>
                <w:rFonts w:ascii="Arial" w:cs="Arial" w:eastAsia="Arial" w:hAnsi="Arial"/>
                <w:sz w:val="18"/>
                <w:szCs w:val="18"/>
                <w:color w:val="auto"/>
              </w:rPr>
              <w:t>501</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1,050</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-52.3</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Kodiak 6/7/8 Series</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128</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-82.8</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319</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-81.8</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Malibu</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17,750</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14,772</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20.2</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15.5</w:t>
            </w:r>
          </w:p>
        </w:tc>
        <w:tc>
          <w:tcPr>
            <w:tcW w:w="1040" w:type="dxa"/>
            <w:vAlign w:val="bottom"/>
          </w:tcPr>
          <w:p>
            <w:pPr>
              <w:jc w:val="right"/>
              <w:spacing w:after="0"/>
              <w:rPr>
                <w:sz w:val="20"/>
                <w:szCs w:val="20"/>
                <w:color w:val="auto"/>
              </w:rPr>
            </w:pPr>
            <w:r>
              <w:rPr>
                <w:rFonts w:ascii="Arial" w:cs="Arial" w:eastAsia="Arial" w:hAnsi="Arial"/>
                <w:sz w:val="18"/>
                <w:szCs w:val="18"/>
                <w:color w:val="auto"/>
              </w:rPr>
              <w:t>49,339</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35,600</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38.6</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Monte Carlo</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Silverado-C/K Pickup</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29,886</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23,508</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27.1</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22.2</w:t>
            </w:r>
          </w:p>
        </w:tc>
        <w:tc>
          <w:tcPr>
            <w:tcW w:w="1040" w:type="dxa"/>
            <w:vAlign w:val="bottom"/>
          </w:tcPr>
          <w:p>
            <w:pPr>
              <w:jc w:val="right"/>
              <w:spacing w:after="0"/>
              <w:rPr>
                <w:sz w:val="20"/>
                <w:szCs w:val="20"/>
                <w:color w:val="auto"/>
              </w:rPr>
            </w:pPr>
            <w:r>
              <w:rPr>
                <w:rFonts w:ascii="Arial" w:cs="Arial" w:eastAsia="Arial" w:hAnsi="Arial"/>
                <w:sz w:val="18"/>
                <w:szCs w:val="18"/>
                <w:color w:val="auto"/>
              </w:rPr>
              <w:t>72,480</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67,283</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7.7</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Suburban (Chevy)</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3,885</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2,119</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83.3</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5,708</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38.1</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Tahoe</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6,294</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5,294</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18.9</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14.3</w:t>
            </w:r>
          </w:p>
        </w:tc>
        <w:tc>
          <w:tcPr>
            <w:tcW w:w="1040" w:type="dxa"/>
            <w:vAlign w:val="bottom"/>
          </w:tcPr>
          <w:p>
            <w:pPr>
              <w:jc w:val="right"/>
              <w:spacing w:after="0"/>
              <w:rPr>
                <w:sz w:val="20"/>
                <w:szCs w:val="20"/>
                <w:color w:val="auto"/>
              </w:rPr>
            </w:pPr>
            <w:r>
              <w:rPr>
                <w:rFonts w:ascii="Arial" w:cs="Arial" w:eastAsia="Arial" w:hAnsi="Arial"/>
                <w:sz w:val="18"/>
                <w:szCs w:val="18"/>
                <w:color w:val="auto"/>
              </w:rPr>
              <w:t>14,175</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13,633</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4.0</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TrailBlazer</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37</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1,083</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-96.6</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4,584</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-97.3</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Traverse</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8,633</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6,509</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32.6</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27.5</w:t>
            </w:r>
          </w:p>
        </w:tc>
        <w:tc>
          <w:tcPr>
            <w:tcW w:w="1040" w:type="dxa"/>
            <w:vAlign w:val="bottom"/>
          </w:tcPr>
          <w:p>
            <w:pPr>
              <w:jc w:val="right"/>
              <w:spacing w:after="0"/>
              <w:rPr>
                <w:sz w:val="20"/>
                <w:szCs w:val="20"/>
                <w:color w:val="auto"/>
              </w:rPr>
            </w:pPr>
            <w:r>
              <w:rPr>
                <w:rFonts w:ascii="Arial" w:cs="Arial" w:eastAsia="Arial" w:hAnsi="Arial"/>
                <w:sz w:val="18"/>
                <w:szCs w:val="18"/>
                <w:color w:val="auto"/>
              </w:rPr>
              <w:t>20,239</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18,141</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11.6</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Uplander</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319</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-96.9</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763</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-94.4</w:t>
            </w:r>
          </w:p>
        </w:tc>
      </w:tr>
      <w:tr>
        <w:trPr>
          <w:trHeight w:val="216"/>
        </w:trPr>
        <w:tc>
          <w:tcPr>
            <w:tcW w:w="48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0"/>
              </w:rPr>
              <w:t>Chevrolet Total</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133,165</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94,704</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40.6</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35.2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338,458</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247,445</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36.8</w:t>
            </w:r>
          </w:p>
        </w:tc>
      </w:tr>
      <w:tr>
        <w:trPr>
          <w:trHeight w:val="210"/>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Acadia</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6,824</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4,997</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36.6</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18,762</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12,988</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44.5</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Canyon</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615</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594</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3.5</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1040" w:type="dxa"/>
            <w:vAlign w:val="bottom"/>
          </w:tcPr>
          <w:p>
            <w:pPr>
              <w:jc w:val="right"/>
              <w:spacing w:after="0"/>
              <w:rPr>
                <w:sz w:val="20"/>
                <w:szCs w:val="20"/>
                <w:color w:val="auto"/>
              </w:rPr>
            </w:pPr>
            <w:r>
              <w:rPr>
                <w:rFonts w:ascii="Arial" w:cs="Arial" w:eastAsia="Arial" w:hAnsi="Arial"/>
                <w:sz w:val="18"/>
                <w:szCs w:val="18"/>
                <w:color w:val="auto"/>
              </w:rPr>
              <w:t>1,825</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2,325</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-21.5</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Envoy</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565</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-98.1</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2,052</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-97.8</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C/T Series</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14</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49</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-71.4</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-72.5</w:t>
            </w: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110</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-60.9</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GMC W Series</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60</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167</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-64.1</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399</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-58.6</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Savana</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1,446</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1,217</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18.8</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14.2</w:t>
            </w:r>
          </w:p>
        </w:tc>
        <w:tc>
          <w:tcPr>
            <w:tcW w:w="1040" w:type="dxa"/>
            <w:vAlign w:val="bottom"/>
          </w:tcPr>
          <w:p>
            <w:pPr>
              <w:jc w:val="right"/>
              <w:spacing w:after="0"/>
              <w:rPr>
                <w:sz w:val="20"/>
                <w:szCs w:val="20"/>
                <w:color w:val="auto"/>
              </w:rPr>
            </w:pPr>
            <w:r>
              <w:rPr>
                <w:rFonts w:ascii="Arial" w:cs="Arial" w:eastAsia="Arial" w:hAnsi="Arial"/>
                <w:sz w:val="18"/>
                <w:szCs w:val="18"/>
                <w:color w:val="auto"/>
              </w:rPr>
              <w:t>2,668</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3,224</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-17.2</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Sierra</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9,935</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8,088</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22.8</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23,502</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22,508</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Terrain</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4,885</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12,976</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2</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Topkick 4/5 Series</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144</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185</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-22.2</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611</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-24.9</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Topkick 6/7/8 Series</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41</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122</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-66.4</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-67.7</w:t>
            </w:r>
          </w:p>
        </w:tc>
        <w:tc>
          <w:tcPr>
            <w:tcW w:w="1040" w:type="dxa"/>
            <w:vAlign w:val="bottom"/>
          </w:tcPr>
          <w:p>
            <w:pPr>
              <w:jc w:val="right"/>
              <w:spacing w:after="0"/>
              <w:rPr>
                <w:sz w:val="20"/>
                <w:szCs w:val="20"/>
                <w:color w:val="auto"/>
              </w:rPr>
            </w:pPr>
            <w:r>
              <w:rPr>
                <w:rFonts w:ascii="Arial" w:cs="Arial" w:eastAsia="Arial" w:hAnsi="Arial"/>
                <w:sz w:val="18"/>
                <w:szCs w:val="18"/>
                <w:color w:val="auto"/>
              </w:rPr>
              <w:t>121</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486</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-75.1</w:t>
            </w: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Yukon</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2,063</w:t>
            </w:r>
          </w:p>
        </w:tc>
        <w:tc>
          <w:tcPr>
            <w:tcW w:w="1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1,989</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6,078</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-20.6</w:t>
            </w: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Yukon XL</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1,610</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1,113</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44.7</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39.1</w:t>
            </w:r>
          </w:p>
        </w:tc>
        <w:tc>
          <w:tcPr>
            <w:tcW w:w="1040" w:type="dxa"/>
            <w:vAlign w:val="bottom"/>
          </w:tcPr>
          <w:p>
            <w:pPr>
              <w:jc w:val="right"/>
              <w:spacing w:after="0"/>
              <w:rPr>
                <w:sz w:val="20"/>
                <w:szCs w:val="20"/>
                <w:color w:val="auto"/>
              </w:rPr>
            </w:pPr>
            <w:r>
              <w:rPr>
                <w:rFonts w:ascii="Arial" w:cs="Arial" w:eastAsia="Arial" w:hAnsi="Arial"/>
                <w:sz w:val="18"/>
                <w:szCs w:val="18"/>
                <w:color w:val="auto"/>
              </w:rPr>
              <w:t>4,014</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3,627</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10.7</w:t>
            </w:r>
          </w:p>
        </w:tc>
      </w:tr>
      <w:tr>
        <w:trPr>
          <w:trHeight w:val="216"/>
        </w:trPr>
        <w:tc>
          <w:tcPr>
            <w:tcW w:w="480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91"/>
              </w:rPr>
              <w:t>GMC Total</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27,648</w:t>
            </w:r>
          </w:p>
        </w:tc>
        <w:tc>
          <w:tcPr>
            <w:tcW w:w="11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19,086</w:t>
            </w: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44.9</w:t>
            </w:r>
          </w:p>
        </w:tc>
        <w:tc>
          <w:tcPr>
            <w:tcW w:w="8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69,407</w:t>
            </w:r>
          </w:p>
        </w:tc>
        <w:tc>
          <w:tcPr>
            <w:tcW w:w="12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54,410</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27.6</w:t>
            </w:r>
          </w:p>
        </w:tc>
      </w:tr>
      <w:tr>
        <w:trPr>
          <w:trHeight w:val="210"/>
        </w:trPr>
        <w:tc>
          <w:tcPr>
            <w:tcW w:w="48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89"/>
              </w:rPr>
              <w:t>Brand Total</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185,406</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129,368</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43.3</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37.8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469,353</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346,135</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35.6</w:t>
            </w:r>
          </w:p>
        </w:tc>
      </w:tr>
      <w:tr>
        <w:trPr>
          <w:trHeight w:val="210"/>
        </w:trPr>
        <w:tc>
          <w:tcPr>
            <w:tcW w:w="48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3"/>
              </w:rPr>
              <w:t>HUMMER Total</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294</w:t>
            </w:r>
          </w:p>
        </w:tc>
        <w:tc>
          <w:tcPr>
            <w:tcW w:w="11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831</w:t>
            </w: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-64.6</w:t>
            </w:r>
          </w:p>
        </w:tc>
        <w:tc>
          <w:tcPr>
            <w:tcW w:w="8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3,106</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-72.5</w:t>
            </w:r>
          </w:p>
        </w:tc>
      </w:tr>
      <w:tr>
        <w:trPr>
          <w:trHeight w:val="210"/>
        </w:trPr>
        <w:tc>
          <w:tcPr>
            <w:tcW w:w="48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9"/>
              </w:rPr>
              <w:t>Pontiac Total</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109</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17,583</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-99.4</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-99.4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40,887</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-98.6</w:t>
            </w:r>
          </w:p>
        </w:tc>
      </w:tr>
      <w:tr>
        <w:trPr>
          <w:trHeight w:val="210"/>
        </w:trPr>
        <w:tc>
          <w:tcPr>
            <w:tcW w:w="48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4"/>
              </w:rPr>
              <w:t>Saab Total</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11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1,265</w:t>
            </w: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2,932</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-79.3</w:t>
            </w:r>
          </w:p>
        </w:tc>
      </w:tr>
      <w:tr>
        <w:trPr>
          <w:trHeight w:val="210"/>
        </w:trPr>
        <w:tc>
          <w:tcPr>
            <w:tcW w:w="48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7"/>
              </w:rPr>
              <w:t>Saturn Total</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2,737</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7,333</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-62.7</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-64.1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19,843</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-70.1</w:t>
            </w:r>
          </w:p>
        </w:tc>
      </w:tr>
      <w:tr>
        <w:trPr>
          <w:trHeight w:val="210"/>
        </w:trPr>
        <w:tc>
          <w:tcPr>
            <w:tcW w:w="480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91"/>
              </w:rPr>
              <w:t>Other Brand Total</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3,140</w:t>
            </w:r>
          </w:p>
        </w:tc>
        <w:tc>
          <w:tcPr>
            <w:tcW w:w="11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b w:val="1"/>
                <w:bCs w:val="1"/>
                <w:color w:val="auto"/>
              </w:rPr>
              <w:t>27,012</w:t>
            </w: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-88.4</w:t>
            </w:r>
          </w:p>
        </w:tc>
        <w:tc>
          <w:tcPr>
            <w:tcW w:w="8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-88.8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7,969</w:t>
            </w:r>
          </w:p>
        </w:tc>
        <w:tc>
          <w:tcPr>
            <w:tcW w:w="12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b w:val="1"/>
                <w:bCs w:val="1"/>
                <w:color w:val="auto"/>
              </w:rPr>
              <w:t>66,768</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-88.1</w:t>
            </w:r>
          </w:p>
        </w:tc>
      </w:tr>
      <w:tr>
        <w:trPr>
          <w:trHeight w:val="210"/>
        </w:trPr>
        <w:tc>
          <w:tcPr>
            <w:tcW w:w="48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6"/>
              </w:rPr>
              <w:t>GM Total</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188,546</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156,380</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20.6</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15.9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477,322</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412,903</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15.6</w:t>
            </w:r>
          </w:p>
        </w:tc>
      </w:tr>
      <w:tr>
        <w:trPr>
          <w:trHeight w:val="356"/>
        </w:trPr>
        <w:tc>
          <w:tcPr>
            <w:tcW w:w="5940" w:type="dxa"/>
            <w:vAlign w:val="bottom"/>
            <w:gridSpan w:val="2"/>
          </w:tcPr>
          <w:p>
            <w:pPr>
              <w:jc w:val="right"/>
              <w:ind w:right="333"/>
              <w:spacing w:after="0"/>
              <w:rPr>
                <w:sz w:val="20"/>
                <w:szCs w:val="20"/>
                <w:color w:val="auto"/>
              </w:rPr>
            </w:pPr>
            <w:r>
              <w:rPr>
                <w:rFonts w:ascii="Arial" w:cs="Arial" w:eastAsia="Arial" w:hAnsi="Arial"/>
                <w:sz w:val="18"/>
                <w:szCs w:val="18"/>
                <w:color w:val="auto"/>
                <w:w w:val="88"/>
              </w:rPr>
              <w:t>Global Market and Industry Analysis - Sales Reporting and Data Management</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gridSpan w:val="2"/>
          </w:tcPr>
          <w:p>
            <w:pPr>
              <w:jc w:val="right"/>
              <w:ind w:right="53"/>
              <w:spacing w:after="0"/>
              <w:rPr>
                <w:sz w:val="20"/>
                <w:szCs w:val="20"/>
                <w:color w:val="auto"/>
              </w:rPr>
            </w:pPr>
            <w:r>
              <w:rPr>
                <w:rFonts w:ascii="Arial" w:cs="Arial" w:eastAsia="Arial" w:hAnsi="Arial"/>
                <w:sz w:val="18"/>
                <w:szCs w:val="18"/>
                <w:color w:val="auto"/>
              </w:rPr>
              <w:t>Page 2 of 2</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2019-12-11T07:10:25Z</dcterms:created>
  <dcterms:modified xsi:type="dcterms:W3CDTF">2019-12-11T07:10:25Z</dcterms:modified>
</cp:coreProperties>
</file>