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Timko Thomas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5,575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02/11/2015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5,575</w:t>
            </w:r>
          </w:p>
        </w:tc>
        <w:tc>
          <w:tcPr>
            <w:tcW w:w="340" w:type="dxa"/>
            <w:vAlign w:val="bottom"/>
          </w:tcPr>
          <w:p>
            <w:pPr>
              <w:spacing w:after="0"/>
              <w:rPr>
                <w:sz w:val="7"/>
                <w:szCs w:val="7"/>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restart"/>
          </w:tcPr>
          <w:p>
            <w:pPr>
              <w:ind w:left="2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5,575</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Units ("RSUs") were awarded on February 11, 2015, pursuant to the Company's 2014 Long-Term Incentive Plan (the "GMLTIP"). The RSUs will vest annually in three equal installments beginning on February 11, 2016 pursuant to the terms of the GMLTIP. Upon vesting, each RSU will be settled by delivery of one share of the Company's common stock.</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date on which they become exercisable or expire.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00" w:type="dxa"/>
            <w:vAlign w:val="bottom"/>
            <w:gridSpan w:val="2"/>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02/13/2015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6"/>
              </w:rPr>
              <w:t>attorney-in-fact for Mr.Timko</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846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2019-12-24T07:26:49Z</dcterms:created>
  <dcterms:modified xsi:type="dcterms:W3CDTF">2019-12-24T07:26:49Z</dcterms:modified>
</cp:coreProperties>
</file>