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October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Sales Release and Charts Dated October 1,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2010, General Motors Company (GM) issued a news release announcing September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Method of Filing</w:t>
            </w: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October 1, 2010</w:t>
            </w: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October 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October 1,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 Buick, GMC and Cadillac September Sales Rise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22 Percent on Strong Retail Growth</w:t>
      </w:r>
    </w:p>
    <w:p>
      <w:pPr>
        <w:spacing w:after="0" w:line="84"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Chevrolet, Buick, GMC and Cadillac retail sales increase 39 percent during month</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and inventory mix reflects quick transition to new model year vehicles</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Company gaining retail market share with retail sales up 15 percent year-to-date</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full-size pickup sales rise 62 percent; compact crossovers increase 101 percent</w:t>
      </w:r>
    </w:p>
    <w:p>
      <w:pPr>
        <w:spacing w:after="0" w:line="1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September combined total sales for Chevrolet, Buick, GMC and Cadillac increased 22 percent to 172,969 units, driven by a combined 39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rebound in retail sales compared with last September. Each brand saw retail increases in excess of 21 percent, led by Buick, where retail sales were up 96 percent for the month.</w:t>
      </w:r>
    </w:p>
    <w:p>
      <w:pPr>
        <w:spacing w:after="0" w:line="13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September’s results also reflect an effective and quick model-year transition – a dramatic departure from last year’s changeover. Of GM’s retail sales for the month, 53 percent were new (2011) model year vehicles – almost double last year’s 27 percent. Dealer stock at the end of the month included 75 percent new model vehicles, compared to just 30 percent last year.</w:t>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“We said our goal for this time of year was to achieve an orderly transition from past model to the new model year, and we’ve achieved that,” said Don Johnson, vice president, U.S. Sales Operations. “This helps us lower our overall selling costs and positions us to come out of the gates quickly during the new model year.”</w:t>
      </w:r>
    </w:p>
    <w:p>
      <w:pPr>
        <w:spacing w:after="0" w:line="6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Year-to-date through September, GM’s four brands have sold 79,948 more units than were sold with eight brands through September 2009. The company’s brands also have increased retail sales by 15 percent through September, and have gained market share in each of the first nine months this year.</w:t>
      </w:r>
    </w:p>
    <w:p>
      <w:pPr>
        <w:spacing w:after="0" w:line="8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“September’s results are a continuation of positive momentum for our four brands and demonstrate that our plan is working,” Johnson said. “With key products like our heavy-duty pickups, the Buick Regal and the Cadillac CTS Coupe launching now, and expanded capacity for the Chevrolet Equinox and GMC Terrain hitting dealer lots, we’re ready to run.”</w:t>
      </w:r>
    </w:p>
    <w:p>
      <w:pPr>
        <w:sectPr>
          <w:pgSz w:w="11900" w:h="16838" w:orient="portrait"/>
          <w:cols w:equalWidth="0" w:num="1">
            <w:col w:w="11420"/>
          </w:cols>
          <w:pgMar w:left="240" w:top="125" w:right="239" w:bottom="1440" w:gutter="0" w:footer="0" w:header="0"/>
        </w:sectPr>
      </w:pPr>
    </w:p>
    <w:bookmarkStart w:id="5" w:name="page6"/>
    <w:bookmarkEnd w:id="5"/>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sales of crossovers and full-size pickups led GM’s gains in September. Sales of the company’s compact crossovers, Chevrolet Equinox and GMC Terrain, rose 101 percent, while sales of mid-size crossovers, GMC Acadia, Chevrolet Traverse and Buick Enclave increased 36 percent. The Cadillac SRX, remained the fastest growing luxury crossover, with sales up 41 percent during the month. Year-to-date, SRX sales have increased 319 percent. Sales for GM’s full-size pickup trucks, Chevrolet Silverado and GMC Sierra rose 62 percent in September.</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Month-end dealer inventory in the U.S. stood at about 478,000 units, which is about 26,000 higher compared to August, and about 55,000 higher than September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Key Facts and Brand Results:</w:t>
      </w:r>
    </w:p>
    <w:p>
      <w:pPr>
        <w:spacing w:after="0" w:line="9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Calendar-year-to-date total sales for GM’s four brands are up 23 percent</w:t>
      </w:r>
    </w:p>
    <w:p>
      <w:pPr>
        <w:spacing w:after="0" w:line="90" w:lineRule="exact"/>
        <w:rPr>
          <w:rFonts w:ascii="Arial" w:cs="Arial" w:eastAsia="Arial" w:hAnsi="Arial"/>
          <w:sz w:val="18"/>
          <w:szCs w:val="18"/>
          <w:i w:val="1"/>
          <w:iCs w:val="1"/>
          <w:color w:val="auto"/>
        </w:rPr>
      </w:pPr>
    </w:p>
    <w:p>
      <w:pPr>
        <w:ind w:left="440" w:right="360" w:hanging="324"/>
        <w:spacing w:after="0" w:line="332" w:lineRule="auto"/>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delivered 121,479 total vehicles in September, a 19 percent increase year-over-year. Year-to-date total Chevrolet sales are up 19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percent. Retail sales for Chevrolet rose 34 percent on the strength of Silverado and Equinox sales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4" w:lineRule="exact"/>
        <w:rPr>
          <w:rFonts w:ascii="Arial" w:cs="Arial" w:eastAsia="Arial" w:hAnsi="Arial"/>
          <w:sz w:val="16"/>
          <w:szCs w:val="16"/>
          <w:i w:val="1"/>
          <w:iCs w:val="1"/>
          <w:color w:val="auto"/>
        </w:rPr>
      </w:pPr>
    </w:p>
    <w:p>
      <w:pPr>
        <w:ind w:left="440" w:right="100" w:hanging="324"/>
        <w:spacing w:after="0" w:line="306" w:lineRule="auto"/>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Buick: </w:t>
      </w:r>
      <w:r>
        <w:rPr>
          <w:rFonts w:ascii="Arial" w:cs="Arial" w:eastAsia="Arial" w:hAnsi="Arial"/>
          <w:sz w:val="16"/>
          <w:szCs w:val="16"/>
          <w:i w:val="1"/>
          <w:iCs w:val="1"/>
          <w:color w:val="auto"/>
        </w:rPr>
        <w:t>Buick reported total sales of 12,875, an increase of 36 percent compared to last year. Driven by continuing strong customer demand for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LaCrosse and Enclave (retail sales up 182 and 89 percent, respectively) and growing demand for the all-new Regal, Buick retail sales were up 96 percent for the month. With total sales up 58 percent this year, Buick remains the fastest growing major auto brand in the U.S.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25" w:lineRule="exact"/>
        <w:rPr>
          <w:rFonts w:ascii="Arial" w:cs="Arial" w:eastAsia="Arial" w:hAnsi="Arial"/>
          <w:sz w:val="16"/>
          <w:szCs w:val="16"/>
          <w:i w:val="1"/>
          <w:iCs w:val="1"/>
          <w:color w:val="auto"/>
        </w:rPr>
      </w:pPr>
    </w:p>
    <w:p>
      <w:pPr>
        <w:ind w:left="440" w:right="120" w:hanging="324"/>
        <w:spacing w:after="0" w:line="306" w:lineRule="auto"/>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GMC: </w:t>
      </w:r>
      <w:r>
        <w:rPr>
          <w:rFonts w:ascii="Arial" w:cs="Arial" w:eastAsia="Arial" w:hAnsi="Arial"/>
          <w:sz w:val="16"/>
          <w:szCs w:val="16"/>
          <w:i w:val="1"/>
          <w:iCs w:val="1"/>
          <w:color w:val="auto"/>
        </w:rPr>
        <w:t>GMC reported total sales of 25,995, a 42 percent increase in total sales in the month of September, compared to the same month last year. This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includes a 48 percent increase in retail sales. Retail sales for the GMC Sierra increased 59 percent during the month and retail sales for the Terrain were up 405 percent compared to last year. For the year, GMC total sales are up 28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25" w:lineRule="exact"/>
        <w:rPr>
          <w:rFonts w:ascii="Arial" w:cs="Arial" w:eastAsia="Arial" w:hAnsi="Arial"/>
          <w:sz w:val="16"/>
          <w:szCs w:val="16"/>
          <w:i w:val="1"/>
          <w:iCs w:val="1"/>
          <w:color w:val="auto"/>
        </w:rPr>
      </w:pPr>
    </w:p>
    <w:p>
      <w:pPr>
        <w:ind w:left="440" w:right="60" w:hanging="324"/>
        <w:spacing w:after="0" w:line="259"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of 12,620 for September were 11 percent higher than last September, with retail sales increasing 21 percent. SRX retail sales were up</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96 percent, compared to a year ago, and CTS retail sales increased 18 percent. With total sales up 44 percent for the year, the brand remains the fastest growing luxury auto brand in the industry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43,733 for the month.</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208,000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tom.e.henderson@gm.com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ectPr>
          <w:pgSz w:w="11900" w:h="16838" w:orient="portrait"/>
          <w:cols w:equalWidth="0" w:num="1">
            <w:col w:w="10219"/>
          </w:cols>
          <w:pgMar w:left="240" w:top="28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97891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978910" cy="342900"/>
                    </a:xfrm>
                    <a:prstGeom prst="rect">
                      <a:avLst/>
                    </a:prstGeom>
                    <a:noFill/>
                  </pic:spPr>
                </pic:pic>
              </a:graphicData>
            </a:graphic>
          </wp:anchor>
        </w:drawing>
        <w:t>For Release: Oct. 1, 2010, 10:45 AM EDT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Chevrolet Total Sales Up 19 Percent in September, and Retail Sales Climb 34 percent</w:t>
      </w:r>
    </w:p>
    <w:p>
      <w:pPr>
        <w:spacing w:after="0" w:line="17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DETROIT – Chevrolet sales momentum continued in September, posting total sales of 121,479, a 19 percent increase from the same month a year ago. Strong consumer demand drove retail sales up 34 percent year over year. Total Chevrolet sales are up 19 percent for 2010 calendar year to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Chevrolet Equinox and Silverado posted the largest gains in September, with total sales up of 70 percent and 66 percent, respectively.</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“Equinox and Silverado HD are two examples of Chevrolet successfully attracting new customers to our showrooms,” said Alan Batey, vice president, Chevrolet Sales and Service. “Now, our focus now is on building the inventory needed to meet sustained customer demand across our vehicle lineup.”</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sales for the Chevrolet Silverado climbed 66 percent in September – the eighth consecutive month of year-over-year gains – and are up 17 percent calendar year to date.</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Much of that growth can be attributed to the arrival of the new 2011 Silverado HD. The new 2011 Silverado HD was introduced this summer, featuring new frame and suspension designs, and a more powerful Duramax diesel engine with 397 horsepower, 765 lb.-ft. of torque, and 11 percent better fuel-economy. As a result, the 2011 Silverado HD is capable of towing up to 21,700 pounds, or carrying 6,635 pounds of payload.</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In August, a 2011 Chevrolet Silverado 2500, equipped with the new Duramax diesel engine and Allison transmission, bested its competition in the popular 3/4 – ton diesel category, according to the </w:t>
      </w:r>
      <w:r>
        <w:rPr>
          <w:rFonts w:ascii="Arial" w:cs="Arial" w:eastAsia="Arial" w:hAnsi="Arial"/>
          <w:sz w:val="18"/>
          <w:szCs w:val="18"/>
          <w:u w:val="single" w:color="auto"/>
          <w:color w:val="auto"/>
        </w:rPr>
        <w:t>PickupTrucks.com</w:t>
      </w:r>
      <w:r>
        <w:rPr>
          <w:rFonts w:ascii="Arial" w:cs="Arial" w:eastAsia="Arial" w:hAnsi="Arial"/>
          <w:sz w:val="18"/>
          <w:szCs w:val="18"/>
          <w:color w:val="auto"/>
        </w:rPr>
        <w:t xml:space="preserve"> 2010 Heavy-Duty Shootout.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Chevy’s combination of the powerful Duramax diesel, all-new frame and suspension and excellent fuel economy put it ahead of the Ford and Ram trucks,” said Mike Levine, editor of Pickuptrucks.com.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sales for the Chevrolet Equinox climbed 70 percent in September, and are up 77 percent calendar year to date.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Nearly 85 percent of Equinox buyers choose the fuel-efficient 2.4L Ecotec direct injected I-4 engine, which delivers the segment’s best EPA-estimated fuel economy of 32 mpg highway and 22 mpg city.</w:t>
      </w:r>
    </w:p>
    <w:p>
      <w:pPr>
        <w:sectPr>
          <w:pgSz w:w="11900" w:h="16838" w:orient="portrait"/>
          <w:cols w:equalWidth="0" w:num="1">
            <w:col w:w="11320"/>
          </w:cols>
          <w:pgMar w:left="240" w:top="982" w:right="33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meet consumer demand, Chevrolet recently started producing Equinox models at the award-winning Oshawa Assembly plant, as well as the CAMI facility in Ingersoll. The plan utilizes excess capacity from the CAMI body shop to transport additional Equinox bodies from Ingersoll to Oshawa for paint and final assembly. Moving some Equinox production to Oshawa also allows the CAMI plant to increase GMC Terrain volume. This is the third production increase for the Equinox and Terrain, and will add the capacity to build 60,000 to 80,000 more vehicles for the Canadian and U.S. markets.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AutoPacific recently named the Equinox the “Most Ideal” vehicle in the Premium Mid-Size Crossover SUV category. The awards are based on more than 42,000 surveys completed by owners of new cars and trucks in the United States in the first quarter of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25-50 miles of electric driving and an additional 310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Phone 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Phone 586-986-8136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313-407-4548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patrick.e.morrissey@gm.com</w:t>
      </w:r>
    </w:p>
    <w:p>
      <w:pPr>
        <w:sectPr>
          <w:pgSz w:w="11900" w:h="16838" w:orient="portrait"/>
          <w:cols w:equalWidth="0" w:num="1">
            <w:col w:w="11420"/>
          </w:cols>
          <w:pgMar w:left="240" w:top="2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0330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11480"/>
                    </a:xfrm>
                    <a:prstGeom prst="rect">
                      <a:avLst/>
                    </a:prstGeom>
                    <a:noFill/>
                  </pic:spPr>
                </pic:pic>
              </a:graphicData>
            </a:graphic>
          </wp:anchor>
        </w:drawing>
        <w:t>Buick September Retail Sales Rise 96 Percent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LaCrosse, Enclave and Regal continue to drive sales</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posted a 96 percent increase in retail sales in September, compared to the same month a year ago. September marked 12 consecutive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year-over-year retail sales increases for the brand.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Due to customer demand for the LaCrosse, Enclave and Regal total sales are up 58 percent for the calendar-year-to-date and 36 percent in September.</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“Buick remains the fastest growing major automotive brand in the U.S. and the sales momentum around the brand has led to the 12th consecutive month of year-over-year retail sales growth,” said Brian Sweeney, U.S. vice president of Buick &amp; GMC Sales and Service. “The LaCrosse, Enclave and Regal are attracting new customers to Buick, with 42 percent sales coming from non-General Motors’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LaCrosse, retail sales were up 182 percent for the month and 184 percent for the year. In September, LaCrosse total sales were up 99 percent.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Enclave also saw an increase in sales with retail sales up 89 percent versus September 2009. Total sales for the Enclave were up 60 percent for the month.</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The Regal is continuing the momentum started by the Enclave and LaCrosse. The Regal is attracting praise from automotive critics and is a semifinal candidate for the </w:t>
      </w:r>
      <w:r>
        <w:rPr>
          <w:rFonts w:ascii="Arial" w:cs="Arial" w:eastAsia="Arial" w:hAnsi="Arial"/>
          <w:sz w:val="18"/>
          <w:szCs w:val="18"/>
          <w:u w:val="single" w:color="auto"/>
          <w:color w:val="auto"/>
        </w:rPr>
        <w:t>2011 North American International Car of the Year</w:t>
      </w:r>
      <w:r>
        <w:rPr>
          <w:rFonts w:ascii="Arial" w:cs="Arial" w:eastAsia="Arial" w:hAnsi="Arial"/>
          <w:sz w:val="18"/>
          <w:szCs w:val="18"/>
          <w:color w:val="auto"/>
        </w:rPr>
        <w:t>, voted by a jury of automotive journalists from the United States and Canada representing magazines, television, radio, newspapers and web sites.</w:t>
      </w:r>
    </w:p>
    <w:p>
      <w:pPr>
        <w:spacing w:after="0" w:line="14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 xml:space="preserve">To engage and attract new customers, Buick, has partnered with </w:t>
      </w:r>
      <w:r>
        <w:rPr>
          <w:rFonts w:ascii="Arial" w:cs="Arial" w:eastAsia="Arial" w:hAnsi="Arial"/>
          <w:sz w:val="16"/>
          <w:szCs w:val="16"/>
          <w:i w:val="1"/>
          <w:iCs w:val="1"/>
          <w:u w:val="single" w:color="auto"/>
          <w:color w:val="auto"/>
        </w:rPr>
        <w:t>Food &amp; Wine</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Travel + Leisure</w:t>
      </w:r>
      <w:r>
        <w:rPr>
          <w:rFonts w:ascii="Arial" w:cs="Arial" w:eastAsia="Arial" w:hAnsi="Arial"/>
          <w:sz w:val="16"/>
          <w:szCs w:val="16"/>
          <w:color w:val="auto"/>
        </w:rPr>
        <w:t xml:space="preserve"> magazines to host a “cultural discovery” tour that engages consumers through premium lifestyle events. The 10-city tour will introduce Buick to a group of select consumers, through test drives of the new 2011 Buick Regal sport sedan. Attendees will have the chance to learn culinary secrets from two of the top chefs in the United States, Bravo-TV </w:t>
      </w:r>
      <w:r>
        <w:rPr>
          <w:rFonts w:ascii="Arial" w:cs="Arial" w:eastAsia="Arial" w:hAnsi="Arial"/>
          <w:sz w:val="16"/>
          <w:szCs w:val="16"/>
          <w:i w:val="1"/>
          <w:iCs w:val="1"/>
          <w:color w:val="auto"/>
        </w:rPr>
        <w:t>Top Chef Masters</w:t>
      </w:r>
      <w:r>
        <w:rPr>
          <w:rFonts w:ascii="Arial" w:cs="Arial" w:eastAsia="Arial" w:hAnsi="Arial"/>
          <w:sz w:val="16"/>
          <w:szCs w:val="16"/>
          <w:color w:val="auto"/>
        </w:rPr>
        <w:t xml:space="preserve"> Season Two winner Marcus Samuelsson and </w:t>
      </w:r>
      <w:r>
        <w:rPr>
          <w:rFonts w:ascii="Arial" w:cs="Arial" w:eastAsia="Arial" w:hAnsi="Arial"/>
          <w:sz w:val="16"/>
          <w:szCs w:val="16"/>
          <w:i w:val="1"/>
          <w:iCs w:val="1"/>
          <w:color w:val="auto"/>
        </w:rPr>
        <w:t>Food &amp; Wine’s 2008 Best New Chef</w:t>
      </w:r>
      <w:r>
        <w:rPr>
          <w:rFonts w:ascii="Arial" w:cs="Arial" w:eastAsia="Arial" w:hAnsi="Arial"/>
          <w:sz w:val="16"/>
          <w:szCs w:val="16"/>
          <w:color w:val="auto"/>
        </w:rPr>
        <w:t xml:space="preserve"> Michael Psilakis.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Buick is a modern brand with premium, high-quality vehicles characterized by sculpted designs, luxurious interiors with personal technologies, and responsive-yet-efficient performance. Buick is attracting new customers with its portfolio of award-winning vehicles, including the Enclave crossover, LaCrosse sedan and Regal sport sedan. A new compact sedan and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dayna.hart@gm.com</w:t>
      </w:r>
    </w:p>
    <w:p>
      <w:pPr>
        <w:sectPr>
          <w:pgSz w:w="11900" w:h="16838" w:orient="portrait"/>
          <w:cols w:equalWidth="0" w:num="1">
            <w:col w:w="11420"/>
          </w:cols>
          <w:pgMar w:left="240" w:top="11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7180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71805" cy="428625"/>
                    </a:xfrm>
                    <a:prstGeom prst="rect">
                      <a:avLst/>
                    </a:prstGeom>
                    <a:noFill/>
                  </pic:spPr>
                </pic:pic>
              </a:graphicData>
            </a:graphic>
          </wp:anchor>
        </w:drawing>
        <w:t>For release: Friday, October 1, 2010, 10:45 a.m. EDT</w:t>
      </w:r>
    </w:p>
    <w:p>
      <w:pPr>
        <w:spacing w:after="0" w:line="246" w:lineRule="exact"/>
        <w:rPr>
          <w:sz w:val="20"/>
          <w:szCs w:val="20"/>
          <w:color w:val="auto"/>
        </w:rPr>
      </w:pPr>
    </w:p>
    <w:p>
      <w:pPr>
        <w:ind w:right="4320"/>
        <w:spacing w:after="0" w:line="391" w:lineRule="auto"/>
        <w:rPr>
          <w:sz w:val="20"/>
          <w:szCs w:val="20"/>
          <w:color w:val="auto"/>
        </w:rPr>
      </w:pPr>
      <w:r>
        <w:rPr>
          <w:rFonts w:ascii="Arial" w:cs="Arial" w:eastAsia="Arial" w:hAnsi="Arial"/>
          <w:sz w:val="16"/>
          <w:szCs w:val="16"/>
          <w:b w:val="1"/>
          <w:bCs w:val="1"/>
          <w:color w:val="auto"/>
        </w:rPr>
        <w:t xml:space="preserve">CADILLAC SALES RISE 44 PERCENT IN 2010, OUTPACING THE LUXURY SEGMENT </w:t>
      </w:r>
      <w:r>
        <w:rPr>
          <w:rFonts w:ascii="Arial" w:cs="Arial" w:eastAsia="Arial" w:hAnsi="Arial"/>
          <w:sz w:val="16"/>
          <w:szCs w:val="16"/>
          <w:b w:val="1"/>
          <w:bCs w:val="1"/>
          <w:i w:val="1"/>
          <w:iCs w:val="1"/>
          <w:color w:val="auto"/>
        </w:rPr>
        <w:t>Cadillac has gained more than 2 share points in luxury segment in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SRX is the fastest-growing luxury nameplate, with sales up 319 percent in 2010</w:t>
      </w:r>
    </w:p>
    <w:p>
      <w:pPr>
        <w:spacing w:after="0" w:line="84"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DETROIT </w:t>
      </w:r>
      <w:r>
        <w:rPr>
          <w:rFonts w:ascii="Arial" w:cs="Arial" w:eastAsia="Arial" w:hAnsi="Arial"/>
          <w:sz w:val="15"/>
          <w:szCs w:val="15"/>
          <w:color w:val="auto"/>
        </w:rPr>
        <w:t>– Cadillac continued to gain strength in the U.S. luxury auto market, posting a total of 12,620 sales in September. This is an 11 percent increase from</w:t>
      </w:r>
      <w:r>
        <w:rPr>
          <w:rFonts w:ascii="Arial" w:cs="Arial" w:eastAsia="Arial" w:hAnsi="Arial"/>
          <w:sz w:val="15"/>
          <w:szCs w:val="15"/>
          <w:b w:val="1"/>
          <w:bCs w:val="1"/>
          <w:color w:val="auto"/>
        </w:rPr>
        <w:t xml:space="preserve"> </w:t>
      </w:r>
      <w:r>
        <w:rPr>
          <w:rFonts w:ascii="Arial" w:cs="Arial" w:eastAsia="Arial" w:hAnsi="Arial"/>
          <w:sz w:val="15"/>
          <w:szCs w:val="15"/>
          <w:color w:val="auto"/>
        </w:rPr>
        <w:t>a year ago, and the eighth consecutive month of year-over-year sales gains for the brand. For the third quarter of 2010, total sales were up 65 percent over 2009.</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Cadillac continues to be the fastest-growing luxury brand in the U.S. Calendar year to date, Cadillac sales are up 44 percent and the brand has gained more than 2 percentage points of market share in the luxury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Much of that growth can be attributed to SRX and CTS, which account for two-thirds of all Cadillac sales.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CTS and SRX have been key to attracting new customers to the Cadillac brand,” said Kurt McNeil, vice president of Cadillac Sales and Service, “and exemplify our commitment to be the leader in the luxury segment.”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Total SRX sales increased 41 percent in September. Calendar year to date, SRX sales are up 319 percent, making it fastest-growing luxury nameplate for 2010.</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CTS sales rose 8 percent in September and are up 12 percent calendar year to date over 2009. Consumer demand for the CTS has grown with the addition of the all-new 2011 CTS Coupe, which recently joined the CTS Sport Sedan and CTS Sport Wagon.</w:t>
      </w:r>
    </w:p>
    <w:p>
      <w:pPr>
        <w:sectPr>
          <w:pgSz w:w="11900" w:h="16838" w:orient="portrait"/>
          <w:cols w:equalWidth="0" w:num="1">
            <w:col w:w="11320"/>
          </w:cols>
          <w:pgMar w:left="240" w:top="111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w:t>
      </w:r>
      <w:r>
        <w:rPr>
          <w:rFonts w:ascii="Arial" w:cs="Arial" w:eastAsia="Arial" w:hAnsi="Arial"/>
          <w:sz w:val="16"/>
          <w:szCs w:val="16"/>
          <w:i w:val="1"/>
          <w:iCs w:val="1"/>
          <w:color w:val="auto"/>
        </w:rPr>
        <w:t>New York Times</w:t>
      </w:r>
      <w:r>
        <w:rPr>
          <w:rFonts w:ascii="Arial" w:cs="Arial" w:eastAsia="Arial" w:hAnsi="Arial"/>
          <w:sz w:val="16"/>
          <w:szCs w:val="16"/>
          <w:color w:val="auto"/>
        </w:rPr>
        <w:t xml:space="preserve"> recently called the CTS Coupe “a brazen slap to the face of genteel luxury coupes…. Several bowled-over onlookers said the Cadillac</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looked like an auto-show dream car. All angular, meaty slabs, with tiny windows that could be portals for laser gunsights, the Cadillac looks as if a stealth bomber just touched down in the neighborhood.”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+1.586.565.1001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1400"/>
          </w:cols>
          <w:pgMar w:left="240" w:top="280" w:right="2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 Achieves 12th Straight Month of Year-Over-Year Sales Increases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Retail Sales Increase 48 percent in September</w:t>
      </w:r>
    </w:p>
    <w:p>
      <w:pPr>
        <w:spacing w:after="0" w:line="84"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GMC posted year-over-year sales increases in September for the 12th consecutive month. Driven by customer demand for the Sierra, Terrain and</w:t>
      </w:r>
      <w:r>
        <w:rPr>
          <w:rFonts w:ascii="Arial" w:cs="Arial" w:eastAsia="Arial" w:hAnsi="Arial"/>
          <w:sz w:val="16"/>
          <w:szCs w:val="16"/>
          <w:b w:val="1"/>
          <w:bCs w:val="1"/>
          <w:color w:val="auto"/>
        </w:rPr>
        <w:t xml:space="preserve"> </w:t>
      </w:r>
      <w:r>
        <w:rPr>
          <w:rFonts w:ascii="Arial" w:cs="Arial" w:eastAsia="Arial" w:hAnsi="Arial"/>
          <w:sz w:val="16"/>
          <w:szCs w:val="16"/>
          <w:color w:val="auto"/>
        </w:rPr>
        <w:t>Acadia, retail sales increased 48 percent in September. Total sales are up 42 percent, compared to the same month a year ago.</w:t>
      </w:r>
    </w:p>
    <w:p>
      <w:pPr>
        <w:spacing w:after="0" w:line="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Sierra, Terrain and Acadia continue to post strong sales increases for GMC,” said Brian Sweeney, U.S. vice president for Buick &amp; GMC Sales and Service. “We are encouraged that September marked a year of consecutive year-over-year sales increases for the brand.”</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month of September, the Sierra, including the new Sierra HD, saw a 59 percent increase in retail sales and a 53 percent increase in total sales. Sierra retail sales are up 16 percent for the year.</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Terrain retail sales rose 405 percent in compared to the same month last year. Total sales for the Terrain were up 258 for the month. The Terrain is averaging just 14 days to turn on dealer lots, compared with 29 for the compact-SUV segment. To meet customer demand, GM’s CAMI Automotive Plant in Ingersoll, Ontario, has developed an innovative production model to increase Terrain volume. This is the third time that production has been increased to meet the growth in demand for the Terrain.</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Retail sales for the Acadia rose 61 percent in September and 21 percent for the year. GMC started production of the new 2011 GMC Acadia Denali this September, offering the exclusive Denali trim level for the first time on the Acadia. The Acadia Denali distinguishes itself among other crossover SUVs with its unique Denali chrome honeycomb grille and monochromatic exterior and 20-inch two-tone chrome-clad wheels. The Acadia Denali is expected to begin arriving at dealerships this October.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Both the Terrain and Acadia continue to attract new customers to the brand. In 2010, 54 percent of buyers for both vehicles are non-General Motors’ customers.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 xml:space="preserve">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dayna.hart@gm.com</w:t>
      </w:r>
    </w:p>
    <w:p>
      <w:pPr>
        <w:sectPr>
          <w:pgSz w:w="11900" w:h="16838" w:orient="portrait"/>
          <w:cols w:equalWidth="0" w:num="1">
            <w:col w:w="11380"/>
          </w:cols>
          <w:pgMar w:left="240" w:top="76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September 2010 - Divisional Brand Level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420" w:type="dxa"/>
            <w:vAlign w:val="bottom"/>
            <w:tcBorders>
              <w:top w:val="single" w:sz="8" w:color="auto"/>
              <w:left w:val="single" w:sz="8" w:color="auto"/>
              <w:right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right"/>
              <w:ind w:right="377"/>
              <w:spacing w:after="0"/>
              <w:rPr>
                <w:sz w:val="20"/>
                <w:szCs w:val="20"/>
                <w:color w:val="auto"/>
              </w:rPr>
            </w:pPr>
            <w:r>
              <w:rPr>
                <w:rFonts w:ascii="Arial" w:cs="Arial" w:eastAsia="Arial" w:hAnsi="Arial"/>
                <w:sz w:val="14"/>
                <w:szCs w:val="14"/>
                <w:color w:val="auto"/>
              </w:rPr>
              <w:t>September</w:t>
            </w:r>
          </w:p>
        </w:tc>
        <w:tc>
          <w:tcPr>
            <w:tcW w:w="500" w:type="dxa"/>
            <w:vAlign w:val="bottom"/>
            <w:tcBorders>
              <w:top w:val="single" w:sz="8" w:color="auto"/>
              <w:right w:val="single" w:sz="8" w:color="auto"/>
            </w:tcBorders>
          </w:tcPr>
          <w:p>
            <w:pPr>
              <w:spacing w:after="0"/>
              <w:rPr>
                <w:sz w:val="13"/>
                <w:szCs w:val="13"/>
                <w:color w:val="auto"/>
              </w:rPr>
            </w:pPr>
          </w:p>
        </w:tc>
        <w:tc>
          <w:tcPr>
            <w:tcW w:w="18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4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25</w:t>
            </w:r>
          </w:p>
        </w:tc>
        <w:tc>
          <w:tcPr>
            <w:tcW w:w="7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8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rPr>
              <w:t>January - September</w:t>
            </w: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42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420" w:type="dxa"/>
            <w:vAlign w:val="bottom"/>
            <w:tcBorders>
              <w:left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 Chg</w:t>
            </w:r>
          </w:p>
        </w:tc>
        <w:tc>
          <w:tcPr>
            <w:tcW w:w="5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2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25</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Volume</w:t>
            </w:r>
          </w:p>
        </w:tc>
        <w:tc>
          <w:tcPr>
            <w:tcW w:w="50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per S/D</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156,673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1,638,544</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1,546,951</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172,969</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141,691</w:t>
            </w: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940" w:type="dxa"/>
            <w:vAlign w:val="bottom"/>
          </w:tcPr>
          <w:p>
            <w:pPr>
              <w:jc w:val="right"/>
              <w:spacing w:after="0"/>
              <w:rPr>
                <w:sz w:val="20"/>
                <w:szCs w:val="20"/>
                <w:color w:val="auto"/>
              </w:rPr>
            </w:pPr>
            <w:r>
              <w:rPr>
                <w:rFonts w:ascii="Arial" w:cs="Arial" w:eastAsia="Arial" w:hAnsi="Arial"/>
                <w:sz w:val="18"/>
                <w:szCs w:val="18"/>
                <w:color w:val="auto"/>
              </w:rPr>
              <w:t>1,626,899</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1,319,796</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6420" w:type="dxa"/>
            <w:vAlign w:val="bottom"/>
            <w:tcBorders>
              <w:left w:val="single" w:sz="8" w:color="auto"/>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227,155</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GM Vehicle Deliveries by Marketing Division</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420" w:type="dxa"/>
            <w:vAlign w:val="bottom"/>
            <w:tcBorders>
              <w:left w:val="single" w:sz="8" w:color="auto"/>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%Chg</w:t>
            </w:r>
          </w:p>
        </w:tc>
        <w:tc>
          <w:tcPr>
            <w:tcW w:w="5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2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Volume</w:t>
            </w:r>
          </w:p>
        </w:tc>
        <w:tc>
          <w:tcPr>
            <w:tcW w:w="50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per S/D</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72,389</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12,620</w:t>
            </w:r>
          </w:p>
        </w:tc>
        <w:tc>
          <w:tcPr>
            <w:tcW w:w="720" w:type="dxa"/>
            <w:vAlign w:val="bottom"/>
          </w:tcPr>
          <w:p>
            <w:pPr>
              <w:jc w:val="right"/>
              <w:spacing w:after="0"/>
              <w:rPr>
                <w:sz w:val="20"/>
                <w:szCs w:val="20"/>
                <w:color w:val="auto"/>
              </w:rPr>
            </w:pPr>
            <w:r>
              <w:rPr>
                <w:rFonts w:ascii="Arial" w:cs="Arial" w:eastAsia="Arial" w:hAnsi="Arial"/>
                <w:sz w:val="18"/>
                <w:szCs w:val="18"/>
                <w:color w:val="auto"/>
              </w:rPr>
              <w:t>11,339</w:t>
            </w: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940" w:type="dxa"/>
            <w:vAlign w:val="bottom"/>
          </w:tcPr>
          <w:p>
            <w:pPr>
              <w:jc w:val="right"/>
              <w:spacing w:after="0"/>
              <w:rPr>
                <w:sz w:val="20"/>
                <w:szCs w:val="20"/>
                <w:color w:val="auto"/>
              </w:rPr>
            </w:pPr>
            <w:r>
              <w:rPr>
                <w:rFonts w:ascii="Arial" w:cs="Arial" w:eastAsia="Arial" w:hAnsi="Arial"/>
                <w:sz w:val="18"/>
                <w:szCs w:val="18"/>
                <w:color w:val="auto"/>
              </w:rPr>
              <w:t>105,013</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73,024</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1,175,790</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992,548</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780" w:type="dxa"/>
            <w:vAlign w:val="bottom"/>
          </w:tcPr>
          <w:p>
            <w:pPr>
              <w:jc w:val="right"/>
              <w:spacing w:after="0"/>
              <w:rPr>
                <w:sz w:val="20"/>
                <w:szCs w:val="20"/>
                <w:color w:val="auto"/>
              </w:rPr>
            </w:pPr>
            <w:r>
              <w:rPr>
                <w:rFonts w:ascii="Arial" w:cs="Arial" w:eastAsia="Arial" w:hAnsi="Arial"/>
                <w:sz w:val="18"/>
                <w:szCs w:val="18"/>
                <w:color w:val="auto"/>
              </w:rPr>
              <w:t>25,995</w:t>
            </w:r>
          </w:p>
        </w:tc>
        <w:tc>
          <w:tcPr>
            <w:tcW w:w="720" w:type="dxa"/>
            <w:vAlign w:val="bottom"/>
          </w:tcPr>
          <w:p>
            <w:pPr>
              <w:jc w:val="right"/>
              <w:spacing w:after="0"/>
              <w:rPr>
                <w:sz w:val="20"/>
                <w:szCs w:val="20"/>
                <w:color w:val="auto"/>
              </w:rPr>
            </w:pPr>
            <w:r>
              <w:rPr>
                <w:rFonts w:ascii="Arial" w:cs="Arial" w:eastAsia="Arial" w:hAnsi="Arial"/>
                <w:sz w:val="18"/>
                <w:szCs w:val="18"/>
                <w:color w:val="auto"/>
              </w:rPr>
              <w:t>18,359</w:t>
            </w:r>
          </w:p>
        </w:tc>
        <w:tc>
          <w:tcPr>
            <w:tcW w:w="560" w:type="dxa"/>
            <w:vAlign w:val="bottom"/>
          </w:tcPr>
          <w:p>
            <w:pPr>
              <w:jc w:val="right"/>
              <w:spacing w:after="0"/>
              <w:rPr>
                <w:sz w:val="20"/>
                <w:szCs w:val="20"/>
                <w:color w:val="auto"/>
              </w:rPr>
            </w:pPr>
            <w:r>
              <w:rPr>
                <w:rFonts w:ascii="Arial" w:cs="Arial" w:eastAsia="Arial" w:hAnsi="Arial"/>
                <w:sz w:val="18"/>
                <w:szCs w:val="18"/>
                <w:color w:val="auto"/>
              </w:rPr>
              <w:t>41.6</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940" w:type="dxa"/>
            <w:vAlign w:val="bottom"/>
          </w:tcPr>
          <w:p>
            <w:pPr>
              <w:jc w:val="right"/>
              <w:spacing w:after="0"/>
              <w:rPr>
                <w:sz w:val="20"/>
                <w:szCs w:val="20"/>
                <w:color w:val="auto"/>
              </w:rPr>
            </w:pPr>
            <w:r>
              <w:rPr>
                <w:rFonts w:ascii="Arial" w:cs="Arial" w:eastAsia="Arial" w:hAnsi="Arial"/>
                <w:sz w:val="18"/>
                <w:szCs w:val="18"/>
                <w:color w:val="auto"/>
              </w:rPr>
              <w:t>232,096</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181,835</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3060"/>
              <w:spacing w:after="0"/>
              <w:rPr>
                <w:sz w:val="20"/>
                <w:szCs w:val="20"/>
                <w:color w:val="auto"/>
              </w:rPr>
            </w:pPr>
            <w:r>
              <w:rPr>
                <w:rFonts w:ascii="Arial" w:cs="Arial" w:eastAsia="Arial" w:hAnsi="Arial"/>
                <w:sz w:val="18"/>
                <w:szCs w:val="18"/>
                <w:color w:val="auto"/>
              </w:rPr>
              <w:t>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141,691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1,626,899</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1,319,796</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720" w:type="dxa"/>
            <w:vAlign w:val="bottom"/>
          </w:tcPr>
          <w:p>
            <w:pPr>
              <w:jc w:val="right"/>
              <w:spacing w:after="0"/>
              <w:rPr>
                <w:sz w:val="20"/>
                <w:szCs w:val="20"/>
                <w:color w:val="auto"/>
              </w:rPr>
            </w:pPr>
            <w:r>
              <w:rPr>
                <w:rFonts w:ascii="Arial" w:cs="Arial" w:eastAsia="Arial" w:hAnsi="Arial"/>
                <w:sz w:val="18"/>
                <w:szCs w:val="18"/>
                <w:color w:val="auto"/>
              </w:rPr>
              <w:t>426</w:t>
            </w: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940" w:type="dxa"/>
            <w:vAlign w:val="bottom"/>
          </w:tcPr>
          <w:p>
            <w:pPr>
              <w:jc w:val="right"/>
              <w:spacing w:after="0"/>
              <w:rPr>
                <w:sz w:val="20"/>
                <w:szCs w:val="20"/>
                <w:color w:val="auto"/>
              </w:rPr>
            </w:pPr>
            <w:r>
              <w:rPr>
                <w:rFonts w:ascii="Arial" w:cs="Arial" w:eastAsia="Arial" w:hAnsi="Arial"/>
                <w:sz w:val="18"/>
                <w:szCs w:val="18"/>
                <w:color w:val="auto"/>
              </w:rPr>
              <w:t>3,507</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8,193</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151,818</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6,928</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60,216</w:t>
            </w: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2840"/>
              <w:spacing w:after="0"/>
              <w:rPr>
                <w:sz w:val="20"/>
                <w:szCs w:val="20"/>
                <w:color w:val="auto"/>
              </w:rPr>
            </w:pPr>
            <w:r>
              <w:rPr>
                <w:rFonts w:ascii="Arial" w:cs="Arial" w:eastAsia="Arial" w:hAnsi="Arial"/>
                <w:sz w:val="18"/>
                <w:szCs w:val="18"/>
                <w:color w:val="auto"/>
              </w:rPr>
              <w:t>Other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720" w:type="dxa"/>
            <w:vAlign w:val="bottom"/>
          </w:tcPr>
          <w:p>
            <w:pPr>
              <w:jc w:val="right"/>
              <w:spacing w:after="0"/>
              <w:rPr>
                <w:sz w:val="20"/>
                <w:szCs w:val="20"/>
                <w:color w:val="auto"/>
              </w:rPr>
            </w:pPr>
            <w:r>
              <w:rPr>
                <w:rFonts w:ascii="Arial" w:cs="Arial" w:eastAsia="Arial" w:hAnsi="Arial"/>
                <w:sz w:val="18"/>
                <w:szCs w:val="18"/>
                <w:color w:val="auto"/>
              </w:rPr>
              <w:t>14,982</w:t>
            </w: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940" w:type="dxa"/>
            <w:vAlign w:val="bottom"/>
          </w:tcPr>
          <w:p>
            <w:pPr>
              <w:jc w:val="right"/>
              <w:spacing w:after="0"/>
              <w:rPr>
                <w:sz w:val="20"/>
                <w:szCs w:val="20"/>
                <w:color w:val="auto"/>
              </w:rPr>
            </w:pPr>
            <w:r>
              <w:rPr>
                <w:rFonts w:ascii="Arial" w:cs="Arial" w:eastAsia="Arial" w:hAnsi="Arial"/>
                <w:sz w:val="18"/>
                <w:szCs w:val="18"/>
                <w:color w:val="auto"/>
              </w:rPr>
              <w:t>11,645</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227,155</w:t>
            </w: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156,673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1,638,544</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1,546,951</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Twenty-five selling days for the September period this year and twenty-five for last year.</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5"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1</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September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30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right w:val="single" w:sz="8" w:color="auto"/>
            </w:tcBorders>
            <w:shd w:val="clear" w:color="auto" w:fill="CCEEFF"/>
          </w:tcPr>
          <w:p>
            <w:pPr>
              <w:spacing w:after="0"/>
              <w:rPr>
                <w:sz w:val="13"/>
                <w:szCs w:val="13"/>
                <w:color w:val="auto"/>
              </w:rPr>
            </w:pPr>
          </w:p>
        </w:tc>
        <w:tc>
          <w:tcPr>
            <w:tcW w:w="1920" w:type="dxa"/>
            <w:vAlign w:val="bottom"/>
            <w:tcBorders>
              <w:top w:val="single" w:sz="8" w:color="auto"/>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shd w:val="clear" w:color="auto" w:fill="CCEEFF"/>
          </w:tcPr>
          <w:p>
            <w:pPr>
              <w:spacing w:after="0"/>
              <w:rPr>
                <w:sz w:val="13"/>
                <w:szCs w:val="13"/>
                <w:color w:val="auto"/>
              </w:rPr>
            </w:pPr>
          </w:p>
        </w:tc>
      </w:tr>
      <w:tr>
        <w:trPr>
          <w:trHeight w:val="173"/>
        </w:trPr>
        <w:tc>
          <w:tcPr>
            <w:tcW w:w="63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September</w:t>
            </w:r>
          </w:p>
        </w:tc>
        <w:tc>
          <w:tcPr>
            <w:tcW w:w="520" w:type="dxa"/>
            <w:vAlign w:val="bottom"/>
            <w:tcBorders>
              <w:bottom w:val="single" w:sz="8" w:color="auto"/>
              <w:right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January - September</w:t>
            </w:r>
          </w:p>
        </w:tc>
        <w:tc>
          <w:tcPr>
            <w:tcW w:w="5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31"/>
        </w:trPr>
        <w:tc>
          <w:tcPr>
            <w:tcW w:w="6300" w:type="dxa"/>
            <w:vAlign w:val="bottom"/>
            <w:tcBorders>
              <w:left w:val="single" w:sz="8" w:color="auto"/>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 Chg</w:t>
            </w:r>
          </w:p>
        </w:tc>
        <w:tc>
          <w:tcPr>
            <w:tcW w:w="52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%Chg</w:t>
            </w:r>
          </w:p>
        </w:tc>
      </w:tr>
      <w:tr>
        <w:trPr>
          <w:trHeight w:val="159"/>
        </w:trPr>
        <w:tc>
          <w:tcPr>
            <w:tcW w:w="6300" w:type="dxa"/>
            <w:vAlign w:val="bottom"/>
            <w:tcBorders>
              <w:left w:val="single" w:sz="8" w:color="auto"/>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Volume</w:t>
            </w:r>
          </w:p>
        </w:tc>
        <w:tc>
          <w:tcPr>
            <w:tcW w:w="5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per S/D</w:t>
            </w:r>
          </w:p>
        </w:tc>
        <w:tc>
          <w:tcPr>
            <w:tcW w:w="98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92"/>
              </w:rPr>
              <w:t>Volume</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00" w:type="dxa"/>
            <w:vAlign w:val="bottom"/>
          </w:tcPr>
          <w:p>
            <w:pPr>
              <w:jc w:val="right"/>
              <w:spacing w:after="0"/>
              <w:rPr>
                <w:sz w:val="20"/>
                <w:szCs w:val="20"/>
                <w:color w:val="auto"/>
              </w:rPr>
            </w:pPr>
            <w:r>
              <w:rPr>
                <w:rFonts w:ascii="Arial" w:cs="Arial" w:eastAsia="Arial" w:hAnsi="Arial"/>
                <w:sz w:val="18"/>
                <w:szCs w:val="18"/>
                <w:color w:val="auto"/>
              </w:rPr>
              <w:t>4,408</w:t>
            </w:r>
          </w:p>
        </w:tc>
        <w:tc>
          <w:tcPr>
            <w:tcW w:w="740" w:type="dxa"/>
            <w:vAlign w:val="bottom"/>
          </w:tcPr>
          <w:p>
            <w:pPr>
              <w:jc w:val="right"/>
              <w:spacing w:after="0"/>
              <w:rPr>
                <w:sz w:val="20"/>
                <w:szCs w:val="20"/>
                <w:color w:val="auto"/>
              </w:rPr>
            </w:pPr>
            <w:r>
              <w:rPr>
                <w:rFonts w:ascii="Arial" w:cs="Arial" w:eastAsia="Arial" w:hAnsi="Arial"/>
                <w:sz w:val="18"/>
                <w:szCs w:val="18"/>
                <w:color w:val="auto"/>
              </w:rPr>
              <w:t>2,748</w:t>
            </w:r>
          </w:p>
        </w:tc>
        <w:tc>
          <w:tcPr>
            <w:tcW w:w="560" w:type="dxa"/>
            <w:vAlign w:val="bottom"/>
          </w:tcPr>
          <w:p>
            <w:pPr>
              <w:jc w:val="right"/>
              <w:spacing w:after="0"/>
              <w:rPr>
                <w:sz w:val="20"/>
                <w:szCs w:val="20"/>
                <w:color w:val="auto"/>
              </w:rPr>
            </w:pPr>
            <w:r>
              <w:rPr>
                <w:rFonts w:ascii="Arial" w:cs="Arial" w:eastAsia="Arial" w:hAnsi="Arial"/>
                <w:sz w:val="18"/>
                <w:szCs w:val="18"/>
                <w:color w:val="auto"/>
              </w:rPr>
              <w:t>60.4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40,289</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31,572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27.6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47,536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16,609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186.2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00" w:type="dxa"/>
            <w:vAlign w:val="bottom"/>
          </w:tcPr>
          <w:p>
            <w:pPr>
              <w:jc w:val="right"/>
              <w:spacing w:after="0"/>
              <w:rPr>
                <w:sz w:val="20"/>
                <w:szCs w:val="20"/>
                <w:color w:val="auto"/>
              </w:rPr>
            </w:pPr>
            <w:r>
              <w:rPr>
                <w:rFonts w:ascii="Arial" w:cs="Arial" w:eastAsia="Arial" w:hAnsi="Arial"/>
                <w:sz w:val="18"/>
                <w:szCs w:val="18"/>
                <w:color w:val="auto"/>
              </w:rPr>
              <w:t>1,950</w:t>
            </w:r>
          </w:p>
        </w:tc>
        <w:tc>
          <w:tcPr>
            <w:tcW w:w="740" w:type="dxa"/>
            <w:vAlign w:val="bottom"/>
          </w:tcPr>
          <w:p>
            <w:pPr>
              <w:jc w:val="right"/>
              <w:spacing w:after="0"/>
              <w:rPr>
                <w:sz w:val="20"/>
                <w:szCs w:val="20"/>
                <w:color w:val="auto"/>
              </w:rPr>
            </w:pPr>
            <w:r>
              <w:rPr>
                <w:rFonts w:ascii="Arial" w:cs="Arial" w:eastAsia="Arial" w:hAnsi="Arial"/>
                <w:sz w:val="18"/>
                <w:szCs w:val="18"/>
                <w:color w:val="auto"/>
              </w:rPr>
              <w:t>4,324</w:t>
            </w:r>
          </w:p>
        </w:tc>
        <w:tc>
          <w:tcPr>
            <w:tcW w:w="560" w:type="dxa"/>
            <w:vAlign w:val="bottom"/>
          </w:tcPr>
          <w:p>
            <w:pPr>
              <w:jc w:val="right"/>
              <w:spacing w:after="0"/>
              <w:rPr>
                <w:sz w:val="20"/>
                <w:szCs w:val="20"/>
                <w:color w:val="auto"/>
              </w:rPr>
            </w:pPr>
            <w:r>
              <w:rPr>
                <w:rFonts w:ascii="Arial" w:cs="Arial" w:eastAsia="Arial" w:hAnsi="Arial"/>
                <w:sz w:val="18"/>
                <w:szCs w:val="18"/>
                <w:color w:val="auto"/>
              </w:rPr>
              <w:t>-54.9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20,521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24,162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Regal</w:t>
            </w:r>
          </w:p>
        </w:tc>
        <w:tc>
          <w:tcPr>
            <w:tcW w:w="800" w:type="dxa"/>
            <w:vAlign w:val="bottom"/>
          </w:tcPr>
          <w:p>
            <w:pPr>
              <w:jc w:val="right"/>
              <w:spacing w:after="0"/>
              <w:rPr>
                <w:sz w:val="20"/>
                <w:szCs w:val="20"/>
                <w:color w:val="auto"/>
              </w:rPr>
            </w:pPr>
            <w:r>
              <w:rPr>
                <w:rFonts w:ascii="Arial" w:cs="Arial" w:eastAsia="Arial" w:hAnsi="Arial"/>
                <w:sz w:val="18"/>
                <w:szCs w:val="18"/>
                <w:color w:val="auto"/>
              </w:rPr>
              <w:t>1,776</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5,654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Buick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114,000</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72,389</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57.5</w:t>
            </w: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00" w:type="dxa"/>
            <w:vAlign w:val="bottom"/>
          </w:tcPr>
          <w:p>
            <w:pPr>
              <w:jc w:val="right"/>
              <w:spacing w:after="0"/>
              <w:rPr>
                <w:sz w:val="20"/>
                <w:szCs w:val="20"/>
                <w:color w:val="auto"/>
              </w:rPr>
            </w:pPr>
            <w:r>
              <w:rPr>
                <w:rFonts w:ascii="Arial" w:cs="Arial" w:eastAsia="Arial" w:hAnsi="Arial"/>
                <w:sz w:val="18"/>
                <w:szCs w:val="18"/>
                <w:color w:val="auto"/>
              </w:rPr>
              <w:t>3,760</w:t>
            </w:r>
          </w:p>
        </w:tc>
        <w:tc>
          <w:tcPr>
            <w:tcW w:w="740" w:type="dxa"/>
            <w:vAlign w:val="bottom"/>
          </w:tcPr>
          <w:p>
            <w:pPr>
              <w:jc w:val="right"/>
              <w:spacing w:after="0"/>
              <w:rPr>
                <w:sz w:val="20"/>
                <w:szCs w:val="20"/>
                <w:color w:val="auto"/>
              </w:rPr>
            </w:pPr>
            <w:r>
              <w:rPr>
                <w:rFonts w:ascii="Arial" w:cs="Arial" w:eastAsia="Arial" w:hAnsi="Arial"/>
                <w:sz w:val="18"/>
                <w:szCs w:val="18"/>
                <w:color w:val="auto"/>
              </w:rPr>
              <w:t>3,485</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32,516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29,011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13,987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12,125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00" w:type="dxa"/>
            <w:vAlign w:val="bottom"/>
          </w:tcPr>
          <w:p>
            <w:pPr>
              <w:jc w:val="right"/>
              <w:spacing w:after="0"/>
              <w:rPr>
                <w:sz w:val="20"/>
                <w:szCs w:val="20"/>
                <w:color w:val="auto"/>
              </w:rPr>
            </w:pPr>
            <w:r>
              <w:rPr>
                <w:rFonts w:ascii="Arial" w:cs="Arial" w:eastAsia="Arial" w:hAnsi="Arial"/>
                <w:sz w:val="18"/>
                <w:szCs w:val="18"/>
                <w:color w:val="auto"/>
              </w:rPr>
              <w:t>1,211</w:t>
            </w:r>
          </w:p>
        </w:tc>
        <w:tc>
          <w:tcPr>
            <w:tcW w:w="740" w:type="dxa"/>
            <w:vAlign w:val="bottom"/>
          </w:tcPr>
          <w:p>
            <w:pPr>
              <w:jc w:val="right"/>
              <w:spacing w:after="0"/>
              <w:rPr>
                <w:sz w:val="20"/>
                <w:szCs w:val="20"/>
                <w:color w:val="auto"/>
              </w:rPr>
            </w:pPr>
            <w:r>
              <w:rPr>
                <w:rFonts w:ascii="Arial" w:cs="Arial" w:eastAsia="Arial" w:hAnsi="Arial"/>
                <w:sz w:val="18"/>
                <w:szCs w:val="18"/>
                <w:color w:val="auto"/>
              </w:rPr>
              <w:t>1,343</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11,053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10,991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5,698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4,607</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560" w:type="dxa"/>
            <w:vAlign w:val="bottom"/>
          </w:tcPr>
          <w:p>
            <w:pPr>
              <w:jc w:val="right"/>
              <w:spacing w:after="0"/>
              <w:rPr>
                <w:sz w:val="20"/>
                <w:szCs w:val="20"/>
                <w:color w:val="auto"/>
              </w:rPr>
            </w:pPr>
            <w:r>
              <w:rPr>
                <w:rFonts w:ascii="Arial" w:cs="Arial" w:eastAsia="Arial" w:hAnsi="Arial"/>
                <w:sz w:val="18"/>
                <w:szCs w:val="18"/>
                <w:color w:val="auto"/>
              </w:rPr>
              <w:t>-25.3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1,376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1,837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36,730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8,770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318.8</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00" w:type="dxa"/>
            <w:vAlign w:val="bottom"/>
          </w:tcPr>
          <w:p>
            <w:pPr>
              <w:jc w:val="right"/>
              <w:spacing w:after="0"/>
              <w:rPr>
                <w:sz w:val="20"/>
                <w:szCs w:val="20"/>
                <w:color w:val="auto"/>
              </w:rPr>
            </w:pPr>
            <w:r>
              <w:rPr>
                <w:rFonts w:ascii="Arial" w:cs="Arial" w:eastAsia="Arial" w:hAnsi="Arial"/>
                <w:sz w:val="18"/>
                <w:szCs w:val="18"/>
                <w:color w:val="auto"/>
              </w:rPr>
              <w:t>745</w:t>
            </w: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3,473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5,043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-71.9</w:t>
            </w:r>
          </w:p>
        </w:tc>
      </w:tr>
      <w:tr>
        <w:trPr>
          <w:trHeight w:val="216"/>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Cadillac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105,013</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73,024</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43.8</w:t>
            </w:r>
          </w:p>
        </w:tc>
      </w:tr>
      <w:tr>
        <w:trPr>
          <w:trHeight w:val="210"/>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15,028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11,478</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00" w:type="dxa"/>
            <w:vAlign w:val="bottom"/>
          </w:tcPr>
          <w:p>
            <w:pPr>
              <w:jc w:val="right"/>
              <w:spacing w:after="0"/>
              <w:rPr>
                <w:sz w:val="20"/>
                <w:szCs w:val="20"/>
                <w:color w:val="auto"/>
              </w:rPr>
            </w:pPr>
            <w:r>
              <w:rPr>
                <w:rFonts w:ascii="Arial" w:cs="Arial" w:eastAsia="Arial" w:hAnsi="Arial"/>
                <w:sz w:val="18"/>
                <w:szCs w:val="18"/>
                <w:color w:val="auto"/>
              </w:rPr>
              <w:t>6,552</w:t>
            </w:r>
          </w:p>
        </w:tc>
        <w:tc>
          <w:tcPr>
            <w:tcW w:w="740" w:type="dxa"/>
            <w:vAlign w:val="bottom"/>
          </w:tcPr>
          <w:p>
            <w:pPr>
              <w:jc w:val="right"/>
              <w:spacing w:after="0"/>
              <w:rPr>
                <w:sz w:val="20"/>
                <w:szCs w:val="20"/>
                <w:color w:val="auto"/>
              </w:rPr>
            </w:pPr>
            <w:r>
              <w:rPr>
                <w:rFonts w:ascii="Arial" w:cs="Arial" w:eastAsia="Arial" w:hAnsi="Arial"/>
                <w:sz w:val="18"/>
                <w:szCs w:val="18"/>
                <w:color w:val="auto"/>
              </w:rPr>
              <w:t>1,906</w:t>
            </w:r>
          </w:p>
        </w:tc>
        <w:tc>
          <w:tcPr>
            <w:tcW w:w="560" w:type="dxa"/>
            <w:vAlign w:val="bottom"/>
          </w:tcPr>
          <w:p>
            <w:pPr>
              <w:jc w:val="right"/>
              <w:spacing w:after="0"/>
              <w:rPr>
                <w:sz w:val="20"/>
                <w:szCs w:val="20"/>
                <w:color w:val="auto"/>
              </w:rPr>
            </w:pPr>
            <w:r>
              <w:rPr>
                <w:rFonts w:ascii="Arial" w:cs="Arial" w:eastAsia="Arial" w:hAnsi="Arial"/>
                <w:sz w:val="18"/>
                <w:szCs w:val="18"/>
                <w:color w:val="auto"/>
              </w:rPr>
              <w:t>243.8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35,286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31,486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66,508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39,151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-77.8</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00" w:type="dxa"/>
            <w:vAlign w:val="bottom"/>
          </w:tcPr>
          <w:p>
            <w:pPr>
              <w:jc w:val="right"/>
              <w:spacing w:after="0"/>
              <w:rPr>
                <w:sz w:val="20"/>
                <w:szCs w:val="20"/>
                <w:color w:val="auto"/>
              </w:rPr>
            </w:pPr>
            <w:r>
              <w:rPr>
                <w:rFonts w:ascii="Arial" w:cs="Arial" w:eastAsia="Arial" w:hAnsi="Arial"/>
                <w:sz w:val="18"/>
                <w:szCs w:val="18"/>
                <w:color w:val="auto"/>
              </w:rPr>
              <w:t>3,462</w:t>
            </w:r>
          </w:p>
        </w:tc>
        <w:tc>
          <w:tcPr>
            <w:tcW w:w="740" w:type="dxa"/>
            <w:vAlign w:val="bottom"/>
          </w:tcPr>
          <w:p>
            <w:pPr>
              <w:jc w:val="right"/>
              <w:spacing w:after="0"/>
              <w:rPr>
                <w:sz w:val="20"/>
                <w:szCs w:val="20"/>
                <w:color w:val="auto"/>
              </w:rPr>
            </w:pPr>
            <w:r>
              <w:rPr>
                <w:rFonts w:ascii="Arial" w:cs="Arial" w:eastAsia="Arial" w:hAnsi="Arial"/>
                <w:sz w:val="18"/>
                <w:szCs w:val="18"/>
                <w:color w:val="auto"/>
              </w:rPr>
              <w:t>7,381</w:t>
            </w:r>
          </w:p>
        </w:tc>
        <w:tc>
          <w:tcPr>
            <w:tcW w:w="560" w:type="dxa"/>
            <w:vAlign w:val="bottom"/>
          </w:tcPr>
          <w:p>
            <w:pPr>
              <w:jc w:val="right"/>
              <w:spacing w:after="0"/>
              <w:rPr>
                <w:sz w:val="20"/>
                <w:szCs w:val="20"/>
                <w:color w:val="auto"/>
              </w:rPr>
            </w:pPr>
            <w:r>
              <w:rPr>
                <w:rFonts w:ascii="Arial" w:cs="Arial" w:eastAsia="Arial" w:hAnsi="Arial"/>
                <w:sz w:val="18"/>
                <w:szCs w:val="18"/>
                <w:color w:val="auto"/>
              </w:rPr>
              <w:t>-53.1</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93,838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85,885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9.3</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18,426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27,566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00" w:type="dxa"/>
            <w:vAlign w:val="bottom"/>
          </w:tcPr>
          <w:p>
            <w:pPr>
              <w:jc w:val="right"/>
              <w:spacing w:after="0"/>
              <w:rPr>
                <w:sz w:val="20"/>
                <w:szCs w:val="20"/>
                <w:color w:val="auto"/>
              </w:rPr>
            </w:pPr>
            <w:r>
              <w:rPr>
                <w:rFonts w:ascii="Arial" w:cs="Arial" w:eastAsia="Arial" w:hAnsi="Arial"/>
                <w:sz w:val="18"/>
                <w:szCs w:val="18"/>
                <w:color w:val="auto"/>
              </w:rPr>
              <w:t>1,109</w:t>
            </w:r>
          </w:p>
        </w:tc>
        <w:tc>
          <w:tcPr>
            <w:tcW w:w="740" w:type="dxa"/>
            <w:vAlign w:val="bottom"/>
          </w:tcPr>
          <w:p>
            <w:pPr>
              <w:jc w:val="right"/>
              <w:spacing w:after="0"/>
              <w:rPr>
                <w:sz w:val="20"/>
                <w:szCs w:val="20"/>
                <w:color w:val="auto"/>
              </w:rPr>
            </w:pPr>
            <w:r>
              <w:rPr>
                <w:rFonts w:ascii="Arial" w:cs="Arial" w:eastAsia="Arial" w:hAnsi="Arial"/>
                <w:sz w:val="18"/>
                <w:szCs w:val="18"/>
                <w:color w:val="auto"/>
              </w:rPr>
              <w:t>1,585</w:t>
            </w: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9,798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10,795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Cruze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Equinox</w:t>
            </w:r>
          </w:p>
        </w:tc>
        <w:tc>
          <w:tcPr>
            <w:tcW w:w="800" w:type="dxa"/>
            <w:vAlign w:val="bottom"/>
          </w:tcPr>
          <w:p>
            <w:pPr>
              <w:jc w:val="right"/>
              <w:spacing w:after="0"/>
              <w:rPr>
                <w:sz w:val="20"/>
                <w:szCs w:val="20"/>
                <w:color w:val="auto"/>
              </w:rPr>
            </w:pPr>
            <w:r>
              <w:rPr>
                <w:rFonts w:ascii="Arial" w:cs="Arial" w:eastAsia="Arial" w:hAnsi="Arial"/>
                <w:sz w:val="18"/>
                <w:szCs w:val="18"/>
                <w:color w:val="auto"/>
              </w:rPr>
              <w:t>11,658</w:t>
            </w:r>
          </w:p>
        </w:tc>
        <w:tc>
          <w:tcPr>
            <w:tcW w:w="740" w:type="dxa"/>
            <w:vAlign w:val="bottom"/>
          </w:tcPr>
          <w:p>
            <w:pPr>
              <w:jc w:val="right"/>
              <w:spacing w:after="0"/>
              <w:rPr>
                <w:sz w:val="20"/>
                <w:szCs w:val="20"/>
                <w:color w:val="auto"/>
              </w:rPr>
            </w:pPr>
            <w:r>
              <w:rPr>
                <w:rFonts w:ascii="Arial" w:cs="Arial" w:eastAsia="Arial" w:hAnsi="Arial"/>
                <w:sz w:val="18"/>
                <w:szCs w:val="18"/>
                <w:color w:val="auto"/>
              </w:rPr>
              <w:t>6,840</w:t>
            </w:r>
          </w:p>
        </w:tc>
        <w:tc>
          <w:tcPr>
            <w:tcW w:w="560" w:type="dxa"/>
            <w:vAlign w:val="bottom"/>
          </w:tcPr>
          <w:p>
            <w:pPr>
              <w:jc w:val="right"/>
              <w:spacing w:after="0"/>
              <w:rPr>
                <w:sz w:val="20"/>
                <w:szCs w:val="20"/>
                <w:color w:val="auto"/>
              </w:rPr>
            </w:pPr>
            <w:r>
              <w:rPr>
                <w:rFonts w:ascii="Arial" w:cs="Arial" w:eastAsia="Arial" w:hAnsi="Arial"/>
                <w:sz w:val="18"/>
                <w:szCs w:val="18"/>
                <w:color w:val="auto"/>
              </w:rPr>
              <w:t>70.4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99,055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55,982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76.9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Express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43,475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41,496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HHR</w:t>
            </w:r>
          </w:p>
        </w:tc>
        <w:tc>
          <w:tcPr>
            <w:tcW w:w="800" w:type="dxa"/>
            <w:vAlign w:val="bottom"/>
          </w:tcPr>
          <w:p>
            <w:pPr>
              <w:jc w:val="right"/>
              <w:spacing w:after="0"/>
              <w:rPr>
                <w:sz w:val="20"/>
                <w:szCs w:val="20"/>
                <w:color w:val="auto"/>
              </w:rPr>
            </w:pPr>
            <w:r>
              <w:rPr>
                <w:rFonts w:ascii="Arial" w:cs="Arial" w:eastAsia="Arial" w:hAnsi="Arial"/>
                <w:sz w:val="18"/>
                <w:szCs w:val="18"/>
                <w:color w:val="auto"/>
              </w:rPr>
              <w:t>5,209</w:t>
            </w:r>
          </w:p>
        </w:tc>
        <w:tc>
          <w:tcPr>
            <w:tcW w:w="740" w:type="dxa"/>
            <w:vAlign w:val="bottom"/>
          </w:tcPr>
          <w:p>
            <w:pPr>
              <w:jc w:val="right"/>
              <w:spacing w:after="0"/>
              <w:rPr>
                <w:sz w:val="20"/>
                <w:szCs w:val="20"/>
                <w:color w:val="auto"/>
              </w:rPr>
            </w:pPr>
            <w:r>
              <w:rPr>
                <w:rFonts w:ascii="Arial" w:cs="Arial" w:eastAsia="Arial" w:hAnsi="Arial"/>
                <w:sz w:val="18"/>
                <w:szCs w:val="18"/>
                <w:color w:val="auto"/>
              </w:rPr>
              <w:t>5,804</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62,451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56,001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11.5</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Impala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133,585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126,856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4/5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560" w:type="dxa"/>
            <w:vAlign w:val="bottom"/>
          </w:tcPr>
          <w:p>
            <w:pPr>
              <w:jc w:val="right"/>
              <w:spacing w:after="0"/>
              <w:rPr>
                <w:sz w:val="20"/>
                <w:szCs w:val="20"/>
                <w:color w:val="auto"/>
              </w:rPr>
            </w:pPr>
            <w:r>
              <w:rPr>
                <w:rFonts w:ascii="Arial" w:cs="Arial" w:eastAsia="Arial" w:hAnsi="Arial"/>
                <w:sz w:val="18"/>
                <w:szCs w:val="18"/>
                <w:color w:val="auto"/>
              </w:rPr>
              <w:t>-88.9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3,196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6/7/8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Malibu</w:t>
            </w:r>
          </w:p>
        </w:tc>
        <w:tc>
          <w:tcPr>
            <w:tcW w:w="800" w:type="dxa"/>
            <w:vAlign w:val="bottom"/>
          </w:tcPr>
          <w:p>
            <w:pPr>
              <w:jc w:val="right"/>
              <w:spacing w:after="0"/>
              <w:rPr>
                <w:sz w:val="20"/>
                <w:szCs w:val="20"/>
                <w:color w:val="auto"/>
              </w:rPr>
            </w:pPr>
            <w:r>
              <w:rPr>
                <w:rFonts w:ascii="Arial" w:cs="Arial" w:eastAsia="Arial" w:hAnsi="Arial"/>
                <w:sz w:val="18"/>
                <w:szCs w:val="18"/>
                <w:color w:val="auto"/>
              </w:rPr>
              <w:t>16,289</w:t>
            </w:r>
          </w:p>
        </w:tc>
        <w:tc>
          <w:tcPr>
            <w:tcW w:w="740" w:type="dxa"/>
            <w:vAlign w:val="bottom"/>
          </w:tcPr>
          <w:p>
            <w:pPr>
              <w:jc w:val="right"/>
              <w:spacing w:after="0"/>
              <w:rPr>
                <w:sz w:val="20"/>
                <w:szCs w:val="20"/>
                <w:color w:val="auto"/>
              </w:rPr>
            </w:pPr>
            <w:r>
              <w:rPr>
                <w:rFonts w:ascii="Arial" w:cs="Arial" w:eastAsia="Arial" w:hAnsi="Arial"/>
                <w:sz w:val="18"/>
                <w:szCs w:val="18"/>
                <w:color w:val="auto"/>
              </w:rPr>
              <w:t>10,479</w:t>
            </w: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163,246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118,995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Monte Carlo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Silverado-C/K Pickup</w:t>
            </w:r>
          </w:p>
        </w:tc>
        <w:tc>
          <w:tcPr>
            <w:tcW w:w="800" w:type="dxa"/>
            <w:vAlign w:val="bottom"/>
          </w:tcPr>
          <w:p>
            <w:pPr>
              <w:jc w:val="right"/>
              <w:spacing w:after="0"/>
              <w:rPr>
                <w:sz w:val="20"/>
                <w:szCs w:val="20"/>
                <w:color w:val="auto"/>
              </w:rPr>
            </w:pPr>
            <w:r>
              <w:rPr>
                <w:rFonts w:ascii="Arial" w:cs="Arial" w:eastAsia="Arial" w:hAnsi="Arial"/>
                <w:sz w:val="18"/>
                <w:szCs w:val="18"/>
                <w:color w:val="auto"/>
              </w:rPr>
              <w:t>32,185</w:t>
            </w:r>
          </w:p>
        </w:tc>
        <w:tc>
          <w:tcPr>
            <w:tcW w:w="740" w:type="dxa"/>
            <w:vAlign w:val="bottom"/>
          </w:tcPr>
          <w:p>
            <w:pPr>
              <w:jc w:val="right"/>
              <w:spacing w:after="0"/>
              <w:rPr>
                <w:sz w:val="20"/>
                <w:szCs w:val="20"/>
                <w:color w:val="auto"/>
              </w:rPr>
            </w:pPr>
            <w:r>
              <w:rPr>
                <w:rFonts w:ascii="Arial" w:cs="Arial" w:eastAsia="Arial" w:hAnsi="Arial"/>
                <w:sz w:val="18"/>
                <w:szCs w:val="18"/>
                <w:color w:val="auto"/>
              </w:rPr>
              <w:t>19,401</w:t>
            </w:r>
          </w:p>
        </w:tc>
        <w:tc>
          <w:tcPr>
            <w:tcW w:w="560" w:type="dxa"/>
            <w:vAlign w:val="bottom"/>
          </w:tcPr>
          <w:p>
            <w:pPr>
              <w:jc w:val="right"/>
              <w:spacing w:after="0"/>
              <w:rPr>
                <w:sz w:val="20"/>
                <w:szCs w:val="20"/>
                <w:color w:val="auto"/>
              </w:rPr>
            </w:pPr>
            <w:r>
              <w:rPr>
                <w:rFonts w:ascii="Arial" w:cs="Arial" w:eastAsia="Arial" w:hAnsi="Arial"/>
                <w:sz w:val="18"/>
                <w:szCs w:val="18"/>
                <w:color w:val="auto"/>
              </w:rPr>
              <w:t>65.9</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267,715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229,388</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Suburban (Chevy)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31,808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27,441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Tahoe</w:t>
            </w:r>
          </w:p>
        </w:tc>
        <w:tc>
          <w:tcPr>
            <w:tcW w:w="800" w:type="dxa"/>
            <w:vAlign w:val="bottom"/>
          </w:tcPr>
          <w:p>
            <w:pPr>
              <w:jc w:val="right"/>
              <w:spacing w:after="0"/>
              <w:rPr>
                <w:sz w:val="20"/>
                <w:szCs w:val="20"/>
                <w:color w:val="auto"/>
              </w:rPr>
            </w:pPr>
            <w:r>
              <w:rPr>
                <w:rFonts w:ascii="Arial" w:cs="Arial" w:eastAsia="Arial" w:hAnsi="Arial"/>
                <w:sz w:val="18"/>
                <w:szCs w:val="18"/>
                <w:color w:val="auto"/>
              </w:rPr>
              <w:t>5,422</w:t>
            </w:r>
          </w:p>
        </w:tc>
        <w:tc>
          <w:tcPr>
            <w:tcW w:w="740" w:type="dxa"/>
            <w:vAlign w:val="bottom"/>
          </w:tcPr>
          <w:p>
            <w:pPr>
              <w:jc w:val="right"/>
              <w:spacing w:after="0"/>
              <w:rPr>
                <w:sz w:val="20"/>
                <w:szCs w:val="20"/>
                <w:color w:val="auto"/>
              </w:rPr>
            </w:pPr>
            <w:r>
              <w:rPr>
                <w:rFonts w:ascii="Arial" w:cs="Arial" w:eastAsia="Arial" w:hAnsi="Arial"/>
                <w:sz w:val="18"/>
                <w:szCs w:val="18"/>
                <w:color w:val="auto"/>
              </w:rPr>
              <w:t>7,304</w:t>
            </w:r>
          </w:p>
        </w:tc>
        <w:tc>
          <w:tcPr>
            <w:tcW w:w="560" w:type="dxa"/>
            <w:vAlign w:val="bottom"/>
          </w:tcPr>
          <w:p>
            <w:pPr>
              <w:jc w:val="right"/>
              <w:spacing w:after="0"/>
              <w:rPr>
                <w:sz w:val="20"/>
                <w:szCs w:val="20"/>
                <w:color w:val="auto"/>
              </w:rPr>
            </w:pPr>
            <w:r>
              <w:rPr>
                <w:rFonts w:ascii="Arial" w:cs="Arial" w:eastAsia="Arial" w:hAnsi="Arial"/>
                <w:sz w:val="18"/>
                <w:szCs w:val="18"/>
                <w:color w:val="auto"/>
              </w:rPr>
              <w:t>-25.8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55,143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49,705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TrailBlazer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8,340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-97.4</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Traverse</w:t>
            </w:r>
          </w:p>
        </w:tc>
        <w:tc>
          <w:tcPr>
            <w:tcW w:w="800" w:type="dxa"/>
            <w:vAlign w:val="bottom"/>
          </w:tcPr>
          <w:p>
            <w:pPr>
              <w:jc w:val="right"/>
              <w:spacing w:after="0"/>
              <w:rPr>
                <w:sz w:val="20"/>
                <w:szCs w:val="20"/>
                <w:color w:val="auto"/>
              </w:rPr>
            </w:pPr>
            <w:r>
              <w:rPr>
                <w:rFonts w:ascii="Arial" w:cs="Arial" w:eastAsia="Arial" w:hAnsi="Arial"/>
                <w:sz w:val="18"/>
                <w:szCs w:val="18"/>
                <w:color w:val="auto"/>
              </w:rPr>
              <w:t>7,914</w:t>
            </w:r>
          </w:p>
        </w:tc>
        <w:tc>
          <w:tcPr>
            <w:tcW w:w="740" w:type="dxa"/>
            <w:vAlign w:val="bottom"/>
          </w:tcPr>
          <w:p>
            <w:pPr>
              <w:jc w:val="right"/>
              <w:spacing w:after="0"/>
              <w:rPr>
                <w:sz w:val="20"/>
                <w:szCs w:val="20"/>
                <w:color w:val="auto"/>
              </w:rPr>
            </w:pPr>
            <w:r>
              <w:rPr>
                <w:rFonts w:ascii="Arial" w:cs="Arial" w:eastAsia="Arial" w:hAnsi="Arial"/>
                <w:sz w:val="18"/>
                <w:szCs w:val="18"/>
                <w:color w:val="auto"/>
              </w:rPr>
              <w:t>6,863</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78,012</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65,697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Uplander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1,644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w:t>
            </w:r>
          </w:p>
        </w:tc>
      </w:tr>
      <w:tr>
        <w:trPr>
          <w:trHeight w:val="216"/>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102,538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1,175,790</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992,548</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18.5</w:t>
            </w:r>
          </w:p>
        </w:tc>
      </w:tr>
      <w:tr>
        <w:trPr>
          <w:trHeight w:val="210"/>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49,729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40,675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w:t>
            </w:r>
          </w:p>
        </w:tc>
        <w:tc>
          <w:tcPr>
            <w:tcW w:w="800" w:type="dxa"/>
            <w:vAlign w:val="bottom"/>
          </w:tcPr>
          <w:p>
            <w:pPr>
              <w:jc w:val="right"/>
              <w:spacing w:after="0"/>
              <w:rPr>
                <w:sz w:val="20"/>
                <w:szCs w:val="20"/>
                <w:color w:val="auto"/>
              </w:rPr>
            </w:pPr>
            <w:r>
              <w:rPr>
                <w:rFonts w:ascii="Arial" w:cs="Arial" w:eastAsia="Arial" w:hAnsi="Arial"/>
                <w:sz w:val="18"/>
                <w:szCs w:val="18"/>
                <w:color w:val="auto"/>
              </w:rPr>
              <w:t>782</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5,655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8,575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Envoy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C/T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374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-86.1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W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1,394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Savana</w:t>
            </w: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740" w:type="dxa"/>
            <w:vAlign w:val="bottom"/>
          </w:tcPr>
          <w:p>
            <w:pPr>
              <w:jc w:val="right"/>
              <w:spacing w:after="0"/>
              <w:rPr>
                <w:sz w:val="20"/>
                <w:szCs w:val="20"/>
                <w:color w:val="auto"/>
              </w:rPr>
            </w:pPr>
            <w:r>
              <w:rPr>
                <w:rFonts w:ascii="Arial" w:cs="Arial" w:eastAsia="Arial" w:hAnsi="Arial"/>
                <w:sz w:val="18"/>
                <w:szCs w:val="18"/>
                <w:color w:val="auto"/>
              </w:rPr>
              <w:t>616</w:t>
            </w: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10,601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9,704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Sierra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90,235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79,433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800" w:type="dxa"/>
            <w:vAlign w:val="bottom"/>
          </w:tcPr>
          <w:p>
            <w:pPr>
              <w:jc w:val="right"/>
              <w:spacing w:after="0"/>
              <w:rPr>
                <w:sz w:val="20"/>
                <w:szCs w:val="20"/>
                <w:color w:val="auto"/>
              </w:rPr>
            </w:pPr>
            <w:r>
              <w:rPr>
                <w:rFonts w:ascii="Arial" w:cs="Arial" w:eastAsia="Arial" w:hAnsi="Arial"/>
                <w:sz w:val="18"/>
                <w:szCs w:val="18"/>
                <w:color w:val="auto"/>
              </w:rPr>
              <w:t>4,777</w:t>
            </w:r>
          </w:p>
        </w:tc>
        <w:tc>
          <w:tcPr>
            <w:tcW w:w="740" w:type="dxa"/>
            <w:vAlign w:val="bottom"/>
          </w:tcPr>
          <w:p>
            <w:pPr>
              <w:jc w:val="right"/>
              <w:spacing w:after="0"/>
              <w:rPr>
                <w:sz w:val="20"/>
                <w:szCs w:val="20"/>
                <w:color w:val="auto"/>
              </w:rPr>
            </w:pPr>
            <w:r>
              <w:rPr>
                <w:rFonts w:ascii="Arial" w:cs="Arial" w:eastAsia="Arial" w:hAnsi="Arial"/>
                <w:sz w:val="18"/>
                <w:szCs w:val="18"/>
                <w:color w:val="auto"/>
              </w:rPr>
              <w:t>1,334</w:t>
            </w:r>
          </w:p>
        </w:tc>
        <w:tc>
          <w:tcPr>
            <w:tcW w:w="560" w:type="dxa"/>
            <w:vAlign w:val="bottom"/>
          </w:tcPr>
          <w:p>
            <w:pPr>
              <w:jc w:val="right"/>
              <w:spacing w:after="0"/>
              <w:rPr>
                <w:sz w:val="20"/>
                <w:szCs w:val="20"/>
                <w:color w:val="auto"/>
              </w:rPr>
            </w:pPr>
            <w:r>
              <w:rPr>
                <w:rFonts w:ascii="Arial" w:cs="Arial" w:eastAsia="Arial" w:hAnsi="Arial"/>
                <w:sz w:val="18"/>
                <w:szCs w:val="18"/>
                <w:color w:val="auto"/>
              </w:rPr>
              <w:t>258.1</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39,869</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1,809</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2,162</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jc w:val="right"/>
              <w:spacing w:after="0"/>
              <w:rPr>
                <w:sz w:val="20"/>
                <w:szCs w:val="20"/>
                <w:color w:val="auto"/>
              </w:rPr>
            </w:pPr>
            <w:r>
              <w:rPr>
                <w:rFonts w:ascii="Arial" w:cs="Arial" w:eastAsia="Arial" w:hAnsi="Arial"/>
                <w:sz w:val="18"/>
                <w:szCs w:val="18"/>
                <w:color w:val="auto"/>
              </w:rPr>
              <w:t>-86.3</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1,482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-75.2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18,869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20,432</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800" w:type="dxa"/>
            <w:vAlign w:val="bottom"/>
          </w:tcPr>
          <w:p>
            <w:pPr>
              <w:jc w:val="right"/>
              <w:spacing w:after="0"/>
              <w:rPr>
                <w:sz w:val="20"/>
                <w:szCs w:val="20"/>
                <w:color w:val="auto"/>
              </w:rPr>
            </w:pPr>
            <w:r>
              <w:rPr>
                <w:rFonts w:ascii="Arial" w:cs="Arial" w:eastAsia="Arial" w:hAnsi="Arial"/>
                <w:sz w:val="18"/>
                <w:szCs w:val="18"/>
                <w:color w:val="auto"/>
              </w:rPr>
              <w:t>1,470</w:t>
            </w:r>
          </w:p>
        </w:tc>
        <w:tc>
          <w:tcPr>
            <w:tcW w:w="740" w:type="dxa"/>
            <w:vAlign w:val="bottom"/>
          </w:tcPr>
          <w:p>
            <w:pPr>
              <w:jc w:val="right"/>
              <w:spacing w:after="0"/>
              <w:rPr>
                <w:sz w:val="20"/>
                <w:szCs w:val="20"/>
                <w:color w:val="auto"/>
              </w:rPr>
            </w:pPr>
            <w:r>
              <w:rPr>
                <w:rFonts w:ascii="Arial" w:cs="Arial" w:eastAsia="Arial" w:hAnsi="Arial"/>
                <w:sz w:val="18"/>
                <w:szCs w:val="18"/>
                <w:color w:val="auto"/>
              </w:rPr>
              <w:t>2,001</w:t>
            </w: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15,464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11,286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37.0</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GMC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232,096</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181,835</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r>
      <w:tr>
        <w:trPr>
          <w:trHeight w:val="210"/>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Brand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172,969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141,691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1,626,899</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7"/>
              </w:rPr>
              <w:t>1,319,796</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23.3</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5"/>
              </w:rPr>
              <w:t>HUMMER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3,507</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8,193</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-57.2</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Pontiac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962</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151,818</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-99.4</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Saab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608</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6,928</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-91.2</w:t>
            </w:r>
          </w:p>
        </w:tc>
      </w:tr>
      <w:tr>
        <w:trPr>
          <w:trHeight w:val="210"/>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Saturn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6,568</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60,216</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-89.1</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91"/>
              </w:rPr>
              <w:t>Other Brand 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14,982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11,645</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227,155</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-94.9</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3"/>
              </w:rPr>
              <w:t>GM 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173,155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156,673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1,638,544</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7"/>
              </w:rPr>
              <w:t>1,546,951</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5.9</w:t>
            </w: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Sales Reporting and Data Management</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2"/>
          </w:tcPr>
          <w:p>
            <w:pPr>
              <w:jc w:val="right"/>
              <w:ind w:right="53"/>
              <w:spacing w:after="0"/>
              <w:rPr>
                <w:sz w:val="20"/>
                <w:szCs w:val="20"/>
                <w:color w:val="auto"/>
              </w:rPr>
            </w:pPr>
            <w:r>
              <w:rPr>
                <w:rFonts w:ascii="Arial" w:cs="Arial" w:eastAsia="Arial" w:hAnsi="Arial"/>
                <w:sz w:val="18"/>
                <w:szCs w:val="18"/>
                <w:color w:val="auto"/>
              </w:rPr>
              <w:t>Page 1 of 1</w:t>
            </w:r>
          </w:p>
        </w:tc>
      </w:tr>
    </w:tbl>
    <w:p>
      <w:pPr>
        <w:spacing w:after="0" w:line="1" w:lineRule="exact"/>
        <w:rPr>
          <w:sz w:val="20"/>
          <w:szCs w:val="20"/>
          <w:color w:val="auto"/>
        </w:rPr>
      </w:pPr>
    </w:p>
    <w:sectPr>
      <w:pgSz w:w="11900" w:h="16838" w:orient="portrait"/>
      <w:cols w:equalWidth="0" w:num="1">
        <w:col w:w="11420"/>
      </w:cols>
      <w:pgMar w:left="240" w:top="274" w:right="239"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2019-12-11T08:13:22Z</dcterms:created>
  <dcterms:modified xsi:type="dcterms:W3CDTF">2019-12-11T08:13:22Z</dcterms:modified>
</cp:coreProperties>
</file>