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4" w:lineRule="exact"/>
        <w:rPr>
          <w:sz w:val="24"/>
          <w:szCs w:val="24"/>
          <w:color w:val="auto"/>
        </w:rPr>
      </w:pPr>
    </w:p>
    <w:p>
      <w:pPr>
        <w:jc w:val="center"/>
        <w:ind w:right="-112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1125"/>
        <w:spacing w:after="0"/>
        <w:rPr>
          <w:sz w:val="20"/>
          <w:szCs w:val="20"/>
          <w:color w:val="auto"/>
        </w:rPr>
      </w:pPr>
      <w:r>
        <w:rPr>
          <w:rFonts w:ascii="Arial" w:cs="Arial" w:eastAsia="Arial" w:hAnsi="Arial"/>
          <w:sz w:val="19"/>
          <w:szCs w:val="19"/>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94615</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175" w:lineRule="exact"/>
        <w:rPr>
          <w:sz w:val="24"/>
          <w:szCs w:val="24"/>
          <w:color w:val="auto"/>
        </w:rPr>
      </w:pPr>
    </w:p>
    <w:p>
      <w:pPr>
        <w:jc w:val="center"/>
        <w:ind w:right="-112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109855</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11" w:lineRule="exact"/>
        <w:rPr>
          <w:sz w:val="24"/>
          <w:szCs w:val="24"/>
          <w:color w:val="auto"/>
        </w:rPr>
      </w:pPr>
    </w:p>
    <w:p>
      <w:pPr>
        <w:jc w:val="center"/>
        <w:ind w:right="-1125"/>
        <w:spacing w:after="0"/>
        <w:rPr>
          <w:sz w:val="20"/>
          <w:szCs w:val="20"/>
          <w:color w:val="auto"/>
        </w:rPr>
      </w:pPr>
      <w:r>
        <w:rPr>
          <w:rFonts w:ascii="Arial" w:cs="Arial" w:eastAsia="Arial" w:hAnsi="Arial"/>
          <w:sz w:val="21"/>
          <w:szCs w:val="21"/>
          <w:b w:val="1"/>
          <w:bCs w:val="1"/>
          <w:color w:val="auto"/>
        </w:rPr>
        <w:t>CURRENT REPORT</w:t>
      </w:r>
    </w:p>
    <w:p>
      <w:pPr>
        <w:spacing w:after="0" w:line="146"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PURSUANT TO SECTION 13 OR 15(d) OF THE</w:t>
      </w:r>
    </w:p>
    <w:p>
      <w:pPr>
        <w:spacing w:after="0" w:line="15"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SECURITIES EXCHANGE ACT OF 1934</w:t>
      </w:r>
    </w:p>
    <w:p>
      <w:pPr>
        <w:spacing w:after="0" w:line="112" w:lineRule="exact"/>
        <w:rPr>
          <w:sz w:val="24"/>
          <w:szCs w:val="24"/>
          <w:color w:val="auto"/>
        </w:rPr>
      </w:pPr>
    </w:p>
    <w:p>
      <w:pPr>
        <w:ind w:left="3026"/>
        <w:spacing w:after="0"/>
        <w:rPr>
          <w:sz w:val="20"/>
          <w:szCs w:val="20"/>
          <w:color w:val="auto"/>
        </w:rPr>
      </w:pPr>
      <w:r>
        <w:rPr>
          <w:rFonts w:ascii="Arial" w:cs="Arial" w:eastAsia="Arial" w:hAnsi="Arial"/>
          <w:sz w:val="19"/>
          <w:szCs w:val="19"/>
          <w:b w:val="1"/>
          <w:bCs w:val="1"/>
          <w:color w:val="auto"/>
        </w:rPr>
        <w:t>Date of Report (Date of earliest event reported) September 28,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100965</wp:posOffset>
            </wp:positionV>
            <wp:extent cx="153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183" w:lineRule="exact"/>
        <w:rPr>
          <w:sz w:val="24"/>
          <w:szCs w:val="24"/>
          <w:color w:val="auto"/>
        </w:rPr>
      </w:pPr>
    </w:p>
    <w:p>
      <w:pPr>
        <w:jc w:val="center"/>
        <w:ind w:right="-1125"/>
        <w:spacing w:after="0"/>
        <w:rPr>
          <w:sz w:val="20"/>
          <w:szCs w:val="20"/>
          <w:color w:val="auto"/>
        </w:rPr>
      </w:pPr>
      <w:r>
        <w:rPr>
          <w:rFonts w:ascii="Arial" w:cs="Arial" w:eastAsia="Arial" w:hAnsi="Arial"/>
          <w:sz w:val="38"/>
          <w:szCs w:val="38"/>
          <w:b w:val="1"/>
          <w:bCs w:val="1"/>
          <w:color w:val="auto"/>
        </w:rPr>
        <w:t>GENERAL MOTORS COMPANY</w:t>
      </w:r>
    </w:p>
    <w:p>
      <w:pPr>
        <w:spacing w:after="0" w:line="41" w:lineRule="exact"/>
        <w:rPr>
          <w:sz w:val="24"/>
          <w:szCs w:val="24"/>
          <w:color w:val="auto"/>
        </w:rPr>
      </w:pPr>
    </w:p>
    <w:p>
      <w:pPr>
        <w:ind w:left="3966"/>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104140</wp:posOffset>
            </wp:positionV>
            <wp:extent cx="153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38" w:lineRule="exact"/>
        <w:rPr>
          <w:sz w:val="24"/>
          <w:szCs w:val="24"/>
          <w:color w:val="auto"/>
        </w:rPr>
      </w:pPr>
    </w:p>
    <w:tbl>
      <w:tblPr>
        <w:tblLayout w:type="fixed"/>
        <w:tblInd w:w="1266" w:type="dxa"/>
        <w:tblCellMar>
          <w:top w:w="0" w:type="dxa"/>
          <w:left w:w="0" w:type="dxa"/>
          <w:bottom w:w="0" w:type="dxa"/>
          <w:right w:w="0" w:type="dxa"/>
        </w:tblCellMar>
      </w:tblPr>
      <w:tr>
        <w:trPr>
          <w:trHeight w:val="188"/>
        </w:trPr>
        <w:tc>
          <w:tcPr>
            <w:tcW w:w="4120" w:type="dxa"/>
            <w:vAlign w:val="bottom"/>
          </w:tcPr>
          <w:p>
            <w:pPr>
              <w:jc w:val="center"/>
              <w:ind w:right="2694"/>
              <w:spacing w:after="0"/>
              <w:rPr>
                <w:sz w:val="20"/>
                <w:szCs w:val="20"/>
                <w:color w:val="auto"/>
              </w:rPr>
            </w:pPr>
            <w:r>
              <w:rPr>
                <w:rFonts w:ascii="Arial" w:cs="Arial" w:eastAsia="Arial" w:hAnsi="Arial"/>
                <w:sz w:val="15"/>
                <w:szCs w:val="15"/>
                <w:b w:val="1"/>
                <w:bCs w:val="1"/>
                <w:color w:val="auto"/>
              </w:rPr>
              <w:t>DELAWARE</w:t>
            </w:r>
          </w:p>
        </w:tc>
        <w:tc>
          <w:tcPr>
            <w:tcW w:w="2280" w:type="dxa"/>
            <w:vAlign w:val="bottom"/>
          </w:tcPr>
          <w:p>
            <w:pPr>
              <w:ind w:left="120"/>
              <w:spacing w:after="0"/>
              <w:rPr>
                <w:sz w:val="20"/>
                <w:szCs w:val="20"/>
                <w:color w:val="auto"/>
              </w:rPr>
            </w:pPr>
            <w:r>
              <w:rPr>
                <w:rFonts w:ascii="Arial" w:cs="Arial" w:eastAsia="Arial" w:hAnsi="Arial"/>
                <w:sz w:val="15"/>
                <w:szCs w:val="15"/>
                <w:b w:val="1"/>
                <w:bCs w:val="1"/>
                <w:color w:val="auto"/>
              </w:rPr>
              <w:t>001-34960</w:t>
            </w:r>
          </w:p>
        </w:tc>
        <w:tc>
          <w:tcPr>
            <w:tcW w:w="2400" w:type="dxa"/>
            <w:vAlign w:val="bottom"/>
          </w:tcPr>
          <w:p>
            <w:pPr>
              <w:jc w:val="center"/>
              <w:ind w:left="1434"/>
              <w:spacing w:after="0"/>
              <w:rPr>
                <w:sz w:val="20"/>
                <w:szCs w:val="20"/>
                <w:color w:val="auto"/>
              </w:rPr>
            </w:pPr>
            <w:r>
              <w:rPr>
                <w:rFonts w:ascii="Arial" w:cs="Arial" w:eastAsia="Arial" w:hAnsi="Arial"/>
                <w:sz w:val="15"/>
                <w:szCs w:val="15"/>
                <w:b w:val="1"/>
                <w:bCs w:val="1"/>
                <w:color w:val="auto"/>
                <w:w w:val="92"/>
              </w:rPr>
              <w:t>27-0756180</w:t>
            </w:r>
          </w:p>
        </w:tc>
      </w:tr>
      <w:tr>
        <w:trPr>
          <w:trHeight w:val="129"/>
        </w:trPr>
        <w:tc>
          <w:tcPr>
            <w:tcW w:w="4120" w:type="dxa"/>
            <w:vAlign w:val="bottom"/>
          </w:tcPr>
          <w:p>
            <w:pPr>
              <w:jc w:val="center"/>
              <w:ind w:right="2694"/>
              <w:spacing w:after="0" w:line="129" w:lineRule="exact"/>
              <w:rPr>
                <w:sz w:val="20"/>
                <w:szCs w:val="20"/>
                <w:color w:val="auto"/>
              </w:rPr>
            </w:pPr>
            <w:r>
              <w:rPr>
                <w:rFonts w:ascii="Arial" w:cs="Arial" w:eastAsia="Arial" w:hAnsi="Arial"/>
                <w:sz w:val="12"/>
                <w:szCs w:val="12"/>
                <w:b w:val="1"/>
                <w:bCs w:val="1"/>
                <w:color w:val="auto"/>
                <w:w w:val="90"/>
              </w:rPr>
              <w:t>(State or other jurisdiction</w:t>
            </w:r>
          </w:p>
        </w:tc>
        <w:tc>
          <w:tcPr>
            <w:tcW w:w="22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(Commission</w:t>
            </w:r>
          </w:p>
        </w:tc>
        <w:tc>
          <w:tcPr>
            <w:tcW w:w="2400" w:type="dxa"/>
            <w:vAlign w:val="bottom"/>
          </w:tcPr>
          <w:p>
            <w:pPr>
              <w:jc w:val="center"/>
              <w:ind w:left="1434"/>
              <w:spacing w:after="0" w:line="129" w:lineRule="exact"/>
              <w:rPr>
                <w:sz w:val="20"/>
                <w:szCs w:val="20"/>
                <w:color w:val="auto"/>
              </w:rPr>
            </w:pPr>
            <w:r>
              <w:rPr>
                <w:rFonts w:ascii="Arial" w:cs="Arial" w:eastAsia="Arial" w:hAnsi="Arial"/>
                <w:sz w:val="12"/>
                <w:szCs w:val="12"/>
                <w:b w:val="1"/>
                <w:bCs w:val="1"/>
                <w:color w:val="auto"/>
                <w:w w:val="93"/>
              </w:rPr>
              <w:t>(I.R.S. Employer</w:t>
            </w:r>
          </w:p>
        </w:tc>
      </w:tr>
      <w:tr>
        <w:trPr>
          <w:trHeight w:val="151"/>
        </w:trPr>
        <w:tc>
          <w:tcPr>
            <w:tcW w:w="4120" w:type="dxa"/>
            <w:vAlign w:val="bottom"/>
          </w:tcPr>
          <w:p>
            <w:pPr>
              <w:jc w:val="center"/>
              <w:ind w:right="2694"/>
              <w:spacing w:after="0"/>
              <w:rPr>
                <w:sz w:val="20"/>
                <w:szCs w:val="20"/>
                <w:color w:val="auto"/>
              </w:rPr>
            </w:pPr>
            <w:r>
              <w:rPr>
                <w:rFonts w:ascii="Arial" w:cs="Arial" w:eastAsia="Arial" w:hAnsi="Arial"/>
                <w:sz w:val="12"/>
                <w:szCs w:val="12"/>
                <w:b w:val="1"/>
                <w:bCs w:val="1"/>
                <w:color w:val="auto"/>
                <w:w w:val="87"/>
              </w:rPr>
              <w:t>of incorporation)</w:t>
            </w:r>
          </w:p>
        </w:tc>
        <w:tc>
          <w:tcPr>
            <w:tcW w:w="2280" w:type="dxa"/>
            <w:vAlign w:val="bottom"/>
          </w:tcPr>
          <w:p>
            <w:pPr>
              <w:ind w:left="120"/>
              <w:spacing w:after="0"/>
              <w:rPr>
                <w:sz w:val="20"/>
                <w:szCs w:val="20"/>
                <w:color w:val="auto"/>
              </w:rPr>
            </w:pPr>
            <w:r>
              <w:rPr>
                <w:rFonts w:ascii="Arial" w:cs="Arial" w:eastAsia="Arial" w:hAnsi="Arial"/>
                <w:sz w:val="12"/>
                <w:szCs w:val="12"/>
                <w:b w:val="1"/>
                <w:bCs w:val="1"/>
                <w:color w:val="auto"/>
              </w:rPr>
              <w:t>File Number)</w:t>
            </w:r>
          </w:p>
        </w:tc>
        <w:tc>
          <w:tcPr>
            <w:tcW w:w="2400" w:type="dxa"/>
            <w:vAlign w:val="bottom"/>
          </w:tcPr>
          <w:p>
            <w:pPr>
              <w:jc w:val="center"/>
              <w:ind w:left="1414"/>
              <w:spacing w:after="0"/>
              <w:rPr>
                <w:sz w:val="20"/>
                <w:szCs w:val="20"/>
                <w:color w:val="auto"/>
              </w:rPr>
            </w:pPr>
            <w:r>
              <w:rPr>
                <w:rFonts w:ascii="Arial" w:cs="Arial" w:eastAsia="Arial" w:hAnsi="Arial"/>
                <w:sz w:val="12"/>
                <w:szCs w:val="12"/>
                <w:b w:val="1"/>
                <w:bCs w:val="1"/>
                <w:color w:val="auto"/>
                <w:w w:val="90"/>
              </w:rPr>
              <w:t>Identification No.)</w:t>
            </w:r>
          </w:p>
        </w:tc>
      </w:tr>
      <w:tr>
        <w:trPr>
          <w:trHeight w:val="367"/>
        </w:trPr>
        <w:tc>
          <w:tcPr>
            <w:tcW w:w="4120" w:type="dxa"/>
            <w:vAlign w:val="bottom"/>
          </w:tcPr>
          <w:p>
            <w:pPr>
              <w:jc w:val="center"/>
              <w:ind w:left="1074"/>
              <w:spacing w:after="0"/>
              <w:rPr>
                <w:sz w:val="20"/>
                <w:szCs w:val="20"/>
                <w:color w:val="auto"/>
              </w:rPr>
            </w:pPr>
            <w:r>
              <w:rPr>
                <w:rFonts w:ascii="Arial" w:cs="Arial" w:eastAsia="Arial" w:hAnsi="Arial"/>
                <w:sz w:val="15"/>
                <w:szCs w:val="15"/>
                <w:b w:val="1"/>
                <w:bCs w:val="1"/>
                <w:color w:val="auto"/>
                <w:w w:val="91"/>
              </w:rPr>
              <w:t>300 Renaissance Center, Detroit, Michigan</w:t>
            </w:r>
          </w:p>
        </w:tc>
        <w:tc>
          <w:tcPr>
            <w:tcW w:w="22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5"/>
                <w:szCs w:val="15"/>
                <w:b w:val="1"/>
                <w:bCs w:val="1"/>
                <w:color w:val="auto"/>
              </w:rPr>
              <w:t>48265-3000</w:t>
            </w:r>
          </w:p>
        </w:tc>
      </w:tr>
      <w:tr>
        <w:trPr>
          <w:trHeight w:val="151"/>
        </w:trPr>
        <w:tc>
          <w:tcPr>
            <w:tcW w:w="4120" w:type="dxa"/>
            <w:vAlign w:val="bottom"/>
          </w:tcPr>
          <w:p>
            <w:pPr>
              <w:jc w:val="center"/>
              <w:ind w:left="1074"/>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2280" w:type="dxa"/>
            <w:vAlign w:val="bottom"/>
          </w:tcPr>
          <w:p>
            <w:pPr>
              <w:spacing w:after="0"/>
              <w:rPr>
                <w:sz w:val="13"/>
                <w:szCs w:val="13"/>
                <w:color w:val="auto"/>
              </w:rPr>
            </w:pPr>
          </w:p>
        </w:tc>
        <w:tc>
          <w:tcPr>
            <w:tcW w:w="2400" w:type="dxa"/>
            <w:vAlign w:val="bottom"/>
          </w:tcPr>
          <w:p>
            <w:pPr>
              <w:jc w:val="center"/>
              <w:ind w:left="1554"/>
              <w:spacing w:after="0"/>
              <w:rPr>
                <w:sz w:val="20"/>
                <w:szCs w:val="20"/>
                <w:color w:val="auto"/>
              </w:rPr>
            </w:pPr>
            <w:r>
              <w:rPr>
                <w:rFonts w:ascii="Arial" w:cs="Arial" w:eastAsia="Arial" w:hAnsi="Arial"/>
                <w:sz w:val="12"/>
                <w:szCs w:val="12"/>
                <w:b w:val="1"/>
                <w:bCs w:val="1"/>
                <w:color w:val="auto"/>
                <w:w w:val="90"/>
              </w:rPr>
              <w:t>(Zip Code)</w:t>
            </w:r>
          </w:p>
        </w:tc>
      </w:tr>
    </w:tbl>
    <w:p>
      <w:pPr>
        <w:spacing w:after="0" w:line="120" w:lineRule="exact"/>
        <w:rPr>
          <w:sz w:val="24"/>
          <w:szCs w:val="24"/>
          <w:color w:val="auto"/>
        </w:rPr>
      </w:pPr>
    </w:p>
    <w:p>
      <w:pPr>
        <w:jc w:val="center"/>
        <w:ind w:right="-1125"/>
        <w:spacing w:after="0"/>
        <w:rPr>
          <w:sz w:val="20"/>
          <w:szCs w:val="20"/>
          <w:color w:val="auto"/>
        </w:rPr>
      </w:pPr>
      <w:r>
        <w:rPr>
          <w:rFonts w:ascii="Arial" w:cs="Arial" w:eastAsia="Arial" w:hAnsi="Arial"/>
          <w:sz w:val="15"/>
          <w:szCs w:val="15"/>
          <w:b w:val="1"/>
          <w:bCs w:val="1"/>
          <w:color w:val="auto"/>
        </w:rPr>
        <w:t>(313) 556-5000</w:t>
      </w:r>
    </w:p>
    <w:p>
      <w:pPr>
        <w:spacing w:after="0" w:line="26" w:lineRule="exact"/>
        <w:rPr>
          <w:sz w:val="24"/>
          <w:szCs w:val="24"/>
          <w:color w:val="auto"/>
        </w:rPr>
      </w:pPr>
    </w:p>
    <w:p>
      <w:pPr>
        <w:jc w:val="center"/>
        <w:ind w:right="-1125"/>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22" w:lineRule="exact"/>
        <w:rPr>
          <w:sz w:val="24"/>
          <w:szCs w:val="24"/>
          <w:color w:val="auto"/>
        </w:rPr>
      </w:pPr>
    </w:p>
    <w:p>
      <w:pPr>
        <w:jc w:val="center"/>
        <w:ind w:right="-1125"/>
        <w:spacing w:after="0"/>
        <w:rPr>
          <w:sz w:val="20"/>
          <w:szCs w:val="20"/>
          <w:color w:val="auto"/>
        </w:rPr>
      </w:pPr>
      <w:r>
        <w:rPr>
          <w:rFonts w:ascii="Arial" w:cs="Arial" w:eastAsia="Arial" w:hAnsi="Arial"/>
          <w:sz w:val="15"/>
          <w:szCs w:val="15"/>
          <w:b w:val="1"/>
          <w:bCs w:val="1"/>
          <w:color w:val="auto"/>
        </w:rPr>
        <w:t>Not Applicable</w:t>
      </w:r>
    </w:p>
    <w:p>
      <w:pPr>
        <w:spacing w:after="0" w:line="26" w:lineRule="exact"/>
        <w:rPr>
          <w:sz w:val="24"/>
          <w:szCs w:val="24"/>
          <w:color w:val="auto"/>
        </w:rPr>
      </w:pPr>
    </w:p>
    <w:p>
      <w:pPr>
        <w:ind w:left="416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84455</wp:posOffset>
            </wp:positionV>
            <wp:extent cx="15303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189"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(17-CFR 240.14a-12)</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2644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0306"/>
          </w:cols>
          <w:pgMar w:left="234" w:top="291" w:right="1359" w:bottom="1440" w:gutter="0" w:footer="0" w:header="0"/>
        </w:sectPr>
      </w:pPr>
    </w:p>
    <w:bookmarkStart w:id="1" w:name="page2"/>
    <w:bookmarkEnd w:id="1"/>
    <w:p>
      <w:pPr>
        <w:jc w:val="right"/>
        <w:ind w:right="3679"/>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8.01 Other Events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Signature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Index to Exhibits</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New Release Dated September 28, 2011</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Presentation Webcast Charts Dated September 28, 2011</w:t>
      </w:r>
    </w:p>
    <w:p>
      <w:pPr>
        <w:sectPr>
          <w:pgSz w:w="11900" w:h="16838" w:orient="portrait"/>
          <w:cols w:equalWidth="0" w:num="1">
            <w:col w:w="10219"/>
          </w:cols>
          <w:pgMar w:left="240" w:top="258" w:right="1440" w:bottom="1440" w:gutter="0" w:footer="0" w:header="0"/>
        </w:sectPr>
      </w:pPr>
    </w:p>
    <w:bookmarkStart w:id="2" w:name="page3"/>
    <w:bookmarkEnd w:id="2"/>
    <w:p>
      <w:pPr>
        <w:spacing w:after="0"/>
        <w:tabs>
          <w:tab w:leader="none" w:pos="10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ITEM 8.01</w:t>
      </w:r>
      <w:r>
        <w:rPr>
          <w:sz w:val="20"/>
          <w:szCs w:val="20"/>
          <w:color w:val="auto"/>
        </w:rPr>
        <w:tab/>
      </w:r>
      <w:r>
        <w:rPr>
          <w:rFonts w:ascii="Arial" w:cs="Arial" w:eastAsia="Arial" w:hAnsi="Arial"/>
          <w:sz w:val="13"/>
          <w:szCs w:val="13"/>
          <w:b w:val="1"/>
          <w:bCs w:val="1"/>
          <w:color w:val="auto"/>
        </w:rPr>
        <w:t>Other Events</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On September 28, 2011, Mr. Dan Akerson, Chairman and Chief Executive Officer and Mr. Dan Ammann, Senior Vice President and Chief Financial Officer, conducted a webcast presentation to provide a summary of the labor agreement reached with the International Union, United Automobile, Aerospace and Agricultural Implement Workers of America. The news release and presentation related thereto are attached as Exhibits 99.1 and 99.2.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EXHIBITS</w:t>
            </w: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460" w:type="dxa"/>
            <w:vAlign w:val="bottom"/>
          </w:tcPr>
          <w:p>
            <w:pPr>
              <w:spacing w:after="0"/>
              <w:rPr>
                <w:sz w:val="20"/>
                <w:szCs w:val="20"/>
                <w:color w:val="auto"/>
              </w:rPr>
            </w:pPr>
            <w:r>
              <w:rPr>
                <w:rFonts w:ascii="Arial" w:cs="Arial" w:eastAsia="Arial" w:hAnsi="Arial"/>
                <w:sz w:val="15"/>
                <w:szCs w:val="15"/>
                <w:color w:val="auto"/>
                <w:w w:val="97"/>
              </w:rPr>
              <w:t>Exhibit</w:t>
            </w:r>
          </w:p>
        </w:tc>
        <w:tc>
          <w:tcPr>
            <w:tcW w:w="364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Arial" w:cs="Arial" w:eastAsia="Arial" w:hAnsi="Arial"/>
                <w:sz w:val="15"/>
                <w:szCs w:val="15"/>
                <w:color w:val="auto"/>
              </w:rPr>
              <w:t>Description</w:t>
            </w:r>
          </w:p>
        </w:tc>
        <w:tc>
          <w:tcPr>
            <w:tcW w:w="3120" w:type="dxa"/>
            <w:vAlign w:val="bottom"/>
            <w:gridSpan w:val="3"/>
          </w:tcPr>
          <w:p>
            <w:pPr>
              <w:ind w:left="1900"/>
              <w:spacing w:after="0"/>
              <w:rPr>
                <w:sz w:val="20"/>
                <w:szCs w:val="20"/>
                <w:color w:val="auto"/>
              </w:rPr>
            </w:pPr>
            <w:r>
              <w:rPr>
                <w:rFonts w:ascii="Arial" w:cs="Arial" w:eastAsia="Arial" w:hAnsi="Arial"/>
                <w:sz w:val="15"/>
                <w:szCs w:val="15"/>
                <w:color w:val="auto"/>
              </w:rPr>
              <w:t>Method of Filing</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640" w:type="dxa"/>
            <w:vAlign w:val="bottom"/>
            <w:vMerge w:val="restart"/>
          </w:tcPr>
          <w:p>
            <w:pPr>
              <w:jc w:val="right"/>
              <w:ind w:right="3284"/>
              <w:spacing w:after="0"/>
              <w:rPr>
                <w:sz w:val="20"/>
                <w:szCs w:val="20"/>
                <w:color w:val="auto"/>
              </w:rPr>
            </w:pPr>
            <w:r>
              <w:rPr>
                <w:rFonts w:ascii="Arial" w:cs="Arial" w:eastAsia="Arial" w:hAnsi="Arial"/>
                <w:sz w:val="15"/>
                <w:szCs w:val="15"/>
                <w:color w:val="auto"/>
                <w:w w:val="88"/>
              </w:rPr>
              <w:t>99.1</w:t>
            </w: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60" w:type="dxa"/>
            <w:vAlign w:val="bottom"/>
          </w:tcPr>
          <w:p>
            <w:pPr>
              <w:spacing w:after="0"/>
              <w:rPr>
                <w:sz w:val="20"/>
                <w:szCs w:val="20"/>
                <w:color w:val="auto"/>
              </w:rPr>
            </w:pPr>
            <w:r>
              <w:rPr>
                <w:rFonts w:ascii="Arial" w:cs="Arial" w:eastAsia="Arial" w:hAnsi="Arial"/>
                <w:sz w:val="15"/>
                <w:szCs w:val="15"/>
                <w:color w:val="auto"/>
                <w:w w:val="97"/>
              </w:rPr>
              <w:t>Exhibit</w:t>
            </w:r>
          </w:p>
        </w:tc>
        <w:tc>
          <w:tcPr>
            <w:tcW w:w="3640" w:type="dxa"/>
            <w:vAlign w:val="bottom"/>
            <w:vMerge w:val="continue"/>
          </w:tcPr>
          <w:p>
            <w:pPr>
              <w:spacing w:after="0"/>
              <w:rPr>
                <w:sz w:val="15"/>
                <w:szCs w:val="15"/>
                <w:color w:val="auto"/>
              </w:rPr>
            </w:pPr>
          </w:p>
        </w:tc>
        <w:tc>
          <w:tcPr>
            <w:tcW w:w="1980" w:type="dxa"/>
            <w:vAlign w:val="bottom"/>
            <w:gridSpan w:val="3"/>
          </w:tcPr>
          <w:p>
            <w:pPr>
              <w:spacing w:after="0"/>
              <w:rPr>
                <w:sz w:val="20"/>
                <w:szCs w:val="20"/>
                <w:color w:val="auto"/>
              </w:rPr>
            </w:pPr>
            <w:r>
              <w:rPr>
                <w:rFonts w:ascii="Arial" w:cs="Arial" w:eastAsia="Arial" w:hAnsi="Arial"/>
                <w:sz w:val="15"/>
                <w:szCs w:val="15"/>
                <w:color w:val="auto"/>
              </w:rPr>
              <w:t>News Release</w:t>
            </w: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980" w:type="dxa"/>
            <w:vAlign w:val="bottom"/>
            <w:gridSpan w:val="3"/>
          </w:tcPr>
          <w:p>
            <w:pPr>
              <w:spacing w:after="0"/>
              <w:rPr>
                <w:sz w:val="20"/>
                <w:szCs w:val="20"/>
                <w:color w:val="auto"/>
              </w:rPr>
            </w:pPr>
            <w:r>
              <w:rPr>
                <w:rFonts w:ascii="Arial" w:cs="Arial" w:eastAsia="Arial" w:hAnsi="Arial"/>
                <w:sz w:val="15"/>
                <w:szCs w:val="15"/>
                <w:color w:val="auto"/>
              </w:rPr>
              <w:t>Dated September 28, 2011</w:t>
            </w:r>
          </w:p>
        </w:tc>
        <w:tc>
          <w:tcPr>
            <w:tcW w:w="3120" w:type="dxa"/>
            <w:vAlign w:val="bottom"/>
            <w:gridSpan w:val="3"/>
          </w:tcPr>
          <w:p>
            <w:pPr>
              <w:ind w:left="1900"/>
              <w:spacing w:after="0"/>
              <w:rPr>
                <w:sz w:val="20"/>
                <w:szCs w:val="20"/>
                <w:color w:val="auto"/>
              </w:rPr>
            </w:pPr>
            <w:r>
              <w:rPr>
                <w:rFonts w:ascii="Arial" w:cs="Arial" w:eastAsia="Arial" w:hAnsi="Arial"/>
                <w:sz w:val="15"/>
                <w:szCs w:val="15"/>
                <w:color w:val="auto"/>
                <w:w w:val="93"/>
              </w:rPr>
              <w:t>Attached as Exhibit</w:t>
            </w:r>
          </w:p>
        </w:tc>
        <w:tc>
          <w:tcPr>
            <w:tcW w:w="0" w:type="dxa"/>
            <w:vAlign w:val="bottom"/>
          </w:tcPr>
          <w:p>
            <w:pPr>
              <w:spacing w:after="0"/>
              <w:rPr>
                <w:sz w:val="1"/>
                <w:szCs w:val="1"/>
                <w:color w:val="auto"/>
              </w:rPr>
            </w:pPr>
          </w:p>
        </w:tc>
      </w:tr>
      <w:tr>
        <w:trPr>
          <w:trHeight w:val="276"/>
        </w:trPr>
        <w:tc>
          <w:tcPr>
            <w:tcW w:w="4100" w:type="dxa"/>
            <w:vAlign w:val="bottom"/>
            <w:gridSpan w:val="2"/>
          </w:tcPr>
          <w:p>
            <w:pPr>
              <w:spacing w:after="0"/>
              <w:rPr>
                <w:sz w:val="20"/>
                <w:szCs w:val="20"/>
                <w:color w:val="auto"/>
              </w:rPr>
            </w:pPr>
            <w:r>
              <w:rPr>
                <w:rFonts w:ascii="Arial" w:cs="Arial" w:eastAsia="Arial" w:hAnsi="Arial"/>
                <w:sz w:val="15"/>
                <w:szCs w:val="15"/>
                <w:color w:val="auto"/>
              </w:rPr>
              <w:t>Exhibit 99.2</w:t>
            </w:r>
          </w:p>
        </w:tc>
        <w:tc>
          <w:tcPr>
            <w:tcW w:w="1980" w:type="dxa"/>
            <w:vAlign w:val="bottom"/>
            <w:gridSpan w:val="3"/>
          </w:tcPr>
          <w:p>
            <w:pPr>
              <w:spacing w:after="0"/>
              <w:rPr>
                <w:sz w:val="20"/>
                <w:szCs w:val="20"/>
                <w:color w:val="auto"/>
              </w:rPr>
            </w:pPr>
            <w:r>
              <w:rPr>
                <w:rFonts w:ascii="Arial" w:cs="Arial" w:eastAsia="Arial" w:hAnsi="Arial"/>
                <w:sz w:val="15"/>
                <w:szCs w:val="15"/>
                <w:color w:val="auto"/>
              </w:rPr>
              <w:t>Presentation Charts</w:t>
            </w: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980" w:type="dxa"/>
            <w:vAlign w:val="bottom"/>
            <w:gridSpan w:val="3"/>
          </w:tcPr>
          <w:p>
            <w:pPr>
              <w:spacing w:after="0"/>
              <w:rPr>
                <w:sz w:val="20"/>
                <w:szCs w:val="20"/>
                <w:color w:val="auto"/>
              </w:rPr>
            </w:pPr>
            <w:r>
              <w:rPr>
                <w:rFonts w:ascii="Arial" w:cs="Arial" w:eastAsia="Arial" w:hAnsi="Arial"/>
                <w:sz w:val="15"/>
                <w:szCs w:val="15"/>
                <w:color w:val="auto"/>
              </w:rPr>
              <w:t>Dated September 28, 2011</w:t>
            </w:r>
          </w:p>
        </w:tc>
        <w:tc>
          <w:tcPr>
            <w:tcW w:w="3120" w:type="dxa"/>
            <w:vAlign w:val="bottom"/>
            <w:gridSpan w:val="3"/>
          </w:tcPr>
          <w:p>
            <w:pPr>
              <w:ind w:left="1900"/>
              <w:spacing w:after="0"/>
              <w:rPr>
                <w:sz w:val="20"/>
                <w:szCs w:val="20"/>
                <w:color w:val="auto"/>
              </w:rPr>
            </w:pPr>
            <w:r>
              <w:rPr>
                <w:rFonts w:ascii="Arial" w:cs="Arial" w:eastAsia="Arial" w:hAnsi="Arial"/>
                <w:sz w:val="15"/>
                <w:szCs w:val="15"/>
                <w:color w:val="auto"/>
                <w:w w:val="93"/>
              </w:rPr>
              <w:t>Attached as Exhibit</w:t>
            </w:r>
          </w:p>
        </w:tc>
        <w:tc>
          <w:tcPr>
            <w:tcW w:w="0" w:type="dxa"/>
            <w:vAlign w:val="bottom"/>
          </w:tcPr>
          <w:p>
            <w:pPr>
              <w:spacing w:after="0"/>
              <w:rPr>
                <w:sz w:val="1"/>
                <w:szCs w:val="1"/>
                <w:color w:val="auto"/>
              </w:rPr>
            </w:pPr>
          </w:p>
        </w:tc>
      </w:tr>
    </w:tbl>
    <w:p>
      <w:pPr>
        <w:sectPr>
          <w:pgSz w:w="11900" w:h="16838" w:orient="portrait"/>
          <w:cols w:equalWidth="0" w:num="1">
            <w:col w:w="11140"/>
          </w:cols>
          <w:pgMar w:left="240" w:top="258" w:right="51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SIGNATURE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5"/>
          <w:szCs w:val="15"/>
          <w:u w:val="single" w:color="auto"/>
          <w:color w:val="auto"/>
        </w:rPr>
        <w:t>GENERAL MOTORS COMPANY</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(Registrant)</w:t>
      </w:r>
    </w:p>
    <w:p>
      <w:pPr>
        <w:spacing w:after="0" w:line="198" w:lineRule="exact"/>
        <w:rPr>
          <w:sz w:val="20"/>
          <w:szCs w:val="20"/>
          <w:color w:val="auto"/>
        </w:rPr>
      </w:pPr>
    </w:p>
    <w:p>
      <w:pPr>
        <w:spacing w:after="0"/>
        <w:tabs>
          <w:tab w:leader="none" w:pos="5720" w:val="left"/>
        </w:tabs>
        <w:rPr>
          <w:sz w:val="20"/>
          <w:szCs w:val="20"/>
          <w:color w:val="auto"/>
        </w:rPr>
      </w:pPr>
      <w:r>
        <w:rPr>
          <w:rFonts w:ascii="Arial" w:cs="Arial" w:eastAsia="Arial" w:hAnsi="Arial"/>
          <w:sz w:val="15"/>
          <w:szCs w:val="15"/>
          <w:color w:val="auto"/>
        </w:rPr>
        <w:t>Date: September 30, 2011</w:t>
      </w:r>
      <w:r>
        <w:rPr>
          <w:sz w:val="20"/>
          <w:szCs w:val="20"/>
          <w:color w:val="auto"/>
        </w:rPr>
        <w:tab/>
      </w:r>
      <w:r>
        <w:rPr>
          <w:rFonts w:ascii="Arial" w:cs="Arial" w:eastAsia="Arial" w:hAnsi="Arial"/>
          <w:sz w:val="14"/>
          <w:szCs w:val="14"/>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4118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11855" cy="7620"/>
                    </a:xfrm>
                    <a:prstGeom prst="rect">
                      <a:avLst/>
                    </a:prstGeom>
                    <a:noFill/>
                  </pic:spPr>
                </pic:pic>
              </a:graphicData>
            </a:graphic>
          </wp:anchor>
        </w:drawing>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Nick S. Cyprus</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Vice President, Controller and Chief Accounting</w:t>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Officer</w:t>
      </w:r>
    </w:p>
    <w:p>
      <w:pPr>
        <w:sectPr>
          <w:pgSz w:w="11900" w:h="16838" w:orient="portrait"/>
          <w:cols w:equalWidth="0" w:num="1">
            <w:col w:w="11160"/>
          </w:cols>
          <w:pgMar w:left="240" w:top="258" w:right="499" w:bottom="1440" w:gutter="0" w:footer="0" w:header="0"/>
        </w:sectPr>
      </w:pPr>
    </w:p>
    <w:bookmarkStart w:id="4" w:name="page5"/>
    <w:bookmarkEnd w:id="4"/>
    <w:p>
      <w:pPr>
        <w:jc w:val="right"/>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4770755" cy="552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70755" cy="552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color w:val="auto"/>
        </w:rPr>
        <w:t>For Release: Wednesday, Sept. 28, 2011, 2:00 p.m. ET</w:t>
      </w:r>
    </w:p>
    <w:p>
      <w:pPr>
        <w:spacing w:after="0" w:line="294"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New Labor Agreement Enables GM’s Continued Progress</w:t>
      </w:r>
    </w:p>
    <w:p>
      <w:pPr>
        <w:spacing w:after="0" w:line="161" w:lineRule="exact"/>
        <w:rPr>
          <w:sz w:val="20"/>
          <w:szCs w:val="20"/>
          <w:color w:val="auto"/>
        </w:rPr>
      </w:pPr>
    </w:p>
    <w:p>
      <w:pPr>
        <w:ind w:left="2980"/>
        <w:spacing w:after="0"/>
        <w:rPr>
          <w:sz w:val="20"/>
          <w:szCs w:val="20"/>
          <w:color w:val="auto"/>
        </w:rPr>
      </w:pPr>
      <w:r>
        <w:rPr>
          <w:rFonts w:ascii="Arial" w:cs="Arial" w:eastAsia="Arial" w:hAnsi="Arial"/>
          <w:sz w:val="15"/>
          <w:szCs w:val="15"/>
          <w:i w:val="1"/>
          <w:iCs w:val="1"/>
          <w:color w:val="auto"/>
        </w:rPr>
        <w:t>Agreement maintains GM’s low break-even level, gives all employees a direct stake in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company’s performance and protects its fortress balance sheet</w:t>
      </w:r>
    </w:p>
    <w:p>
      <w:pPr>
        <w:spacing w:after="0" w:line="147" w:lineRule="exact"/>
        <w:rPr>
          <w:sz w:val="20"/>
          <w:szCs w:val="20"/>
          <w:color w:val="auto"/>
        </w:rPr>
      </w:pPr>
    </w:p>
    <w:p>
      <w:pPr>
        <w:ind w:right="240"/>
        <w:spacing w:after="0" w:line="279" w:lineRule="auto"/>
        <w:rPr>
          <w:sz w:val="20"/>
          <w:szCs w:val="20"/>
          <w:color w:val="auto"/>
        </w:rPr>
      </w:pPr>
      <w:r>
        <w:rPr>
          <w:rFonts w:ascii="Arial" w:cs="Arial" w:eastAsia="Arial" w:hAnsi="Arial"/>
          <w:sz w:val="15"/>
          <w:szCs w:val="15"/>
          <w:b w:val="1"/>
          <w:bCs w:val="1"/>
          <w:color w:val="auto"/>
        </w:rPr>
        <w:t xml:space="preserve">DETROIT – </w:t>
      </w:r>
      <w:r>
        <w:rPr>
          <w:rFonts w:ascii="Arial" w:cs="Arial" w:eastAsia="Arial" w:hAnsi="Arial"/>
          <w:sz w:val="15"/>
          <w:szCs w:val="15"/>
          <w:color w:val="auto"/>
        </w:rPr>
        <w:t>General Motors Co. today outlined details of its 2011 labor agreement with the United Auto Workers (UAW) during a conference call with analysts and media, hosted by</w:t>
      </w:r>
      <w:r>
        <w:rPr>
          <w:rFonts w:ascii="Arial" w:cs="Arial" w:eastAsia="Arial" w:hAnsi="Arial"/>
          <w:sz w:val="15"/>
          <w:szCs w:val="15"/>
          <w:b w:val="1"/>
          <w:bCs w:val="1"/>
          <w:color w:val="auto"/>
        </w:rPr>
        <w:t xml:space="preserve"> </w:t>
      </w:r>
      <w:r>
        <w:rPr>
          <w:rFonts w:ascii="Arial" w:cs="Arial" w:eastAsia="Arial" w:hAnsi="Arial"/>
          <w:sz w:val="15"/>
          <w:szCs w:val="15"/>
          <w:color w:val="auto"/>
        </w:rPr>
        <w:t>Chairman and Chief Executive Officer Dan Akerson and Senior Vice President and Chief Financial Officer Dan Ammann. The agreement, which has been ratified by the UAW membership (65 percent production and 63 percent skilled trades), covers 48,500 hourly GM employees.</w:t>
      </w:r>
    </w:p>
    <w:p>
      <w:pPr>
        <w:spacing w:after="0" w:line="108" w:lineRule="exact"/>
        <w:rPr>
          <w:sz w:val="20"/>
          <w:szCs w:val="20"/>
          <w:color w:val="auto"/>
        </w:rPr>
      </w:pPr>
    </w:p>
    <w:p>
      <w:pPr>
        <w:ind w:right="400"/>
        <w:spacing w:after="0" w:line="291" w:lineRule="auto"/>
        <w:rPr>
          <w:sz w:val="20"/>
          <w:szCs w:val="20"/>
          <w:color w:val="auto"/>
        </w:rPr>
      </w:pPr>
      <w:r>
        <w:rPr>
          <w:rFonts w:ascii="Arial" w:cs="Arial" w:eastAsia="Arial" w:hAnsi="Arial"/>
          <w:sz w:val="15"/>
          <w:szCs w:val="15"/>
          <w:color w:val="auto"/>
        </w:rPr>
        <w:t>“The agreement is a win-win for our employees and our company,” said Akerson. “It underscores the alignment between the UAW and the new GM in our efforts to drive long-term success, and gives all of our employees a direct stake in the quality of our products and our performance.”</w:t>
      </w:r>
    </w:p>
    <w:p>
      <w:pPr>
        <w:spacing w:after="0" w:line="99"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The agreement is expected to have a limited impact on GM’s fixed cost. Instead, it recognizes hourly employees with a simpler and more transparent profit sharing plan that directly aligns with the company’s performance. In addition, a new quality performance-based bonus is being implemented that will give employees an opportunity to benefit from improvements in the initial quality of GM vehicles.</w:t>
      </w:r>
    </w:p>
    <w:p>
      <w:pPr>
        <w:spacing w:after="0" w:line="110"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auto"/>
        </w:rPr>
        <w:t>Importantly, it protects GM’s low break-even level in the event of a U.S. industry downturn, and preserves GM’s fortress balance sheet, with no pension increases and the capping of the hourly defined benefit pension plan population.</w:t>
      </w:r>
    </w:p>
    <w:p>
      <w:pPr>
        <w:spacing w:after="0" w:line="99" w:lineRule="exact"/>
        <w:rPr>
          <w:sz w:val="20"/>
          <w:szCs w:val="20"/>
          <w:color w:val="auto"/>
        </w:rPr>
      </w:pPr>
    </w:p>
    <w:p>
      <w:pPr>
        <w:ind w:right="180"/>
        <w:spacing w:after="0" w:line="291" w:lineRule="auto"/>
        <w:rPr>
          <w:sz w:val="20"/>
          <w:szCs w:val="20"/>
          <w:color w:val="auto"/>
        </w:rPr>
      </w:pPr>
      <w:r>
        <w:rPr>
          <w:rFonts w:ascii="Arial" w:cs="Arial" w:eastAsia="Arial" w:hAnsi="Arial"/>
          <w:sz w:val="15"/>
          <w:szCs w:val="15"/>
          <w:color w:val="auto"/>
        </w:rPr>
        <w:t>“GM and the UAW remain steadfast in our commitment to strengthen the U.S. manufacturing base, create good-paying jobs and build the high-quality, fuel-efficient cars and trucks our customers deserve,” said Akerson.</w:t>
      </w:r>
    </w:p>
    <w:p>
      <w:pPr>
        <w:spacing w:after="0" w:line="99" w:lineRule="exact"/>
        <w:rPr>
          <w:sz w:val="20"/>
          <w:szCs w:val="20"/>
          <w:color w:val="auto"/>
        </w:rPr>
      </w:pPr>
    </w:p>
    <w:p>
      <w:pPr>
        <w:ind w:right="340"/>
        <w:spacing w:after="0" w:line="291" w:lineRule="auto"/>
        <w:rPr>
          <w:sz w:val="20"/>
          <w:szCs w:val="20"/>
          <w:color w:val="auto"/>
        </w:rPr>
      </w:pPr>
      <w:r>
        <w:rPr>
          <w:rFonts w:ascii="Arial" w:cs="Arial" w:eastAsia="Arial" w:hAnsi="Arial"/>
          <w:sz w:val="15"/>
          <w:szCs w:val="15"/>
          <w:color w:val="auto"/>
        </w:rPr>
        <w:t>In addition to the $5.1 billion GM has invested in products and plants, and 13,000 jobs it has created or retained in the U.S. since August 2009, the company plans to make additional manufacturing investments of more than $2 billion to create or retain more than 6,300 jobs during the four-year agreement period.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Additional details about the agreement can be found on the GM Investor Relations web site at </w:t>
      </w:r>
      <w:r>
        <w:rPr>
          <w:rFonts w:ascii="Arial" w:cs="Arial" w:eastAsia="Arial" w:hAnsi="Arial"/>
          <w:sz w:val="15"/>
          <w:szCs w:val="15"/>
          <w:u w:val="single" w:color="auto"/>
          <w:color w:val="auto"/>
        </w:rPr>
        <w:t>www.gm.com/investors</w:t>
      </w:r>
      <w:r>
        <w:rPr>
          <w:rFonts w:ascii="Arial" w:cs="Arial" w:eastAsia="Arial" w:hAnsi="Arial"/>
          <w:sz w:val="15"/>
          <w:szCs w:val="15"/>
          <w:color w:val="auto"/>
        </w:rPr>
        <w:t>.</w:t>
      </w:r>
    </w:p>
    <w:p>
      <w:pPr>
        <w:sectPr>
          <w:pgSz w:w="11900" w:h="16838" w:orient="portrait"/>
          <w:cols w:equalWidth="0" w:num="1">
            <w:col w:w="11440"/>
          </w:cols>
          <w:pgMar w:left="240" w:top="128" w:right="219" w:bottom="1440" w:gutter="0" w:footer="0" w:header="0"/>
        </w:sectPr>
      </w:pPr>
    </w:p>
    <w:bookmarkStart w:id="5" w:name="page6"/>
    <w:bookmarkEnd w:id="5"/>
    <w:p>
      <w:pPr>
        <w:ind w:right="180"/>
        <w:spacing w:after="0" w:line="29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(NYSE:GM, TSX: GMM), one of the world’s largest automakers, traces its roots back to 1908. With its global headquarters in Detroit, GM employs 208,000 people in every major region of the world and does business in more than 120 countries. GM and its strategic partners produce cars and trucks in 30 countries, and sell and service these vehicles through the following brands: Baojun, Buick, Cadillac, Chevrolet, GMC, Daewoo, Holden, Isuzu, Jiefang, Opel, Vauxhall, and Wuling. The global Chevrolet brand celebrates its 100th anniversary in 2011. GM’s largest national market is China, followed by the United States, Brazil, the United Kingdom, Germany, Canada, and Italy. GM’s OnStar subsidiary is the industry leader in vehicle safety, security and information services. More information on the new General Motors can be found at www.gm.com.</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90"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Kim Carpenter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Labor Communication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Cell 248-836-7731</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kimberly.carpenter@gm.com</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Reneé Rashid-Merem</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Financial Communication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Office 313-665-3128</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Cell 313-701-8560</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renee.rashid-merem@gm.com</w:t>
      </w:r>
    </w:p>
    <w:p>
      <w:pPr>
        <w:sectPr>
          <w:pgSz w:w="11900" w:h="16838" w:orient="portrait"/>
          <w:cols w:equalWidth="0" w:num="1">
            <w:col w:w="11400"/>
          </w:cols>
          <w:pgMar w:left="240" w:top="262" w:right="259" w:bottom="1440" w:gutter="0" w:footer="0" w:header="0"/>
        </w:sectPr>
      </w:pPr>
    </w:p>
    <w:bookmarkStart w:id="6" w:name="page7"/>
    <w:bookmarkEnd w:id="6"/>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5382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82895"/>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48"/>
          <w:szCs w:val="48"/>
          <w:b w:val="1"/>
          <w:bCs w:val="1"/>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40"/>
        <w:spacing w:after="0"/>
        <w:rPr>
          <w:sz w:val="20"/>
          <w:szCs w:val="20"/>
          <w:color w:val="auto"/>
        </w:rPr>
      </w:pPr>
      <w:r>
        <w:rPr>
          <w:rFonts w:ascii="Arial" w:cs="Arial" w:eastAsia="Arial" w:hAnsi="Arial"/>
          <w:sz w:val="48"/>
          <w:szCs w:val="48"/>
          <w:b w:val="1"/>
          <w:bCs w:val="1"/>
          <w:color w:val="auto"/>
        </w:rPr>
        <w:t>2011 GM-UAW Labor Agreement</w:t>
      </w:r>
    </w:p>
    <w:p>
      <w:pPr>
        <w:spacing w:after="0" w:line="200" w:lineRule="exact"/>
        <w:rPr>
          <w:sz w:val="20"/>
          <w:szCs w:val="20"/>
          <w:color w:val="auto"/>
        </w:rPr>
      </w:pPr>
    </w:p>
    <w:p>
      <w:pPr>
        <w:spacing w:after="0" w:line="215" w:lineRule="exact"/>
        <w:rPr>
          <w:sz w:val="20"/>
          <w:szCs w:val="20"/>
          <w:color w:val="auto"/>
        </w:rPr>
      </w:pPr>
    </w:p>
    <w:p>
      <w:pPr>
        <w:ind w:left="2860"/>
        <w:spacing w:after="0"/>
        <w:rPr>
          <w:sz w:val="20"/>
          <w:szCs w:val="20"/>
          <w:color w:val="auto"/>
        </w:rPr>
      </w:pPr>
      <w:r>
        <w:rPr>
          <w:rFonts w:ascii="Arial" w:cs="Arial" w:eastAsia="Arial" w:hAnsi="Arial"/>
          <w:sz w:val="38"/>
          <w:szCs w:val="38"/>
          <w:color w:val="auto"/>
        </w:rPr>
        <w:t>September 28, 2011</w:t>
      </w:r>
    </w:p>
    <w:p>
      <w:pPr>
        <w:sectPr>
          <w:pgSz w:w="11900" w:h="16838" w:orient="portrait"/>
          <w:cols w:equalWidth="0" w:num="1">
            <w:col w:w="10120"/>
          </w:cols>
          <w:pgMar w:left="1440" w:top="263"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Forward Looking Statements</w:t>
      </w:r>
    </w:p>
    <w:p>
      <w:pPr>
        <w:spacing w:after="0" w:line="200" w:lineRule="exact"/>
        <w:rPr>
          <w:sz w:val="20"/>
          <w:szCs w:val="20"/>
          <w:color w:val="auto"/>
        </w:rPr>
      </w:pPr>
    </w:p>
    <w:p>
      <w:pPr>
        <w:spacing w:after="0" w:line="268" w:lineRule="exact"/>
        <w:rPr>
          <w:sz w:val="20"/>
          <w:szCs w:val="20"/>
          <w:color w:val="auto"/>
        </w:rPr>
      </w:pPr>
    </w:p>
    <w:p>
      <w:pPr>
        <w:ind w:right="320"/>
        <w:spacing w:after="0" w:line="265" w:lineRule="auto"/>
        <w:rPr>
          <w:sz w:val="20"/>
          <w:szCs w:val="20"/>
          <w:color w:val="auto"/>
        </w:rPr>
      </w:pPr>
      <w:r>
        <w:rPr>
          <w:rFonts w:ascii="Arial" w:cs="Arial" w:eastAsia="Arial" w:hAnsi="Arial"/>
          <w:sz w:val="24"/>
          <w:szCs w:val="24"/>
          <w:i w:val="1"/>
          <w:iCs w:val="1"/>
          <w:color w:val="auto"/>
        </w:rPr>
        <w:t>In this presentation and in related comments by our management, our use of the words “expect,” “anticipate,” “possible,” “potential,” “target,” “believe,” “commit,” “intend,” “continue,” “may,” “would,” “could,” “should,” “project,” “projected,” “positioned” or similar expressions is intended to identify forward 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suppliers’ ability to deliver parts, systems and components at such times to allow us to meet production schedules; our ability to maintain adequate liquidity and financing sources and an appropriate level of debt, including as required to fund our planned significant investment in new technology; our ability to realize successful vehicle applications of new technology; and our ability to continue to attract new customers, particularly for our new products.</w:t>
      </w:r>
    </w:p>
    <w:p>
      <w:pPr>
        <w:spacing w:after="0" w:line="251" w:lineRule="exact"/>
        <w:rPr>
          <w:sz w:val="20"/>
          <w:szCs w:val="20"/>
          <w:color w:val="auto"/>
        </w:rPr>
      </w:pPr>
    </w:p>
    <w:p>
      <w:pPr>
        <w:ind w:right="1080"/>
        <w:spacing w:after="0" w:line="270" w:lineRule="auto"/>
        <w:rPr>
          <w:sz w:val="20"/>
          <w:szCs w:val="20"/>
          <w:color w:val="auto"/>
        </w:rPr>
      </w:pPr>
      <w:r>
        <w:rPr>
          <w:rFonts w:ascii="Arial" w:cs="Arial" w:eastAsia="Arial" w:hAnsi="Arial"/>
          <w:sz w:val="25"/>
          <w:szCs w:val="25"/>
          <w:i w:val="1"/>
          <w:iCs w:val="1"/>
          <w:color w:val="auto"/>
        </w:rPr>
        <w:t>GM's most recent annual report on Form 10-K and quarterly report on Form 10-Q provides information about these and other factors, which we may revise or supplement in future reports to the SEC.</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1</w:t>
      </w:r>
    </w:p>
    <w:p>
      <w:pPr>
        <w:sectPr>
          <w:pgSz w:w="11900" w:h="16838" w:orient="portrait"/>
          <w:cols w:equalWidth="0" w:num="1">
            <w:col w:w="9920"/>
          </w:cols>
          <w:pgMar w:left="760" w:top="527" w:right="1219" w:bottom="1440" w:gutter="0" w:footer="0" w:header="0"/>
        </w:sectPr>
      </w:pPr>
    </w:p>
    <w:bookmarkStart w:id="8" w:name="page9"/>
    <w:bookmarkEnd w:id="8"/>
    <w:p>
      <w:pPr>
        <w:ind w:left="927"/>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Key Takeaways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7" w:hanging="347"/>
        <w:spacing w:after="0"/>
        <w:tabs>
          <w:tab w:leader="none" w:pos="347" w:val="left"/>
        </w:tabs>
        <w:numPr>
          <w:ilvl w:val="0"/>
          <w:numId w:val="2"/>
        </w:numPr>
        <w:rPr>
          <w:rFonts w:ascii="Arial" w:cs="Arial" w:eastAsia="Arial" w:hAnsi="Arial"/>
          <w:sz w:val="44"/>
          <w:szCs w:val="44"/>
          <w:color w:val="auto"/>
        </w:rPr>
      </w:pPr>
      <w:r>
        <w:rPr>
          <w:rFonts w:ascii="Arial" w:cs="Arial" w:eastAsia="Arial" w:hAnsi="Arial"/>
          <w:sz w:val="44"/>
          <w:szCs w:val="44"/>
          <w:color w:val="auto"/>
        </w:rPr>
        <w:t>Maintained GMNA break-even point</w:t>
      </w:r>
    </w:p>
    <w:p>
      <w:pPr>
        <w:spacing w:after="0" w:line="200" w:lineRule="exact"/>
        <w:rPr>
          <w:rFonts w:ascii="Arial" w:cs="Arial" w:eastAsia="Arial" w:hAnsi="Arial"/>
          <w:sz w:val="44"/>
          <w:szCs w:val="44"/>
          <w:color w:val="auto"/>
        </w:rPr>
      </w:pPr>
    </w:p>
    <w:p>
      <w:pPr>
        <w:spacing w:after="0" w:line="222" w:lineRule="exact"/>
        <w:rPr>
          <w:rFonts w:ascii="Arial" w:cs="Arial" w:eastAsia="Arial" w:hAnsi="Arial"/>
          <w:sz w:val="44"/>
          <w:szCs w:val="44"/>
          <w:color w:val="auto"/>
        </w:rPr>
      </w:pPr>
    </w:p>
    <w:p>
      <w:pPr>
        <w:ind w:left="347" w:hanging="347"/>
        <w:spacing w:after="0"/>
        <w:tabs>
          <w:tab w:leader="none" w:pos="347" w:val="left"/>
        </w:tabs>
        <w:numPr>
          <w:ilvl w:val="0"/>
          <w:numId w:val="2"/>
        </w:numPr>
        <w:rPr>
          <w:rFonts w:ascii="Arial" w:cs="Arial" w:eastAsia="Arial" w:hAnsi="Arial"/>
          <w:sz w:val="44"/>
          <w:szCs w:val="44"/>
          <w:color w:val="auto"/>
        </w:rPr>
      </w:pPr>
      <w:r>
        <w:rPr>
          <w:rFonts w:ascii="Arial" w:cs="Arial" w:eastAsia="Arial" w:hAnsi="Arial"/>
          <w:sz w:val="44"/>
          <w:szCs w:val="44"/>
          <w:color w:val="auto"/>
        </w:rPr>
        <w:t>Minimal P &amp; L impact</w:t>
      </w:r>
    </w:p>
    <w:p>
      <w:pPr>
        <w:spacing w:after="0" w:line="200" w:lineRule="exact"/>
        <w:rPr>
          <w:rFonts w:ascii="Arial" w:cs="Arial" w:eastAsia="Arial" w:hAnsi="Arial"/>
          <w:sz w:val="44"/>
          <w:szCs w:val="44"/>
          <w:color w:val="auto"/>
        </w:rPr>
      </w:pPr>
    </w:p>
    <w:p>
      <w:pPr>
        <w:spacing w:after="0" w:line="281" w:lineRule="exact"/>
        <w:rPr>
          <w:rFonts w:ascii="Arial" w:cs="Arial" w:eastAsia="Arial" w:hAnsi="Arial"/>
          <w:sz w:val="44"/>
          <w:szCs w:val="44"/>
          <w:color w:val="auto"/>
        </w:rPr>
      </w:pPr>
    </w:p>
    <w:p>
      <w:pPr>
        <w:ind w:left="347" w:hanging="347"/>
        <w:spacing w:after="0"/>
        <w:tabs>
          <w:tab w:leader="none" w:pos="347" w:val="left"/>
        </w:tabs>
        <w:numPr>
          <w:ilvl w:val="0"/>
          <w:numId w:val="2"/>
        </w:numPr>
        <w:rPr>
          <w:rFonts w:ascii="Arial" w:cs="Arial" w:eastAsia="Arial" w:hAnsi="Arial"/>
          <w:sz w:val="44"/>
          <w:szCs w:val="44"/>
          <w:color w:val="auto"/>
        </w:rPr>
      </w:pPr>
      <w:r>
        <w:rPr>
          <w:rFonts w:ascii="Arial" w:cs="Arial" w:eastAsia="Arial" w:hAnsi="Arial"/>
          <w:sz w:val="44"/>
          <w:szCs w:val="44"/>
          <w:color w:val="auto"/>
        </w:rPr>
        <w:t>Protected our balance sheet</w:t>
      </w:r>
    </w:p>
    <w:p>
      <w:pPr>
        <w:spacing w:after="0" w:line="200" w:lineRule="exact"/>
        <w:rPr>
          <w:rFonts w:ascii="Arial" w:cs="Arial" w:eastAsia="Arial" w:hAnsi="Arial"/>
          <w:sz w:val="44"/>
          <w:szCs w:val="44"/>
          <w:color w:val="auto"/>
        </w:rPr>
      </w:pPr>
    </w:p>
    <w:p>
      <w:pPr>
        <w:spacing w:after="0" w:line="269" w:lineRule="exact"/>
        <w:rPr>
          <w:rFonts w:ascii="Arial" w:cs="Arial" w:eastAsia="Arial" w:hAnsi="Arial"/>
          <w:sz w:val="44"/>
          <w:szCs w:val="44"/>
          <w:color w:val="auto"/>
        </w:rPr>
      </w:pPr>
    </w:p>
    <w:p>
      <w:pPr>
        <w:ind w:left="347" w:hanging="347"/>
        <w:spacing w:after="0"/>
        <w:tabs>
          <w:tab w:leader="none" w:pos="347" w:val="left"/>
        </w:tabs>
        <w:numPr>
          <w:ilvl w:val="0"/>
          <w:numId w:val="2"/>
        </w:numPr>
        <w:rPr>
          <w:rFonts w:ascii="Arial" w:cs="Arial" w:eastAsia="Arial" w:hAnsi="Arial"/>
          <w:sz w:val="44"/>
          <w:szCs w:val="44"/>
          <w:color w:val="auto"/>
        </w:rPr>
      </w:pPr>
      <w:r>
        <w:rPr>
          <w:rFonts w:ascii="Arial" w:cs="Arial" w:eastAsia="Arial" w:hAnsi="Arial"/>
          <w:sz w:val="44"/>
          <w:szCs w:val="44"/>
          <w:color w:val="auto"/>
        </w:rPr>
        <w:t>Increased flexibility to add U.S. jobs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2</w:t>
      </w:r>
    </w:p>
    <w:p>
      <w:pPr>
        <w:sectPr>
          <w:pgSz w:w="11900" w:h="16838" w:orient="portrait"/>
          <w:cols w:equalWidth="0" w:num="1">
            <w:col w:w="10187"/>
          </w:cols>
          <w:pgMar w:left="493" w:top="527" w:right="1219" w:bottom="1440" w:gutter="0" w:footer="0" w:header="0"/>
        </w:sectPr>
      </w:pPr>
    </w:p>
    <w:bookmarkStart w:id="9" w:name="page10"/>
    <w:bookmarkEnd w:id="9"/>
    <w:p>
      <w:pPr>
        <w:ind w:left="845"/>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2011 GM-UAW Agreement Overview</w:t>
      </w:r>
    </w:p>
    <w:p>
      <w:pPr>
        <w:spacing w:after="0" w:line="386" w:lineRule="exact"/>
        <w:rPr>
          <w:sz w:val="20"/>
          <w:szCs w:val="20"/>
          <w:color w:val="auto"/>
        </w:rPr>
      </w:pPr>
    </w:p>
    <w:p>
      <w:pPr>
        <w:ind w:left="425" w:hanging="425"/>
        <w:spacing w:after="0"/>
        <w:tabs>
          <w:tab w:leader="none" w:pos="425" w:val="left"/>
        </w:tabs>
        <w:numPr>
          <w:ilvl w:val="0"/>
          <w:numId w:val="3"/>
        </w:numPr>
        <w:rPr>
          <w:rFonts w:ascii="Arial" w:cs="Arial" w:eastAsia="Arial" w:hAnsi="Arial"/>
          <w:sz w:val="34"/>
          <w:szCs w:val="34"/>
          <w:color w:val="auto"/>
        </w:rPr>
      </w:pPr>
      <w:r>
        <w:rPr>
          <w:rFonts w:ascii="Arial" w:cs="Arial" w:eastAsia="Arial" w:hAnsi="Arial"/>
          <w:sz w:val="34"/>
          <w:szCs w:val="34"/>
          <w:color w:val="auto"/>
        </w:rPr>
        <w:t>Key non-compensation items</w:t>
      </w:r>
    </w:p>
    <w:p>
      <w:pPr>
        <w:spacing w:after="0" w:line="86" w:lineRule="exact"/>
        <w:rPr>
          <w:rFonts w:ascii="Arial" w:cs="Arial" w:eastAsia="Arial" w:hAnsi="Arial"/>
          <w:sz w:val="34"/>
          <w:szCs w:val="34"/>
          <w:color w:val="auto"/>
        </w:rPr>
      </w:pPr>
    </w:p>
    <w:p>
      <w:pPr>
        <w:ind w:left="565"/>
        <w:spacing w:after="0"/>
        <w:rPr>
          <w:rFonts w:ascii="Arial" w:cs="Arial" w:eastAsia="Arial" w:hAnsi="Arial"/>
          <w:sz w:val="34"/>
          <w:szCs w:val="34"/>
          <w:color w:val="auto"/>
        </w:rPr>
      </w:pPr>
      <w:r>
        <w:rPr>
          <w:rFonts w:ascii="Arial" w:cs="Arial" w:eastAsia="Arial" w:hAnsi="Arial"/>
          <w:sz w:val="29"/>
          <w:szCs w:val="29"/>
          <w:color w:val="auto"/>
        </w:rPr>
        <w:t>– Entry Level transitioned to Defined Contribution pension plan</w:t>
      </w:r>
    </w:p>
    <w:p>
      <w:pPr>
        <w:spacing w:after="0" w:line="78" w:lineRule="exact"/>
        <w:rPr>
          <w:rFonts w:ascii="Arial" w:cs="Arial" w:eastAsia="Arial" w:hAnsi="Arial"/>
          <w:sz w:val="34"/>
          <w:szCs w:val="34"/>
          <w:color w:val="auto"/>
        </w:rPr>
      </w:pPr>
    </w:p>
    <w:p>
      <w:pPr>
        <w:ind w:left="565"/>
        <w:spacing w:after="0"/>
        <w:rPr>
          <w:rFonts w:ascii="Arial" w:cs="Arial" w:eastAsia="Arial" w:hAnsi="Arial"/>
          <w:sz w:val="34"/>
          <w:szCs w:val="34"/>
          <w:color w:val="auto"/>
        </w:rPr>
      </w:pPr>
      <w:r>
        <w:rPr>
          <w:rFonts w:ascii="Arial" w:cs="Arial" w:eastAsia="Arial" w:hAnsi="Arial"/>
          <w:sz w:val="29"/>
          <w:szCs w:val="29"/>
          <w:color w:val="auto"/>
        </w:rPr>
        <w:t>– No pension increases</w:t>
      </w:r>
    </w:p>
    <w:p>
      <w:pPr>
        <w:spacing w:after="0" w:line="89" w:lineRule="exact"/>
        <w:rPr>
          <w:rFonts w:ascii="Arial" w:cs="Arial" w:eastAsia="Arial" w:hAnsi="Arial"/>
          <w:sz w:val="34"/>
          <w:szCs w:val="34"/>
          <w:color w:val="auto"/>
        </w:rPr>
      </w:pPr>
    </w:p>
    <w:p>
      <w:pPr>
        <w:ind w:left="565"/>
        <w:spacing w:after="0"/>
        <w:rPr>
          <w:rFonts w:ascii="Arial" w:cs="Arial" w:eastAsia="Arial" w:hAnsi="Arial"/>
          <w:sz w:val="34"/>
          <w:szCs w:val="34"/>
          <w:color w:val="auto"/>
        </w:rPr>
      </w:pPr>
      <w:r>
        <w:rPr>
          <w:rFonts w:ascii="Arial" w:cs="Arial" w:eastAsia="Arial" w:hAnsi="Arial"/>
          <w:sz w:val="29"/>
          <w:szCs w:val="29"/>
          <w:color w:val="auto"/>
        </w:rPr>
        <w:t>– Permanent elimination of “JOBs Bank”</w:t>
      </w:r>
    </w:p>
    <w:p>
      <w:pPr>
        <w:spacing w:after="0" w:line="78" w:lineRule="exact"/>
        <w:rPr>
          <w:rFonts w:ascii="Arial" w:cs="Arial" w:eastAsia="Arial" w:hAnsi="Arial"/>
          <w:sz w:val="34"/>
          <w:szCs w:val="34"/>
          <w:color w:val="auto"/>
        </w:rPr>
      </w:pPr>
    </w:p>
    <w:p>
      <w:pPr>
        <w:ind w:left="565"/>
        <w:spacing w:after="0"/>
        <w:rPr>
          <w:rFonts w:ascii="Arial" w:cs="Arial" w:eastAsia="Arial" w:hAnsi="Arial"/>
          <w:sz w:val="34"/>
          <w:szCs w:val="34"/>
          <w:color w:val="auto"/>
        </w:rPr>
      </w:pPr>
      <w:r>
        <w:rPr>
          <w:rFonts w:ascii="Arial" w:cs="Arial" w:eastAsia="Arial" w:hAnsi="Arial"/>
          <w:sz w:val="29"/>
          <w:szCs w:val="29"/>
          <w:color w:val="auto"/>
        </w:rPr>
        <w:t>– Special Attrition Program (SAP) for skilled trades</w:t>
      </w:r>
    </w:p>
    <w:p>
      <w:pPr>
        <w:spacing w:after="0" w:line="78" w:lineRule="exact"/>
        <w:rPr>
          <w:rFonts w:ascii="Arial" w:cs="Arial" w:eastAsia="Arial" w:hAnsi="Arial"/>
          <w:sz w:val="34"/>
          <w:szCs w:val="34"/>
          <w:color w:val="auto"/>
        </w:rPr>
      </w:pPr>
    </w:p>
    <w:p>
      <w:pPr>
        <w:ind w:left="565"/>
        <w:spacing w:after="0"/>
        <w:rPr>
          <w:rFonts w:ascii="Arial" w:cs="Arial" w:eastAsia="Arial" w:hAnsi="Arial"/>
          <w:sz w:val="34"/>
          <w:szCs w:val="34"/>
          <w:color w:val="auto"/>
        </w:rPr>
      </w:pPr>
      <w:r>
        <w:rPr>
          <w:rFonts w:ascii="Arial" w:cs="Arial" w:eastAsia="Arial" w:hAnsi="Arial"/>
          <w:sz w:val="29"/>
          <w:szCs w:val="29"/>
          <w:color w:val="auto"/>
        </w:rPr>
        <w:t>– Elimination of Legal Services Plan for active / retiree</w:t>
      </w:r>
    </w:p>
    <w:p>
      <w:pPr>
        <w:spacing w:after="0" w:line="164" w:lineRule="exact"/>
        <w:rPr>
          <w:rFonts w:ascii="Arial" w:cs="Arial" w:eastAsia="Arial" w:hAnsi="Arial"/>
          <w:sz w:val="34"/>
          <w:szCs w:val="34"/>
          <w:color w:val="auto"/>
        </w:rPr>
      </w:pPr>
    </w:p>
    <w:p>
      <w:pPr>
        <w:ind w:left="425" w:hanging="425"/>
        <w:spacing w:after="0"/>
        <w:tabs>
          <w:tab w:leader="none" w:pos="425" w:val="left"/>
        </w:tabs>
        <w:numPr>
          <w:ilvl w:val="0"/>
          <w:numId w:val="3"/>
        </w:numPr>
        <w:rPr>
          <w:rFonts w:ascii="Arial" w:cs="Arial" w:eastAsia="Arial" w:hAnsi="Arial"/>
          <w:sz w:val="34"/>
          <w:szCs w:val="34"/>
          <w:color w:val="auto"/>
        </w:rPr>
      </w:pPr>
      <w:r>
        <w:rPr>
          <w:rFonts w:ascii="Arial" w:cs="Arial" w:eastAsia="Arial" w:hAnsi="Arial"/>
          <w:sz w:val="34"/>
          <w:szCs w:val="34"/>
          <w:color w:val="auto"/>
        </w:rPr>
        <w:t>Key compensation items</w:t>
      </w:r>
    </w:p>
    <w:p>
      <w:pPr>
        <w:spacing w:after="0" w:line="86" w:lineRule="exact"/>
        <w:rPr>
          <w:rFonts w:ascii="Arial" w:cs="Arial" w:eastAsia="Arial" w:hAnsi="Arial"/>
          <w:sz w:val="34"/>
          <w:szCs w:val="34"/>
          <w:color w:val="auto"/>
        </w:rPr>
      </w:pPr>
    </w:p>
    <w:p>
      <w:pPr>
        <w:ind w:left="485"/>
        <w:spacing w:after="0"/>
        <w:rPr>
          <w:rFonts w:ascii="Arial" w:cs="Arial" w:eastAsia="Arial" w:hAnsi="Arial"/>
          <w:sz w:val="34"/>
          <w:szCs w:val="34"/>
          <w:color w:val="auto"/>
        </w:rPr>
      </w:pPr>
      <w:r>
        <w:rPr>
          <w:rFonts w:ascii="Arial" w:cs="Arial" w:eastAsia="Arial" w:hAnsi="Arial"/>
          <w:sz w:val="29"/>
          <w:szCs w:val="29"/>
          <w:color w:val="auto"/>
        </w:rPr>
        <w:t>–  Entry Level maximum wage rates increased</w:t>
      </w:r>
    </w:p>
    <w:p>
      <w:pPr>
        <w:spacing w:after="0" w:line="89" w:lineRule="exact"/>
        <w:rPr>
          <w:rFonts w:ascii="Arial" w:cs="Arial" w:eastAsia="Arial" w:hAnsi="Arial"/>
          <w:sz w:val="34"/>
          <w:szCs w:val="34"/>
          <w:color w:val="auto"/>
        </w:rPr>
      </w:pPr>
    </w:p>
    <w:p>
      <w:pPr>
        <w:ind w:left="485"/>
        <w:spacing w:after="0"/>
        <w:rPr>
          <w:rFonts w:ascii="Arial" w:cs="Arial" w:eastAsia="Arial" w:hAnsi="Arial"/>
          <w:sz w:val="34"/>
          <w:szCs w:val="34"/>
          <w:color w:val="auto"/>
        </w:rPr>
      </w:pPr>
      <w:r>
        <w:rPr>
          <w:rFonts w:ascii="Arial" w:cs="Arial" w:eastAsia="Arial" w:hAnsi="Arial"/>
          <w:sz w:val="29"/>
          <w:szCs w:val="29"/>
          <w:color w:val="auto"/>
        </w:rPr>
        <w:t>–  No base wage increase for Tier I employees</w:t>
      </w:r>
    </w:p>
    <w:p>
      <w:pPr>
        <w:spacing w:after="0" w:line="78" w:lineRule="exact"/>
        <w:rPr>
          <w:rFonts w:ascii="Arial" w:cs="Arial" w:eastAsia="Arial" w:hAnsi="Arial"/>
          <w:sz w:val="34"/>
          <w:szCs w:val="34"/>
          <w:color w:val="auto"/>
        </w:rPr>
      </w:pPr>
    </w:p>
    <w:p>
      <w:pPr>
        <w:ind w:left="485"/>
        <w:spacing w:after="0"/>
        <w:rPr>
          <w:rFonts w:ascii="Arial" w:cs="Arial" w:eastAsia="Arial" w:hAnsi="Arial"/>
          <w:sz w:val="34"/>
          <w:szCs w:val="34"/>
          <w:color w:val="auto"/>
        </w:rPr>
      </w:pPr>
      <w:r>
        <w:rPr>
          <w:rFonts w:ascii="Arial" w:cs="Arial" w:eastAsia="Arial" w:hAnsi="Arial"/>
          <w:sz w:val="29"/>
          <w:szCs w:val="29"/>
          <w:color w:val="auto"/>
        </w:rPr>
        <w:t>–  Cost of living (COLA) still suspended</w:t>
      </w:r>
    </w:p>
    <w:p>
      <w:pPr>
        <w:spacing w:after="0" w:line="78" w:lineRule="exact"/>
        <w:rPr>
          <w:rFonts w:ascii="Arial" w:cs="Arial" w:eastAsia="Arial" w:hAnsi="Arial"/>
          <w:sz w:val="34"/>
          <w:szCs w:val="34"/>
          <w:color w:val="auto"/>
        </w:rPr>
      </w:pPr>
    </w:p>
    <w:p>
      <w:pPr>
        <w:ind w:left="925" w:right="1280" w:hanging="423"/>
        <w:spacing w:after="0" w:line="251" w:lineRule="auto"/>
        <w:rPr>
          <w:rFonts w:ascii="Arial" w:cs="Arial" w:eastAsia="Arial" w:hAnsi="Arial"/>
          <w:sz w:val="34"/>
          <w:szCs w:val="34"/>
          <w:color w:val="auto"/>
        </w:rPr>
      </w:pPr>
      <w:r>
        <w:rPr>
          <w:rFonts w:ascii="Arial" w:cs="Arial" w:eastAsia="Arial" w:hAnsi="Arial"/>
          <w:sz w:val="29"/>
          <w:szCs w:val="29"/>
          <w:color w:val="auto"/>
        </w:rPr>
        <w:t>– Lump sums and larger ratification bonus in lieu of base wage increases</w:t>
      </w:r>
    </w:p>
    <w:p>
      <w:pPr>
        <w:spacing w:after="0" w:line="43" w:lineRule="exact"/>
        <w:rPr>
          <w:rFonts w:ascii="Arial" w:cs="Arial" w:eastAsia="Arial" w:hAnsi="Arial"/>
          <w:sz w:val="34"/>
          <w:szCs w:val="34"/>
          <w:color w:val="auto"/>
        </w:rPr>
      </w:pPr>
    </w:p>
    <w:p>
      <w:pPr>
        <w:ind w:left="485"/>
        <w:spacing w:after="0"/>
        <w:rPr>
          <w:rFonts w:ascii="Arial" w:cs="Arial" w:eastAsia="Arial" w:hAnsi="Arial"/>
          <w:sz w:val="34"/>
          <w:szCs w:val="34"/>
          <w:color w:val="auto"/>
        </w:rPr>
      </w:pPr>
      <w:r>
        <w:rPr>
          <w:rFonts w:ascii="Arial" w:cs="Arial" w:eastAsia="Arial" w:hAnsi="Arial"/>
          <w:sz w:val="29"/>
          <w:szCs w:val="29"/>
          <w:color w:val="auto"/>
        </w:rPr>
        <w:t>–  Gain sharing plan linked to quality</w:t>
      </w:r>
    </w:p>
    <w:p>
      <w:pPr>
        <w:spacing w:after="0" w:line="78" w:lineRule="exact"/>
        <w:rPr>
          <w:rFonts w:ascii="Arial" w:cs="Arial" w:eastAsia="Arial" w:hAnsi="Arial"/>
          <w:sz w:val="34"/>
          <w:szCs w:val="34"/>
          <w:color w:val="auto"/>
        </w:rPr>
      </w:pPr>
    </w:p>
    <w:p>
      <w:pPr>
        <w:ind w:left="485"/>
        <w:spacing w:after="0"/>
        <w:rPr>
          <w:rFonts w:ascii="Arial" w:cs="Arial" w:eastAsia="Arial" w:hAnsi="Arial"/>
          <w:sz w:val="34"/>
          <w:szCs w:val="34"/>
          <w:color w:val="auto"/>
        </w:rPr>
      </w:pPr>
      <w:r>
        <w:rPr>
          <w:rFonts w:ascii="Arial" w:cs="Arial" w:eastAsia="Arial" w:hAnsi="Arial"/>
          <w:sz w:val="29"/>
          <w:szCs w:val="29"/>
          <w:color w:val="auto"/>
        </w:rPr>
        <w:t>–  Simplified and transparent profit sharing formula, which is capped</w:t>
      </w:r>
    </w:p>
    <w:p>
      <w:pPr>
        <w:spacing w:after="0" w:line="139" w:lineRule="exact"/>
        <w:rPr>
          <w:rFonts w:ascii="Arial" w:cs="Arial" w:eastAsia="Arial" w:hAnsi="Arial"/>
          <w:sz w:val="34"/>
          <w:szCs w:val="34"/>
          <w:color w:val="auto"/>
        </w:rPr>
      </w:pPr>
    </w:p>
    <w:p>
      <w:pPr>
        <w:ind w:left="425" w:hanging="425"/>
        <w:spacing w:after="0"/>
        <w:tabs>
          <w:tab w:leader="none" w:pos="425" w:val="left"/>
        </w:tabs>
        <w:numPr>
          <w:ilvl w:val="0"/>
          <w:numId w:val="3"/>
        </w:numPr>
        <w:rPr>
          <w:rFonts w:ascii="Arial" w:cs="Arial" w:eastAsia="Arial" w:hAnsi="Arial"/>
          <w:sz w:val="32"/>
          <w:szCs w:val="32"/>
          <w:color w:val="auto"/>
        </w:rPr>
      </w:pPr>
      <w:r>
        <w:rPr>
          <w:rFonts w:ascii="Arial" w:cs="Arial" w:eastAsia="Arial" w:hAnsi="Arial"/>
          <w:sz w:val="32"/>
          <w:szCs w:val="32"/>
          <w:color w:val="auto"/>
        </w:rPr>
        <w:t>Strategic investment in U.S manufacturing</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3</w:t>
      </w:r>
    </w:p>
    <w:p>
      <w:pPr>
        <w:sectPr>
          <w:pgSz w:w="11900" w:h="16838" w:orient="portrait"/>
          <w:cols w:equalWidth="0" w:num="1">
            <w:col w:w="10105"/>
          </w:cols>
          <w:pgMar w:left="575" w:top="527" w:right="1219" w:bottom="1440" w:gutter="0" w:footer="0" w:header="0"/>
        </w:sectPr>
      </w:pPr>
    </w:p>
    <w:bookmarkStart w:id="10" w:name="page11"/>
    <w:bookmarkEnd w:id="10"/>
    <w:p>
      <w:pPr>
        <w:ind w:left="1020"/>
        <w:spacing w:after="0"/>
        <w:rPr>
          <w:sz w:val="20"/>
          <w:szCs w:val="20"/>
          <w:color w:val="auto"/>
        </w:rPr>
      </w:pPr>
      <w:r>
        <w:rPr>
          <w:rFonts w:ascii="Arial" w:cs="Arial" w:eastAsia="Arial" w:hAnsi="Arial"/>
          <w:sz w:val="42"/>
          <w:szCs w:val="42"/>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Profit Sharing Comparison</w:t>
      </w:r>
    </w:p>
    <w:p>
      <w:pPr>
        <w:sectPr>
          <w:pgSz w:w="11900" w:h="16838" w:orient="portrait"/>
          <w:cols w:equalWidth="0" w:num="1">
            <w:col w:w="10300"/>
          </w:cols>
          <w:pgMar w:left="500" w:top="527" w:right="109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380"/>
        <w:spacing w:after="0"/>
        <w:rPr>
          <w:sz w:val="20"/>
          <w:szCs w:val="20"/>
          <w:color w:val="auto"/>
        </w:rPr>
      </w:pPr>
      <w:r>
        <w:rPr>
          <w:rFonts w:ascii="Arial" w:cs="Arial" w:eastAsia="Arial" w:hAnsi="Arial"/>
          <w:sz w:val="28"/>
          <w:szCs w:val="28"/>
          <w:color w:val="auto"/>
        </w:rPr>
        <w:t>$20,000</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28"/>
          <w:szCs w:val="28"/>
          <w:color w:val="auto"/>
        </w:rPr>
        <w:t>$18,000</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28"/>
          <w:szCs w:val="28"/>
          <w:color w:val="auto"/>
        </w:rPr>
        <w:t>$16,000</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28"/>
          <w:szCs w:val="28"/>
          <w:color w:val="auto"/>
        </w:rPr>
        <w:t>$14,000</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28"/>
          <w:szCs w:val="28"/>
          <w:color w:val="auto"/>
        </w:rPr>
        <w:t>$12,000</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28"/>
          <w:szCs w:val="28"/>
          <w:color w:val="auto"/>
        </w:rPr>
        <w:t>$10,000</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28"/>
          <w:szCs w:val="28"/>
          <w:color w:val="auto"/>
        </w:rPr>
        <w:t>$8,000</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28"/>
          <w:szCs w:val="28"/>
          <w:color w:val="auto"/>
        </w:rPr>
        <w:t>$6,000</w:t>
      </w:r>
    </w:p>
    <w:p>
      <w:pPr>
        <w:spacing w:after="0" w:line="207" w:lineRule="exact"/>
        <w:rPr>
          <w:sz w:val="20"/>
          <w:szCs w:val="20"/>
          <w:color w:val="auto"/>
        </w:rPr>
      </w:pPr>
    </w:p>
    <w:p>
      <w:pPr>
        <w:jc w:val="center"/>
        <w:ind w:right="1660"/>
        <w:spacing w:after="0"/>
        <w:rPr>
          <w:sz w:val="20"/>
          <w:szCs w:val="20"/>
          <w:color w:val="auto"/>
        </w:rPr>
      </w:pPr>
      <w:r>
        <w:rPr>
          <w:rFonts w:ascii="Arial" w:cs="Arial" w:eastAsia="Arial" w:hAnsi="Arial"/>
          <w:sz w:val="28"/>
          <w:szCs w:val="28"/>
          <w:color w:val="auto"/>
        </w:rPr>
        <w:t>$4,000</w:t>
      </w:r>
    </w:p>
    <w:p>
      <w:pPr>
        <w:spacing w:after="0" w:line="184" w:lineRule="exact"/>
        <w:rPr>
          <w:sz w:val="20"/>
          <w:szCs w:val="20"/>
          <w:color w:val="auto"/>
        </w:rPr>
      </w:pPr>
    </w:p>
    <w:p>
      <w:pPr>
        <w:jc w:val="center"/>
        <w:ind w:right="1660"/>
        <w:spacing w:after="0"/>
        <w:rPr>
          <w:sz w:val="20"/>
          <w:szCs w:val="20"/>
          <w:color w:val="auto"/>
        </w:rPr>
      </w:pPr>
      <w:r>
        <w:rPr>
          <w:rFonts w:ascii="Arial" w:cs="Arial" w:eastAsia="Arial" w:hAnsi="Arial"/>
          <w:sz w:val="28"/>
          <w:szCs w:val="28"/>
          <w:color w:val="auto"/>
        </w:rPr>
        <w:t>$2,000</w:t>
      </w:r>
    </w:p>
    <w:p>
      <w:pPr>
        <w:spacing w:after="0" w:line="184" w:lineRule="exact"/>
        <w:rPr>
          <w:sz w:val="20"/>
          <w:szCs w:val="20"/>
          <w:color w:val="auto"/>
        </w:rPr>
      </w:pPr>
    </w:p>
    <w:p>
      <w:pPr>
        <w:jc w:val="center"/>
        <w:ind w:right="1700"/>
        <w:spacing w:after="0"/>
        <w:rPr>
          <w:sz w:val="20"/>
          <w:szCs w:val="20"/>
          <w:color w:val="auto"/>
        </w:rPr>
      </w:pPr>
      <w:r>
        <w:rPr>
          <w:rFonts w:ascii="Arial" w:cs="Arial" w:eastAsia="Arial" w:hAnsi="Arial"/>
          <w:sz w:val="28"/>
          <w:szCs w:val="28"/>
          <w:color w:val="auto"/>
        </w:rPr>
        <w:t>$-</w:t>
      </w:r>
    </w:p>
    <w:p>
      <w:pPr>
        <w:spacing w:after="0" w:line="101" w:lineRule="exact"/>
        <w:rPr>
          <w:sz w:val="20"/>
          <w:szCs w:val="20"/>
          <w:color w:val="auto"/>
        </w:rPr>
      </w:pPr>
    </w:p>
    <w:p>
      <w:pPr>
        <w:ind w:left="1640"/>
        <w:spacing w:after="0"/>
        <w:rPr>
          <w:sz w:val="20"/>
          <w:szCs w:val="20"/>
          <w:color w:val="auto"/>
        </w:rPr>
      </w:pPr>
      <w:r>
        <w:rPr>
          <w:rFonts w:ascii="Arial" w:cs="Arial" w:eastAsia="Arial" w:hAnsi="Arial"/>
          <w:sz w:val="28"/>
          <w:szCs w:val="28"/>
          <w:color w:val="auto"/>
        </w:rPr>
        <w:t>0</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 Estimate based on U.S. eligible profits as defined by old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32"/>
          <w:szCs w:val="32"/>
          <w:color w:val="7F7F7F"/>
        </w:rPr>
        <w:t>Old*</w:t>
      </w:r>
    </w:p>
    <w:p>
      <w:pPr>
        <w:spacing w:after="0" w:line="37" w:lineRule="exact"/>
        <w:rPr>
          <w:sz w:val="20"/>
          <w:szCs w:val="20"/>
          <w:color w:val="auto"/>
        </w:rPr>
      </w:pPr>
    </w:p>
    <w:p>
      <w:pPr>
        <w:ind w:left="2620"/>
        <w:spacing w:after="0"/>
        <w:rPr>
          <w:sz w:val="20"/>
          <w:szCs w:val="20"/>
          <w:color w:val="auto"/>
        </w:rPr>
      </w:pPr>
      <w:r>
        <w:rPr>
          <w:rFonts w:ascii="Arial" w:cs="Arial" w:eastAsia="Arial" w:hAnsi="Arial"/>
          <w:sz w:val="25"/>
          <w:szCs w:val="25"/>
          <w:color w:val="7F7F7F"/>
        </w:rPr>
        <w:t>(Not Capped)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2679"/>
        <w:spacing w:after="0"/>
        <w:rPr>
          <w:sz w:val="20"/>
          <w:szCs w:val="20"/>
          <w:color w:val="auto"/>
        </w:rPr>
      </w:pPr>
      <w:r>
        <w:rPr>
          <w:rFonts w:ascii="Arial" w:cs="Arial" w:eastAsia="Arial" w:hAnsi="Arial"/>
          <w:sz w:val="38"/>
          <w:szCs w:val="38"/>
          <w:b w:val="1"/>
          <w:bCs w:val="1"/>
          <w:color w:val="0070C0"/>
        </w:rPr>
        <w:t>New</w:t>
      </w:r>
    </w:p>
    <w:p>
      <w:pPr>
        <w:spacing w:after="0" w:line="49" w:lineRule="exact"/>
        <w:rPr>
          <w:sz w:val="20"/>
          <w:szCs w:val="20"/>
          <w:color w:val="auto"/>
        </w:rPr>
      </w:pPr>
    </w:p>
    <w:p>
      <w:pPr>
        <w:ind w:left="4440"/>
        <w:spacing w:after="0"/>
        <w:rPr>
          <w:sz w:val="20"/>
          <w:szCs w:val="20"/>
          <w:color w:val="auto"/>
        </w:rPr>
      </w:pPr>
      <w:r>
        <w:rPr>
          <w:rFonts w:ascii="Arial" w:cs="Arial" w:eastAsia="Arial" w:hAnsi="Arial"/>
          <w:sz w:val="28"/>
          <w:szCs w:val="28"/>
          <w:b w:val="1"/>
          <w:bCs w:val="1"/>
          <w:color w:val="0070C0"/>
        </w:rPr>
        <w:t>(Capped)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40"/>
        <w:spacing w:after="0"/>
        <w:tabs>
          <w:tab w:leader="none" w:pos="2620" w:val="left"/>
          <w:tab w:leader="none" w:pos="5140" w:val="left"/>
        </w:tabs>
        <w:rPr>
          <w:sz w:val="20"/>
          <w:szCs w:val="20"/>
          <w:color w:val="auto"/>
        </w:rPr>
      </w:pPr>
      <w:r>
        <w:rPr>
          <w:rFonts w:ascii="Arial" w:cs="Arial" w:eastAsia="Arial" w:hAnsi="Arial"/>
          <w:sz w:val="28"/>
          <w:szCs w:val="28"/>
          <w:color w:val="auto"/>
        </w:rPr>
        <w:t>5</w:t>
      </w:r>
      <w:r>
        <w:rPr>
          <w:sz w:val="20"/>
          <w:szCs w:val="20"/>
          <w:color w:val="auto"/>
        </w:rPr>
        <w:tab/>
      </w:r>
      <w:r>
        <w:rPr>
          <w:rFonts w:ascii="Arial" w:cs="Arial" w:eastAsia="Arial" w:hAnsi="Arial"/>
          <w:sz w:val="28"/>
          <w:szCs w:val="28"/>
          <w:color w:val="auto"/>
        </w:rPr>
        <w:t>10</w:t>
      </w:r>
      <w:r>
        <w:rPr>
          <w:sz w:val="20"/>
          <w:szCs w:val="20"/>
          <w:color w:val="auto"/>
        </w:rPr>
        <w:tab/>
      </w:r>
      <w:r>
        <w:rPr>
          <w:rFonts w:ascii="Arial" w:cs="Arial" w:eastAsia="Arial" w:hAnsi="Arial"/>
          <w:sz w:val="28"/>
          <w:szCs w:val="28"/>
          <w:color w:val="auto"/>
        </w:rPr>
        <w:t>15</w:t>
      </w:r>
    </w:p>
    <w:p>
      <w:pPr>
        <w:spacing w:after="0" w:line="10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GMNA EBIT Adjusted ($B)</w:t>
      </w:r>
    </w:p>
    <w:p>
      <w:pPr>
        <w:spacing w:after="0" w:line="28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4</w:t>
      </w:r>
    </w:p>
    <w:p>
      <w:pPr>
        <w:sectPr>
          <w:pgSz w:w="11900" w:h="16838" w:orient="portrait"/>
          <w:cols w:equalWidth="0" w:num="2">
            <w:col w:w="3580" w:space="360"/>
            <w:col w:w="6360"/>
          </w:cols>
          <w:pgMar w:left="500" w:top="527" w:right="1099" w:bottom="1440" w:gutter="0" w:footer="0" w:header="0"/>
          <w:type w:val="continuous"/>
        </w:sectPr>
      </w:pPr>
    </w:p>
    <w:bookmarkStart w:id="11" w:name="page12"/>
    <w:bookmarkEnd w:id="11"/>
    <w:p>
      <w:pPr>
        <w:ind w:left="96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U.S. Hourly Workforce Demographics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 w:right="1040" w:hanging="417"/>
        <w:spacing w:after="0" w:line="300" w:lineRule="auto"/>
        <w:tabs>
          <w:tab w:leader="none" w:pos="520" w:val="left"/>
        </w:tabs>
        <w:numPr>
          <w:ilvl w:val="0"/>
          <w:numId w:val="4"/>
        </w:numPr>
        <w:rPr>
          <w:rFonts w:ascii="Arial" w:cs="Arial" w:eastAsia="Arial" w:hAnsi="Arial"/>
          <w:sz w:val="32"/>
          <w:szCs w:val="32"/>
          <w:color w:val="auto"/>
        </w:rPr>
      </w:pPr>
      <w:r>
        <w:rPr>
          <w:rFonts w:ascii="Arial" w:cs="Arial" w:eastAsia="Arial" w:hAnsi="Arial"/>
          <w:sz w:val="32"/>
          <w:szCs w:val="32"/>
          <w:color w:val="auto"/>
        </w:rPr>
        <w:t>$10K retirement incentive for all eligible employees who retire between October 1, 2011 and September 1, 2013</w:t>
      </w:r>
    </w:p>
    <w:p>
      <w:pPr>
        <w:spacing w:after="0" w:line="67" w:lineRule="exact"/>
        <w:rPr>
          <w:rFonts w:ascii="Arial" w:cs="Arial" w:eastAsia="Arial" w:hAnsi="Arial"/>
          <w:sz w:val="32"/>
          <w:szCs w:val="32"/>
          <w:color w:val="auto"/>
        </w:rPr>
      </w:pPr>
    </w:p>
    <w:p>
      <w:pPr>
        <w:ind w:left="520" w:hanging="417"/>
        <w:spacing w:after="0"/>
        <w:tabs>
          <w:tab w:leader="none" w:pos="520" w:val="left"/>
        </w:tabs>
        <w:numPr>
          <w:ilvl w:val="0"/>
          <w:numId w:val="4"/>
        </w:numPr>
        <w:rPr>
          <w:rFonts w:ascii="Arial" w:cs="Arial" w:eastAsia="Arial" w:hAnsi="Arial"/>
          <w:sz w:val="32"/>
          <w:szCs w:val="32"/>
          <w:color w:val="auto"/>
        </w:rPr>
      </w:pPr>
      <w:r>
        <w:rPr>
          <w:rFonts w:ascii="Arial" w:cs="Arial" w:eastAsia="Arial" w:hAnsi="Arial"/>
          <w:sz w:val="32"/>
          <w:szCs w:val="32"/>
          <w:color w:val="auto"/>
        </w:rPr>
        <w:t>Special Attrition Program for skilled trades</w:t>
      </w:r>
    </w:p>
    <w:p>
      <w:pPr>
        <w:spacing w:after="0" w:line="204" w:lineRule="exact"/>
        <w:rPr>
          <w:rFonts w:ascii="Arial" w:cs="Arial" w:eastAsia="Arial" w:hAnsi="Arial"/>
          <w:sz w:val="32"/>
          <w:szCs w:val="32"/>
          <w:color w:val="auto"/>
        </w:rPr>
      </w:pPr>
    </w:p>
    <w:p>
      <w:pPr>
        <w:ind w:left="660"/>
        <w:spacing w:after="0"/>
        <w:rPr>
          <w:rFonts w:ascii="Arial" w:cs="Arial" w:eastAsia="Arial" w:hAnsi="Arial"/>
          <w:sz w:val="32"/>
          <w:szCs w:val="32"/>
          <w:color w:val="auto"/>
        </w:rPr>
      </w:pPr>
      <w:r>
        <w:rPr>
          <w:rFonts w:ascii="Arial" w:cs="Arial" w:eastAsia="Arial" w:hAnsi="Arial"/>
          <w:sz w:val="28"/>
          <w:szCs w:val="28"/>
          <w:color w:val="auto"/>
        </w:rPr>
        <w:t>– Incremental $65K retirement incentive if retired by March 31, 2012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411"/>
        </w:trPr>
        <w:tc>
          <w:tcPr>
            <w:tcW w:w="5020" w:type="dxa"/>
            <w:vAlign w:val="bottom"/>
          </w:tcPr>
          <w:p>
            <w:pPr>
              <w:spacing w:after="0"/>
              <w:rPr>
                <w:sz w:val="20"/>
                <w:szCs w:val="20"/>
                <w:color w:val="auto"/>
              </w:rPr>
            </w:pPr>
            <w:r>
              <w:rPr>
                <w:rFonts w:ascii="Arial" w:cs="Arial" w:eastAsia="Arial" w:hAnsi="Arial"/>
                <w:sz w:val="32"/>
                <w:szCs w:val="32"/>
                <w:color w:val="auto"/>
              </w:rPr>
              <w:t>% of U.S. Hourly Workforce</w:t>
            </w:r>
          </w:p>
        </w:tc>
        <w:tc>
          <w:tcPr>
            <w:tcW w:w="2220" w:type="dxa"/>
            <w:vAlign w:val="bottom"/>
          </w:tcPr>
          <w:p>
            <w:pPr>
              <w:jc w:val="center"/>
              <w:spacing w:after="0"/>
              <w:rPr>
                <w:sz w:val="20"/>
                <w:szCs w:val="20"/>
                <w:color w:val="auto"/>
              </w:rPr>
            </w:pPr>
            <w:r>
              <w:rPr>
                <w:rFonts w:ascii="Arial" w:cs="Arial" w:eastAsia="Arial" w:hAnsi="Arial"/>
                <w:sz w:val="34"/>
                <w:szCs w:val="34"/>
                <w:color w:val="auto"/>
              </w:rPr>
              <w:t>Production</w:t>
            </w:r>
          </w:p>
        </w:tc>
        <w:tc>
          <w:tcPr>
            <w:tcW w:w="1460" w:type="dxa"/>
            <w:vAlign w:val="bottom"/>
          </w:tcPr>
          <w:p>
            <w:pPr>
              <w:jc w:val="center"/>
              <w:spacing w:after="0"/>
              <w:rPr>
                <w:sz w:val="20"/>
                <w:szCs w:val="20"/>
                <w:color w:val="auto"/>
              </w:rPr>
            </w:pPr>
            <w:r>
              <w:rPr>
                <w:rFonts w:ascii="Arial" w:cs="Arial" w:eastAsia="Arial" w:hAnsi="Arial"/>
                <w:sz w:val="34"/>
                <w:szCs w:val="34"/>
                <w:color w:val="auto"/>
                <w:w w:val="99"/>
              </w:rPr>
              <w:t>Skilled</w:t>
            </w:r>
          </w:p>
        </w:tc>
        <w:tc>
          <w:tcPr>
            <w:tcW w:w="1000" w:type="dxa"/>
            <w:vAlign w:val="bottom"/>
          </w:tcPr>
          <w:p>
            <w:pPr>
              <w:jc w:val="right"/>
              <w:spacing w:after="0"/>
              <w:rPr>
                <w:sz w:val="20"/>
                <w:szCs w:val="20"/>
                <w:color w:val="auto"/>
              </w:rPr>
            </w:pPr>
            <w:r>
              <w:rPr>
                <w:rFonts w:ascii="Arial" w:cs="Arial" w:eastAsia="Arial" w:hAnsi="Arial"/>
                <w:sz w:val="34"/>
                <w:szCs w:val="34"/>
                <w:color w:val="auto"/>
              </w:rPr>
              <w:t>Total</w:t>
            </w:r>
          </w:p>
        </w:tc>
        <w:tc>
          <w:tcPr>
            <w:tcW w:w="0" w:type="dxa"/>
            <w:vAlign w:val="bottom"/>
          </w:tcPr>
          <w:p>
            <w:pPr>
              <w:spacing w:after="0"/>
              <w:rPr>
                <w:sz w:val="1"/>
                <w:szCs w:val="1"/>
                <w:color w:val="auto"/>
              </w:rPr>
            </w:pPr>
          </w:p>
        </w:tc>
      </w:tr>
      <w:tr>
        <w:trPr>
          <w:trHeight w:val="799"/>
        </w:trPr>
        <w:tc>
          <w:tcPr>
            <w:tcW w:w="5020" w:type="dxa"/>
            <w:vAlign w:val="bottom"/>
          </w:tcPr>
          <w:p>
            <w:pPr>
              <w:spacing w:after="0"/>
              <w:rPr>
                <w:sz w:val="20"/>
                <w:szCs w:val="20"/>
                <w:color w:val="auto"/>
              </w:rPr>
            </w:pPr>
            <w:r>
              <w:rPr>
                <w:rFonts w:ascii="Arial" w:cs="Arial" w:eastAsia="Arial" w:hAnsi="Arial"/>
                <w:sz w:val="34"/>
                <w:szCs w:val="34"/>
                <w:color w:val="auto"/>
              </w:rPr>
              <w:t>Retirement Eligible – All Types</w:t>
            </w:r>
          </w:p>
        </w:tc>
        <w:tc>
          <w:tcPr>
            <w:tcW w:w="2220" w:type="dxa"/>
            <w:vAlign w:val="bottom"/>
          </w:tcPr>
          <w:p>
            <w:pPr>
              <w:jc w:val="right"/>
              <w:ind w:right="510"/>
              <w:spacing w:after="0"/>
              <w:rPr>
                <w:sz w:val="20"/>
                <w:szCs w:val="20"/>
                <w:color w:val="auto"/>
              </w:rPr>
            </w:pPr>
            <w:r>
              <w:rPr>
                <w:rFonts w:ascii="Arial" w:cs="Arial" w:eastAsia="Arial" w:hAnsi="Arial"/>
                <w:sz w:val="34"/>
                <w:szCs w:val="34"/>
                <w:color w:val="auto"/>
              </w:rPr>
              <w:t>34%</w:t>
            </w:r>
          </w:p>
        </w:tc>
        <w:tc>
          <w:tcPr>
            <w:tcW w:w="1460" w:type="dxa"/>
            <w:vAlign w:val="bottom"/>
          </w:tcPr>
          <w:p>
            <w:pPr>
              <w:jc w:val="right"/>
              <w:ind w:right="230"/>
              <w:spacing w:after="0"/>
              <w:rPr>
                <w:sz w:val="20"/>
                <w:szCs w:val="20"/>
                <w:color w:val="auto"/>
              </w:rPr>
            </w:pPr>
            <w:r>
              <w:rPr>
                <w:rFonts w:ascii="Arial" w:cs="Arial" w:eastAsia="Arial" w:hAnsi="Arial"/>
                <w:sz w:val="34"/>
                <w:szCs w:val="34"/>
                <w:color w:val="auto"/>
              </w:rPr>
              <w:t>58%</w:t>
            </w:r>
          </w:p>
        </w:tc>
        <w:tc>
          <w:tcPr>
            <w:tcW w:w="1000" w:type="dxa"/>
            <w:vAlign w:val="bottom"/>
          </w:tcPr>
          <w:p>
            <w:pPr>
              <w:jc w:val="right"/>
              <w:spacing w:after="0"/>
              <w:rPr>
                <w:sz w:val="20"/>
                <w:szCs w:val="20"/>
                <w:color w:val="auto"/>
              </w:rPr>
            </w:pPr>
            <w:r>
              <w:rPr>
                <w:rFonts w:ascii="Arial" w:cs="Arial" w:eastAsia="Arial" w:hAnsi="Arial"/>
                <w:sz w:val="34"/>
                <w:szCs w:val="34"/>
                <w:color w:val="auto"/>
              </w:rPr>
              <w:t>39%</w:t>
            </w:r>
          </w:p>
        </w:tc>
        <w:tc>
          <w:tcPr>
            <w:tcW w:w="0" w:type="dxa"/>
            <w:vAlign w:val="bottom"/>
          </w:tcPr>
          <w:p>
            <w:pPr>
              <w:spacing w:after="0"/>
              <w:rPr>
                <w:sz w:val="1"/>
                <w:szCs w:val="1"/>
                <w:color w:val="auto"/>
              </w:rPr>
            </w:pPr>
          </w:p>
        </w:tc>
      </w:tr>
      <w:tr>
        <w:trPr>
          <w:trHeight w:val="694"/>
        </w:trPr>
        <w:tc>
          <w:tcPr>
            <w:tcW w:w="5020" w:type="dxa"/>
            <w:vAlign w:val="bottom"/>
          </w:tcPr>
          <w:p>
            <w:pPr>
              <w:spacing w:after="0"/>
              <w:rPr>
                <w:sz w:val="20"/>
                <w:szCs w:val="20"/>
                <w:color w:val="auto"/>
              </w:rPr>
            </w:pPr>
            <w:r>
              <w:rPr>
                <w:rFonts w:ascii="Arial" w:cs="Arial" w:eastAsia="Arial" w:hAnsi="Arial"/>
                <w:sz w:val="32"/>
                <w:szCs w:val="32"/>
                <w:i w:val="1"/>
                <w:iCs w:val="1"/>
                <w:color w:val="auto"/>
              </w:rPr>
              <w:t>Memo:</w:t>
            </w:r>
          </w:p>
        </w:tc>
        <w:tc>
          <w:tcPr>
            <w:tcW w:w="2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32"/>
                <w:szCs w:val="32"/>
                <w:i w:val="1"/>
                <w:iCs w:val="1"/>
                <w:color w:val="auto"/>
              </w:rPr>
              <w:t>17%</w:t>
            </w:r>
          </w:p>
        </w:tc>
        <w:tc>
          <w:tcPr>
            <w:tcW w:w="0" w:type="dxa"/>
            <w:vAlign w:val="bottom"/>
          </w:tcPr>
          <w:p>
            <w:pPr>
              <w:spacing w:after="0"/>
              <w:rPr>
                <w:sz w:val="1"/>
                <w:szCs w:val="1"/>
                <w:color w:val="auto"/>
              </w:rPr>
            </w:pPr>
          </w:p>
        </w:tc>
      </w:tr>
      <w:tr>
        <w:trPr>
          <w:trHeight w:val="415"/>
        </w:trPr>
        <w:tc>
          <w:tcPr>
            <w:tcW w:w="5020" w:type="dxa"/>
            <w:vAlign w:val="bottom"/>
          </w:tcPr>
          <w:p>
            <w:pPr>
              <w:ind w:left="80"/>
              <w:spacing w:after="0"/>
              <w:rPr>
                <w:sz w:val="20"/>
                <w:szCs w:val="20"/>
                <w:color w:val="auto"/>
              </w:rPr>
            </w:pPr>
            <w:r>
              <w:rPr>
                <w:rFonts w:ascii="Arial" w:cs="Arial" w:eastAsia="Arial" w:hAnsi="Arial"/>
                <w:sz w:val="32"/>
                <w:szCs w:val="32"/>
                <w:i w:val="1"/>
                <w:iCs w:val="1"/>
                <w:color w:val="auto"/>
              </w:rPr>
              <w:t>- Detroit Competitors</w:t>
            </w:r>
          </w:p>
        </w:tc>
        <w:tc>
          <w:tcPr>
            <w:tcW w:w="2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color w:val="auto"/>
        </w:rPr>
        <w:t>Data as of 12/31/2010, Hourly Workforce Demographics Study</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5</w:t>
      </w:r>
    </w:p>
    <w:p>
      <w:pPr>
        <w:sectPr>
          <w:pgSz w:w="11900" w:h="16838" w:orient="portrait"/>
          <w:cols w:equalWidth="0" w:num="1">
            <w:col w:w="10220"/>
          </w:cols>
          <w:pgMar w:left="460" w:top="527" w:right="1219" w:bottom="1440" w:gutter="0" w:footer="0" w:header="0"/>
        </w:sectPr>
      </w:pPr>
    </w:p>
    <w:bookmarkStart w:id="12" w:name="page13"/>
    <w:bookmarkEnd w:id="12"/>
    <w:p>
      <w:pPr>
        <w:ind w:left="1360"/>
        <w:spacing w:after="0"/>
        <w:rPr>
          <w:sz w:val="20"/>
          <w:szCs w:val="20"/>
          <w:color w:val="auto"/>
        </w:rPr>
      </w:pPr>
      <w:r>
        <w:rPr>
          <w:rFonts w:ascii="Arial" w:cs="Arial" w:eastAsia="Arial" w:hAnsi="Arial"/>
          <w:sz w:val="37"/>
          <w:szCs w:val="37"/>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U.S. Hourly Labor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-254000</wp:posOffset>
            </wp:positionV>
            <wp:extent cx="6577330" cy="4957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77330" cy="4957445"/>
                    </a:xfrm>
                    <a:prstGeom prst="rect">
                      <a:avLst/>
                    </a:prstGeom>
                    <a:noFill/>
                  </pic:spPr>
                </pic:pic>
              </a:graphicData>
            </a:graphic>
          </wp:anchor>
        </w:drawing>
      </w:r>
    </w:p>
    <w:p>
      <w:pPr>
        <w:spacing w:after="0" w:line="55" w:lineRule="exact"/>
        <w:rPr>
          <w:sz w:val="20"/>
          <w:szCs w:val="20"/>
          <w:color w:val="auto"/>
        </w:rPr>
      </w:pPr>
    </w:p>
    <w:p>
      <w:pPr>
        <w:ind w:left="1360"/>
        <w:spacing w:after="0"/>
        <w:rPr>
          <w:sz w:val="20"/>
          <w:szCs w:val="20"/>
          <w:color w:val="auto"/>
        </w:rPr>
      </w:pPr>
      <w:r>
        <w:rPr>
          <w:rFonts w:ascii="Arial" w:cs="Arial" w:eastAsia="Arial" w:hAnsi="Arial"/>
          <w:sz w:val="38"/>
          <w:szCs w:val="38"/>
          <w:i w:val="1"/>
          <w:iCs w:val="1"/>
          <w:color w:val="auto"/>
        </w:rPr>
        <w:t>Historical Perspective</w:t>
      </w:r>
    </w:p>
    <w:p>
      <w:pPr>
        <w:sectPr>
          <w:pgSz w:w="11900" w:h="16838" w:orient="portrait"/>
          <w:cols w:equalWidth="0" w:num="1">
            <w:col w:w="10620"/>
          </w:cols>
          <w:pgMar w:left="360" w:top="362"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8"/>
          <w:szCs w:val="28"/>
          <w:color w:val="auto"/>
        </w:rPr>
        <w:t>Retiree</w:t>
      </w:r>
    </w:p>
    <w:p>
      <w:pPr>
        <w:ind w:left="1160"/>
        <w:spacing w:after="0"/>
        <w:rPr>
          <w:sz w:val="20"/>
          <w:szCs w:val="20"/>
          <w:color w:val="auto"/>
        </w:rPr>
      </w:pPr>
      <w:r>
        <w:rPr>
          <w:rFonts w:ascii="Arial" w:cs="Arial" w:eastAsia="Arial" w:hAnsi="Arial"/>
          <w:sz w:val="28"/>
          <w:szCs w:val="28"/>
          <w:color w:val="auto"/>
        </w:rPr>
        <w:t>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28"/>
          <w:szCs w:val="28"/>
          <w:color w:val="auto"/>
        </w:rPr>
        <w:t>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Year-End U.S.</w:t>
      </w:r>
    </w:p>
    <w:p>
      <w:pPr>
        <w:spacing w:after="0" w:line="1" w:lineRule="exact"/>
        <w:rPr>
          <w:sz w:val="20"/>
          <w:szCs w:val="20"/>
          <w:color w:val="auto"/>
        </w:rPr>
      </w:pPr>
    </w:p>
    <w:p>
      <w:pPr>
        <w:ind w:right="380"/>
        <w:spacing w:after="0" w:line="236" w:lineRule="auto"/>
        <w:rPr>
          <w:sz w:val="20"/>
          <w:szCs w:val="20"/>
          <w:color w:val="auto"/>
        </w:rPr>
      </w:pPr>
      <w:r>
        <w:rPr>
          <w:rFonts w:ascii="Arial" w:cs="Arial" w:eastAsia="Arial" w:hAnsi="Arial"/>
          <w:sz w:val="24"/>
          <w:szCs w:val="24"/>
          <w:b w:val="1"/>
          <w:bCs w:val="1"/>
          <w:color w:val="auto"/>
        </w:rPr>
        <w:t>Hourly Employees (000’s)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auto"/>
        </w:rPr>
        <w:t>$16B</w:t>
      </w:r>
    </w:p>
    <w:p>
      <w:pPr>
        <w:spacing w:after="0" w:line="398" w:lineRule="exact"/>
        <w:rPr>
          <w:sz w:val="20"/>
          <w:szCs w:val="20"/>
          <w:color w:val="auto"/>
        </w:rPr>
      </w:pPr>
    </w:p>
    <w:p>
      <w:pPr>
        <w:ind w:left="20"/>
        <w:spacing w:after="0"/>
        <w:tabs>
          <w:tab w:leader="none" w:pos="2720" w:val="left"/>
        </w:tabs>
        <w:rPr>
          <w:sz w:val="20"/>
          <w:szCs w:val="20"/>
          <w:color w:val="auto"/>
        </w:rPr>
      </w:pPr>
      <w:r>
        <w:rPr>
          <w:rFonts w:ascii="Arial" w:cs="Arial" w:eastAsia="Arial" w:hAnsi="Arial"/>
          <w:sz w:val="56"/>
          <w:szCs w:val="56"/>
          <w:color w:val="FFFFFF"/>
          <w:vertAlign w:val="superscript"/>
        </w:rPr>
        <w:t>$4B</w:t>
      </w:r>
      <w:r>
        <w:rPr>
          <w:sz w:val="20"/>
          <w:szCs w:val="20"/>
          <w:color w:val="auto"/>
        </w:rPr>
        <w:tab/>
      </w:r>
      <w:r>
        <w:rPr>
          <w:rFonts w:ascii="Arial" w:cs="Arial" w:eastAsia="Arial" w:hAnsi="Arial"/>
          <w:sz w:val="31"/>
          <w:szCs w:val="31"/>
          <w:b w:val="1"/>
          <w:bCs w:val="1"/>
          <w:color w:val="auto"/>
        </w:rPr>
        <w:t>$11B</w:t>
      </w:r>
    </w:p>
    <w:p>
      <w:pPr>
        <w:spacing w:after="0" w:line="120" w:lineRule="exact"/>
        <w:rPr>
          <w:sz w:val="20"/>
          <w:szCs w:val="20"/>
          <w:color w:val="auto"/>
        </w:rPr>
      </w:pPr>
    </w:p>
    <w:p>
      <w:pPr>
        <w:ind w:left="2800"/>
        <w:spacing w:after="0"/>
        <w:rPr>
          <w:sz w:val="20"/>
          <w:szCs w:val="20"/>
          <w:color w:val="auto"/>
        </w:rPr>
      </w:pPr>
      <w:r>
        <w:rPr>
          <w:rFonts w:ascii="Arial" w:cs="Arial" w:eastAsia="Arial" w:hAnsi="Arial"/>
          <w:sz w:val="28"/>
          <w:szCs w:val="28"/>
          <w:color w:val="FFFFFF"/>
        </w:rPr>
        <w:t>$3B</w:t>
      </w:r>
    </w:p>
    <w:p>
      <w:pPr>
        <w:spacing w:after="0" w:line="254" w:lineRule="exact"/>
        <w:rPr>
          <w:sz w:val="20"/>
          <w:szCs w:val="20"/>
          <w:color w:val="auto"/>
        </w:rPr>
      </w:pPr>
    </w:p>
    <w:p>
      <w:pPr>
        <w:spacing w:after="0"/>
        <w:rPr>
          <w:sz w:val="20"/>
          <w:szCs w:val="20"/>
          <w:color w:val="auto"/>
        </w:rPr>
      </w:pPr>
      <w:r>
        <w:rPr>
          <w:rFonts w:ascii="Arial" w:cs="Arial" w:eastAsia="Arial" w:hAnsi="Arial"/>
          <w:sz w:val="28"/>
          <w:szCs w:val="28"/>
          <w:color w:val="FFFFFF"/>
        </w:rPr>
        <w:t>$12B</w:t>
      </w:r>
    </w:p>
    <w:p>
      <w:pPr>
        <w:spacing w:after="0" w:line="66" w:lineRule="exact"/>
        <w:rPr>
          <w:sz w:val="20"/>
          <w:szCs w:val="20"/>
          <w:color w:val="auto"/>
        </w:rPr>
      </w:pPr>
    </w:p>
    <w:p>
      <w:pPr>
        <w:ind w:left="2780"/>
        <w:spacing w:after="0"/>
        <w:rPr>
          <w:sz w:val="20"/>
          <w:szCs w:val="20"/>
          <w:color w:val="auto"/>
        </w:rPr>
      </w:pPr>
      <w:r>
        <w:rPr>
          <w:rFonts w:ascii="Arial" w:cs="Arial" w:eastAsia="Arial" w:hAnsi="Arial"/>
          <w:sz w:val="28"/>
          <w:szCs w:val="28"/>
          <w:color w:val="FFFFFF"/>
        </w:rPr>
        <w:t>$8B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780" w:val="left"/>
        </w:tabs>
        <w:rPr>
          <w:sz w:val="20"/>
          <w:szCs w:val="20"/>
          <w:color w:val="auto"/>
        </w:rPr>
      </w:pPr>
      <w:r>
        <w:rPr>
          <w:rFonts w:ascii="Arial" w:cs="Arial" w:eastAsia="Arial" w:hAnsi="Arial"/>
          <w:sz w:val="28"/>
          <w:szCs w:val="28"/>
          <w:color w:val="auto"/>
        </w:rPr>
        <w:t>2005</w:t>
      </w:r>
      <w:r>
        <w:rPr>
          <w:sz w:val="20"/>
          <w:szCs w:val="20"/>
          <w:color w:val="auto"/>
        </w:rPr>
        <w:tab/>
      </w:r>
      <w:r>
        <w:rPr>
          <w:rFonts w:ascii="Arial" w:cs="Arial" w:eastAsia="Arial" w:hAnsi="Arial"/>
          <w:sz w:val="28"/>
          <w:szCs w:val="28"/>
          <w:color w:val="auto"/>
        </w:rPr>
        <w:t>2007</w:t>
      </w:r>
    </w:p>
    <w:p>
      <w:pPr>
        <w:spacing w:after="0" w:line="200" w:lineRule="exact"/>
        <w:rPr>
          <w:sz w:val="20"/>
          <w:szCs w:val="20"/>
          <w:color w:val="auto"/>
        </w:rPr>
      </w:pPr>
    </w:p>
    <w:p>
      <w:pPr>
        <w:spacing w:after="0" w:line="347" w:lineRule="exact"/>
        <w:rPr>
          <w:sz w:val="20"/>
          <w:szCs w:val="20"/>
          <w:color w:val="auto"/>
        </w:rPr>
      </w:pPr>
    </w:p>
    <w:p>
      <w:pPr>
        <w:ind w:left="140"/>
        <w:spacing w:after="0"/>
        <w:tabs>
          <w:tab w:leader="none" w:pos="2980" w:val="left"/>
        </w:tabs>
        <w:rPr>
          <w:sz w:val="20"/>
          <w:szCs w:val="20"/>
          <w:color w:val="auto"/>
        </w:rPr>
      </w:pPr>
      <w:r>
        <w:rPr>
          <w:rFonts w:ascii="Arial" w:cs="Arial" w:eastAsia="Arial" w:hAnsi="Arial"/>
          <w:sz w:val="28"/>
          <w:szCs w:val="28"/>
          <w:b w:val="1"/>
          <w:bCs w:val="1"/>
          <w:color w:val="auto"/>
        </w:rPr>
        <w:t>111</w:t>
      </w:r>
      <w:r>
        <w:rPr>
          <w:sz w:val="20"/>
          <w:szCs w:val="20"/>
          <w:color w:val="auto"/>
        </w:rPr>
        <w:tab/>
      </w:r>
      <w:r>
        <w:rPr>
          <w:rFonts w:ascii="Arial" w:cs="Arial" w:eastAsia="Arial" w:hAnsi="Arial"/>
          <w:sz w:val="28"/>
          <w:szCs w:val="28"/>
          <w:b w:val="1"/>
          <w:bCs w:val="1"/>
          <w:color w:val="auto"/>
        </w:rPr>
        <w:t>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$5B</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8"/>
          <w:szCs w:val="28"/>
          <w:color w:val="FFFFFF"/>
        </w:rPr>
        <w:t>$5B</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color w:val="auto"/>
        </w:rPr>
        <w:t>2010</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8"/>
          <w:szCs w:val="28"/>
          <w:b w:val="1"/>
          <w:bCs w:val="1"/>
          <w:color w:val="auto"/>
        </w:rPr>
        <w:t>49</w:t>
      </w:r>
    </w:p>
    <w:p>
      <w:pPr>
        <w:spacing w:after="0" w:line="641" w:lineRule="exact"/>
        <w:rPr>
          <w:sz w:val="20"/>
          <w:szCs w:val="20"/>
          <w:color w:val="auto"/>
        </w:rPr>
      </w:pPr>
    </w:p>
    <w:p>
      <w:pPr>
        <w:sectPr>
          <w:pgSz w:w="11900" w:h="16838" w:orient="portrait"/>
          <w:cols w:equalWidth="0" w:num="3">
            <w:col w:w="2540" w:space="500"/>
            <w:col w:w="4820" w:space="720"/>
            <w:col w:w="2040"/>
          </w:cols>
          <w:pgMar w:left="360" w:top="362" w:right="919" w:bottom="1440" w:gutter="0" w:footer="0" w:header="0"/>
          <w:type w:val="continuous"/>
        </w:sect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For periods prior to July 10, 2009 information is related to General Motors Corporation (Old GM), our predecessor entity</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6</w:t>
      </w:r>
    </w:p>
    <w:p>
      <w:pPr>
        <w:sectPr>
          <w:pgSz w:w="11900" w:h="16838" w:orient="portrait"/>
          <w:cols w:equalWidth="0" w:num="1">
            <w:col w:w="10620"/>
          </w:cols>
          <w:pgMar w:left="360" w:top="362" w:right="919" w:bottom="1440" w:gutter="0" w:footer="0" w:header="0"/>
          <w:type w:val="continuous"/>
        </w:sectPr>
      </w:pPr>
    </w:p>
    <w:bookmarkStart w:id="13" w:name="page14"/>
    <w:bookmarkEnd w:id="13"/>
    <w:p>
      <w:pPr>
        <w:ind w:left="1020"/>
        <w:spacing w:after="0"/>
        <w:rPr>
          <w:sz w:val="20"/>
          <w:szCs w:val="20"/>
          <w:color w:val="auto"/>
        </w:rPr>
      </w:pPr>
      <w:r>
        <w:rPr>
          <w:rFonts w:ascii="Arial" w:cs="Arial" w:eastAsia="Arial" w:hAnsi="Arial"/>
          <w:sz w:val="37"/>
          <w:szCs w:val="37"/>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Historic GM-UAW Contract Settlement Economics</w:t>
      </w:r>
    </w:p>
    <w:p>
      <w:pPr>
        <w:sectPr>
          <w:pgSz w:w="11900" w:h="16838" w:orient="portrait"/>
          <w:cols w:equalWidth="0" w:num="1">
            <w:col w:w="10280"/>
          </w:cols>
          <w:pgMar w:left="400" w:top="586"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8%</w:t>
      </w:r>
    </w:p>
    <w:p>
      <w:pPr>
        <w:spacing w:after="0" w:line="13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6%</w:t>
      </w:r>
    </w:p>
    <w:p>
      <w:pPr>
        <w:spacing w:after="0" w:line="13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4%</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22"/>
          <w:szCs w:val="22"/>
          <w:color w:val="auto"/>
        </w:rPr>
        <w:t>2%</w:t>
      </w:r>
    </w:p>
    <w:p>
      <w:pPr>
        <w:spacing w:after="0" w:line="135" w:lineRule="exact"/>
        <w:rPr>
          <w:sz w:val="20"/>
          <w:szCs w:val="20"/>
          <w:color w:val="auto"/>
        </w:rPr>
      </w:pPr>
    </w:p>
    <w:p>
      <w:pPr>
        <w:jc w:val="right"/>
        <w:ind w:right="240"/>
        <w:spacing w:after="0"/>
        <w:rPr>
          <w:sz w:val="20"/>
          <w:szCs w:val="20"/>
          <w:color w:val="auto"/>
        </w:rPr>
      </w:pPr>
      <w:r>
        <w:rPr>
          <w:rFonts w:ascii="Arial" w:cs="Arial" w:eastAsia="Arial" w:hAnsi="Arial"/>
          <w:sz w:val="22"/>
          <w:szCs w:val="22"/>
          <w:color w:val="auto"/>
        </w:rPr>
        <w:t>0%</w:t>
      </w:r>
    </w:p>
    <w:p>
      <w:pPr>
        <w:spacing w:after="0" w:line="147"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-2%</w:t>
      </w:r>
    </w:p>
    <w:p>
      <w:pPr>
        <w:spacing w:after="0" w:line="135"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-4%</w:t>
      </w:r>
    </w:p>
    <w:p>
      <w:pPr>
        <w:spacing w:after="0" w:line="123"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-6%</w:t>
      </w:r>
    </w:p>
    <w:p>
      <w:pPr>
        <w:spacing w:after="0" w:line="135"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-8%</w:t>
      </w:r>
    </w:p>
    <w:p>
      <w:pPr>
        <w:spacing w:after="0" w:line="135"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0" w:right="2180" w:firstLine="447"/>
        <w:spacing w:after="0" w:line="352" w:lineRule="auto"/>
        <w:rPr>
          <w:sz w:val="20"/>
          <w:szCs w:val="20"/>
          <w:color w:val="auto"/>
        </w:rPr>
      </w:pPr>
      <w:r>
        <w:rPr>
          <w:rFonts w:ascii="Arial" w:cs="Arial" w:eastAsia="Arial" w:hAnsi="Arial"/>
          <w:sz w:val="32"/>
          <w:szCs w:val="32"/>
          <w:color w:val="auto"/>
        </w:rPr>
        <w:t>Fully Loaded Active Hourly Rate CAGR 7%</w:t>
      </w:r>
    </w:p>
    <w:p>
      <w:pPr>
        <w:spacing w:after="0" w:line="2" w:lineRule="exact"/>
        <w:rPr>
          <w:sz w:val="20"/>
          <w:szCs w:val="20"/>
          <w:color w:val="auto"/>
        </w:rPr>
      </w:pPr>
    </w:p>
    <w:p>
      <w:pPr>
        <w:ind w:left="1640"/>
        <w:spacing w:after="0"/>
        <w:rPr>
          <w:sz w:val="20"/>
          <w:szCs w:val="20"/>
          <w:color w:val="auto"/>
        </w:rPr>
      </w:pPr>
      <w:r>
        <w:rPr>
          <w:rFonts w:ascii="Arial" w:cs="Arial" w:eastAsia="Arial" w:hAnsi="Arial"/>
          <w:sz w:val="32"/>
          <w:szCs w:val="32"/>
          <w:color w:val="auto"/>
        </w:rPr>
        <w:t>4%</w:t>
      </w:r>
    </w:p>
    <w:p>
      <w:pPr>
        <w:spacing w:after="0" w:line="279" w:lineRule="exact"/>
        <w:rPr>
          <w:sz w:val="20"/>
          <w:szCs w:val="20"/>
          <w:color w:val="auto"/>
        </w:rPr>
      </w:pPr>
    </w:p>
    <w:p>
      <w:pPr>
        <w:ind w:left="6260"/>
        <w:spacing w:after="0"/>
        <w:rPr>
          <w:sz w:val="20"/>
          <w:szCs w:val="20"/>
          <w:color w:val="auto"/>
        </w:rPr>
      </w:pPr>
      <w:r>
        <w:rPr>
          <w:rFonts w:ascii="Arial" w:cs="Arial" w:eastAsia="Arial" w:hAnsi="Arial"/>
          <w:sz w:val="32"/>
          <w:szCs w:val="3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100"/>
        <w:spacing w:after="0"/>
        <w:rPr>
          <w:sz w:val="20"/>
          <w:szCs w:val="20"/>
          <w:color w:val="auto"/>
        </w:rPr>
      </w:pPr>
      <w:r>
        <w:rPr>
          <w:rFonts w:ascii="Arial" w:cs="Arial" w:eastAsia="Arial" w:hAnsi="Arial"/>
          <w:sz w:val="32"/>
          <w:szCs w:val="32"/>
          <w:color w:val="auto"/>
        </w:rPr>
        <w:t>(4)%</w:t>
      </w:r>
    </w:p>
    <w:p>
      <w:pPr>
        <w:spacing w:after="0" w:line="396" w:lineRule="exact"/>
        <w:rPr>
          <w:sz w:val="20"/>
          <w:szCs w:val="20"/>
          <w:color w:val="auto"/>
        </w:rPr>
      </w:pPr>
    </w:p>
    <w:p>
      <w:pPr>
        <w:ind w:left="4640"/>
        <w:spacing w:after="0"/>
        <w:rPr>
          <w:sz w:val="20"/>
          <w:szCs w:val="20"/>
          <w:color w:val="auto"/>
        </w:rPr>
      </w:pPr>
      <w:r>
        <w:rPr>
          <w:rFonts w:ascii="Arial" w:cs="Arial" w:eastAsia="Arial" w:hAnsi="Arial"/>
          <w:sz w:val="32"/>
          <w:szCs w:val="32"/>
          <w:color w:val="auto"/>
        </w:rPr>
        <w:t>(8)%</w:t>
      </w:r>
    </w:p>
    <w:p>
      <w:pPr>
        <w:spacing w:after="0" w:line="133" w:lineRule="exact"/>
        <w:rPr>
          <w:sz w:val="20"/>
          <w:szCs w:val="20"/>
          <w:color w:val="auto"/>
        </w:rPr>
      </w:pPr>
    </w:p>
    <w:p>
      <w:pPr>
        <w:spacing w:after="0"/>
        <w:tabs>
          <w:tab w:leader="none" w:pos="1660" w:val="left"/>
          <w:tab w:leader="none" w:pos="3200" w:val="left"/>
          <w:tab w:leader="none" w:pos="4740" w:val="left"/>
          <w:tab w:leader="none" w:pos="6320" w:val="left"/>
        </w:tabs>
        <w:rPr>
          <w:sz w:val="20"/>
          <w:szCs w:val="20"/>
          <w:color w:val="auto"/>
        </w:rPr>
      </w:pPr>
      <w:r>
        <w:rPr>
          <w:rFonts w:ascii="Arial" w:cs="Arial" w:eastAsia="Arial" w:hAnsi="Arial"/>
          <w:sz w:val="32"/>
          <w:szCs w:val="32"/>
          <w:b w:val="1"/>
          <w:bCs w:val="1"/>
          <w:color w:val="auto"/>
        </w:rPr>
        <w:t>‘99</w:t>
      </w:r>
      <w:r>
        <w:rPr>
          <w:sz w:val="20"/>
          <w:szCs w:val="20"/>
          <w:color w:val="auto"/>
        </w:rPr>
        <w:tab/>
      </w:r>
      <w:r>
        <w:rPr>
          <w:rFonts w:ascii="Arial" w:cs="Arial" w:eastAsia="Arial" w:hAnsi="Arial"/>
          <w:sz w:val="32"/>
          <w:szCs w:val="32"/>
          <w:b w:val="1"/>
          <w:bCs w:val="1"/>
          <w:color w:val="auto"/>
        </w:rPr>
        <w:t>‘03</w:t>
      </w:r>
      <w:r>
        <w:rPr>
          <w:sz w:val="20"/>
          <w:szCs w:val="20"/>
          <w:color w:val="auto"/>
        </w:rPr>
        <w:tab/>
      </w:r>
      <w:r>
        <w:rPr>
          <w:rFonts w:ascii="Arial" w:cs="Arial" w:eastAsia="Arial" w:hAnsi="Arial"/>
          <w:sz w:val="32"/>
          <w:szCs w:val="32"/>
          <w:b w:val="1"/>
          <w:bCs w:val="1"/>
          <w:color w:val="auto"/>
        </w:rPr>
        <w:t>‘07</w:t>
      </w:r>
      <w:r>
        <w:rPr>
          <w:sz w:val="20"/>
          <w:szCs w:val="20"/>
          <w:color w:val="auto"/>
        </w:rPr>
        <w:tab/>
      </w:r>
      <w:r>
        <w:rPr>
          <w:rFonts w:ascii="Arial" w:cs="Arial" w:eastAsia="Arial" w:hAnsi="Arial"/>
          <w:sz w:val="32"/>
          <w:szCs w:val="32"/>
          <w:b w:val="1"/>
          <w:bCs w:val="1"/>
          <w:color w:val="auto"/>
        </w:rPr>
        <w:t>‘09</w:t>
      </w:r>
      <w:r>
        <w:rPr>
          <w:sz w:val="20"/>
          <w:szCs w:val="20"/>
          <w:color w:val="auto"/>
        </w:rPr>
        <w:tab/>
      </w:r>
      <w:r>
        <w:rPr>
          <w:rFonts w:ascii="Arial" w:cs="Arial" w:eastAsia="Arial" w:hAnsi="Arial"/>
          <w:sz w:val="32"/>
          <w:szCs w:val="32"/>
          <w:b w:val="1"/>
          <w:bCs w:val="1"/>
          <w:color w:val="auto"/>
        </w:rPr>
        <w:t>‘11</w:t>
      </w:r>
    </w:p>
    <w:p>
      <w:pPr>
        <w:spacing w:after="0" w:line="200" w:lineRule="exact"/>
        <w:rPr>
          <w:sz w:val="20"/>
          <w:szCs w:val="20"/>
          <w:color w:val="auto"/>
        </w:rPr>
      </w:pPr>
    </w:p>
    <w:p>
      <w:pPr>
        <w:sectPr>
          <w:pgSz w:w="11900" w:h="16838" w:orient="portrait"/>
          <w:cols w:equalWidth="0" w:num="2">
            <w:col w:w="1300" w:space="720"/>
            <w:col w:w="8260"/>
          </w:cols>
          <w:pgMar w:left="400" w:top="586"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For periods prior to July 10, 2009 information is related to General Motors Corporation (Old GM), our predecessor entity</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7</w:t>
      </w:r>
    </w:p>
    <w:p>
      <w:pPr>
        <w:sectPr>
          <w:pgSz w:w="11900" w:h="16838" w:orient="portrait"/>
          <w:cols w:equalWidth="0" w:num="1">
            <w:col w:w="10280"/>
          </w:cols>
          <w:pgMar w:left="400" w:top="586" w:right="1219" w:bottom="1440" w:gutter="0" w:footer="0" w:header="0"/>
          <w:type w:val="continuous"/>
        </w:sectPr>
      </w:pPr>
    </w:p>
    <w:bookmarkStart w:id="14" w:name="page15"/>
    <w:bookmarkEnd w:id="14"/>
    <w:p>
      <w:pPr>
        <w:ind w:left="1020"/>
        <w:spacing w:after="0"/>
        <w:rPr>
          <w:sz w:val="20"/>
          <w:szCs w:val="20"/>
          <w:color w:val="auto"/>
        </w:rPr>
      </w:pPr>
      <w:r>
        <w:rPr>
          <w:rFonts w:ascii="Arial" w:cs="Arial" w:eastAsia="Arial" w:hAnsi="Arial"/>
          <w:sz w:val="42"/>
          <w:szCs w:val="42"/>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Estimated Expense Impact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80" w:type="dxa"/>
        <w:tblCellMar>
          <w:top w:w="0" w:type="dxa"/>
          <w:left w:w="0" w:type="dxa"/>
          <w:bottom w:w="0" w:type="dxa"/>
          <w:right w:w="0" w:type="dxa"/>
        </w:tblCellMar>
      </w:tblPr>
      <w:tr>
        <w:trPr>
          <w:trHeight w:val="391"/>
        </w:trPr>
        <w:tc>
          <w:tcPr>
            <w:tcW w:w="4600" w:type="dxa"/>
            <w:vAlign w:val="bottom"/>
          </w:tcPr>
          <w:p>
            <w:pPr>
              <w:spacing w:after="0"/>
              <w:rPr>
                <w:sz w:val="20"/>
                <w:szCs w:val="20"/>
                <w:color w:val="auto"/>
              </w:rPr>
            </w:pPr>
            <w:r>
              <w:rPr>
                <w:rFonts w:ascii="Arial" w:cs="Arial" w:eastAsia="Arial" w:hAnsi="Arial"/>
                <w:sz w:val="28"/>
                <w:szCs w:val="28"/>
                <w:i w:val="1"/>
                <w:iCs w:val="1"/>
                <w:color w:val="auto"/>
              </w:rPr>
              <w:t>$ Millions F / (U)</w:t>
            </w:r>
          </w:p>
        </w:tc>
        <w:tc>
          <w:tcPr>
            <w:tcW w:w="1740" w:type="dxa"/>
            <w:vAlign w:val="bottom"/>
          </w:tcPr>
          <w:p>
            <w:pPr>
              <w:jc w:val="center"/>
              <w:spacing w:after="0"/>
              <w:rPr>
                <w:sz w:val="20"/>
                <w:szCs w:val="20"/>
                <w:color w:val="auto"/>
              </w:rPr>
            </w:pPr>
            <w:r>
              <w:rPr>
                <w:rFonts w:ascii="Arial" w:cs="Arial" w:eastAsia="Arial" w:hAnsi="Arial"/>
                <w:sz w:val="32"/>
                <w:szCs w:val="32"/>
                <w:color w:val="auto"/>
                <w:w w:val="99"/>
              </w:rPr>
              <w:t>2011 CY</w:t>
            </w:r>
          </w:p>
        </w:tc>
        <w:tc>
          <w:tcPr>
            <w:tcW w:w="1800" w:type="dxa"/>
            <w:vAlign w:val="bottom"/>
          </w:tcPr>
          <w:p>
            <w:pPr>
              <w:jc w:val="center"/>
              <w:spacing w:after="0"/>
              <w:rPr>
                <w:sz w:val="20"/>
                <w:szCs w:val="20"/>
                <w:color w:val="auto"/>
              </w:rPr>
            </w:pPr>
            <w:r>
              <w:rPr>
                <w:rFonts w:ascii="Arial" w:cs="Arial" w:eastAsia="Arial" w:hAnsi="Arial"/>
                <w:sz w:val="32"/>
                <w:szCs w:val="32"/>
                <w:color w:val="auto"/>
                <w:w w:val="99"/>
              </w:rPr>
              <w:t>2012 CY</w:t>
            </w:r>
          </w:p>
        </w:tc>
        <w:tc>
          <w:tcPr>
            <w:tcW w:w="1520" w:type="dxa"/>
            <w:vAlign w:val="bottom"/>
          </w:tcPr>
          <w:p>
            <w:pPr>
              <w:jc w:val="center"/>
              <w:ind w:left="121"/>
              <w:spacing w:after="0"/>
              <w:rPr>
                <w:sz w:val="20"/>
                <w:szCs w:val="20"/>
                <w:color w:val="auto"/>
              </w:rPr>
            </w:pPr>
            <w:r>
              <w:rPr>
                <w:rFonts w:ascii="Arial" w:cs="Arial" w:eastAsia="Arial" w:hAnsi="Arial"/>
                <w:sz w:val="32"/>
                <w:szCs w:val="32"/>
                <w:color w:val="auto"/>
                <w:w w:val="99"/>
              </w:rPr>
              <w:t>2013 CY</w:t>
            </w:r>
          </w:p>
        </w:tc>
      </w:tr>
      <w:tr>
        <w:trPr>
          <w:trHeight w:val="611"/>
        </w:trPr>
        <w:tc>
          <w:tcPr>
            <w:tcW w:w="4600" w:type="dxa"/>
            <w:vAlign w:val="bottom"/>
          </w:tcPr>
          <w:p>
            <w:pPr>
              <w:spacing w:after="0"/>
              <w:rPr>
                <w:sz w:val="20"/>
                <w:szCs w:val="20"/>
                <w:color w:val="auto"/>
              </w:rPr>
            </w:pPr>
            <w:r>
              <w:rPr>
                <w:rFonts w:ascii="Arial" w:cs="Arial" w:eastAsia="Arial" w:hAnsi="Arial"/>
                <w:sz w:val="32"/>
                <w:szCs w:val="32"/>
                <w:color w:val="auto"/>
              </w:rPr>
              <w:t xml:space="preserve">Compensation Related Impact </w:t>
            </w:r>
            <w:r>
              <w:rPr>
                <w:rFonts w:ascii="Arial" w:cs="Arial" w:eastAsia="Arial" w:hAnsi="Arial"/>
                <w:sz w:val="18"/>
                <w:szCs w:val="18"/>
                <w:color w:val="auto"/>
              </w:rPr>
              <w:t>*</w:t>
            </w:r>
          </w:p>
        </w:tc>
        <w:tc>
          <w:tcPr>
            <w:tcW w:w="1740" w:type="dxa"/>
            <w:vAlign w:val="bottom"/>
          </w:tcPr>
          <w:p>
            <w:pPr>
              <w:jc w:val="right"/>
              <w:ind w:right="361"/>
              <w:spacing w:after="0"/>
              <w:rPr>
                <w:sz w:val="20"/>
                <w:szCs w:val="20"/>
                <w:color w:val="auto"/>
              </w:rPr>
            </w:pPr>
            <w:r>
              <w:rPr>
                <w:rFonts w:ascii="Arial" w:cs="Arial" w:eastAsia="Arial" w:hAnsi="Arial"/>
                <w:sz w:val="32"/>
                <w:szCs w:val="32"/>
                <w:color w:val="auto"/>
              </w:rPr>
              <w:t>(135)</w:t>
            </w:r>
          </w:p>
        </w:tc>
        <w:tc>
          <w:tcPr>
            <w:tcW w:w="1800" w:type="dxa"/>
            <w:vAlign w:val="bottom"/>
          </w:tcPr>
          <w:p>
            <w:pPr>
              <w:jc w:val="right"/>
              <w:ind w:right="361"/>
              <w:spacing w:after="0"/>
              <w:rPr>
                <w:sz w:val="20"/>
                <w:szCs w:val="20"/>
                <w:color w:val="auto"/>
              </w:rPr>
            </w:pPr>
            <w:r>
              <w:rPr>
                <w:rFonts w:ascii="Arial" w:cs="Arial" w:eastAsia="Arial" w:hAnsi="Arial"/>
                <w:sz w:val="32"/>
                <w:szCs w:val="32"/>
                <w:color w:val="auto"/>
              </w:rPr>
              <w:t>(220)</w:t>
            </w:r>
          </w:p>
        </w:tc>
        <w:tc>
          <w:tcPr>
            <w:tcW w:w="1520" w:type="dxa"/>
            <w:vAlign w:val="bottom"/>
          </w:tcPr>
          <w:p>
            <w:pPr>
              <w:jc w:val="right"/>
              <w:ind w:right="81"/>
              <w:spacing w:after="0"/>
              <w:rPr>
                <w:sz w:val="20"/>
                <w:szCs w:val="20"/>
                <w:color w:val="auto"/>
              </w:rPr>
            </w:pPr>
            <w:r>
              <w:rPr>
                <w:rFonts w:ascii="Arial" w:cs="Arial" w:eastAsia="Arial" w:hAnsi="Arial"/>
                <w:sz w:val="32"/>
                <w:szCs w:val="32"/>
                <w:color w:val="auto"/>
              </w:rPr>
              <w:t>(230)</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80" w:type="dxa"/>
        <w:tblCellMar>
          <w:top w:w="0" w:type="dxa"/>
          <w:left w:w="0" w:type="dxa"/>
          <w:bottom w:w="0" w:type="dxa"/>
          <w:right w:w="0" w:type="dxa"/>
        </w:tblCellMar>
      </w:tblPr>
      <w:tr>
        <w:trPr>
          <w:trHeight w:val="381"/>
        </w:trPr>
        <w:tc>
          <w:tcPr>
            <w:tcW w:w="4340" w:type="dxa"/>
            <w:vAlign w:val="bottom"/>
          </w:tcPr>
          <w:p>
            <w:pPr>
              <w:spacing w:after="0"/>
              <w:rPr>
                <w:sz w:val="20"/>
                <w:szCs w:val="20"/>
                <w:color w:val="auto"/>
              </w:rPr>
            </w:pPr>
            <w:r>
              <w:rPr>
                <w:rFonts w:ascii="Arial" w:cs="Arial" w:eastAsia="Arial" w:hAnsi="Arial"/>
                <w:sz w:val="32"/>
                <w:szCs w:val="32"/>
                <w:color w:val="auto"/>
              </w:rPr>
              <w:t>Special Attrition Program</w:t>
            </w:r>
          </w:p>
        </w:tc>
        <w:tc>
          <w:tcPr>
            <w:tcW w:w="2060" w:type="dxa"/>
            <w:vAlign w:val="bottom"/>
            <w:vMerge w:val="restart"/>
          </w:tcPr>
          <w:p>
            <w:pPr>
              <w:jc w:val="right"/>
              <w:ind w:right="501"/>
              <w:spacing w:after="0"/>
              <w:rPr>
                <w:sz w:val="20"/>
                <w:szCs w:val="20"/>
                <w:color w:val="auto"/>
              </w:rPr>
            </w:pPr>
            <w:r>
              <w:rPr>
                <w:rFonts w:ascii="Arial" w:cs="Arial" w:eastAsia="Arial" w:hAnsi="Arial"/>
                <w:sz w:val="32"/>
                <w:szCs w:val="32"/>
                <w:color w:val="auto"/>
              </w:rPr>
              <w:t>(90)</w:t>
            </w:r>
          </w:p>
        </w:tc>
        <w:tc>
          <w:tcPr>
            <w:tcW w:w="1740" w:type="dxa"/>
            <w:vAlign w:val="bottom"/>
            <w:vMerge w:val="restart"/>
          </w:tcPr>
          <w:p>
            <w:pPr>
              <w:jc w:val="right"/>
              <w:ind w:right="561"/>
              <w:spacing w:after="0"/>
              <w:rPr>
                <w:sz w:val="20"/>
                <w:szCs w:val="20"/>
                <w:color w:val="auto"/>
              </w:rPr>
            </w:pPr>
            <w:r>
              <w:rPr>
                <w:rFonts w:ascii="Arial" w:cs="Arial" w:eastAsia="Arial" w:hAnsi="Arial"/>
                <w:sz w:val="32"/>
                <w:szCs w:val="32"/>
                <w:color w:val="auto"/>
              </w:rPr>
              <w:t>55</w:t>
            </w:r>
          </w:p>
        </w:tc>
        <w:tc>
          <w:tcPr>
            <w:tcW w:w="1080" w:type="dxa"/>
            <w:vAlign w:val="bottom"/>
            <w:vMerge w:val="restart"/>
          </w:tcPr>
          <w:p>
            <w:pPr>
              <w:jc w:val="right"/>
              <w:spacing w:after="0"/>
              <w:rPr>
                <w:sz w:val="20"/>
                <w:szCs w:val="20"/>
                <w:color w:val="auto"/>
              </w:rPr>
            </w:pPr>
            <w:r>
              <w:rPr>
                <w:rFonts w:ascii="Arial" w:cs="Arial" w:eastAsia="Arial" w:hAnsi="Arial"/>
                <w:sz w:val="32"/>
                <w:szCs w:val="32"/>
                <w:color w:val="auto"/>
              </w:rPr>
              <w:t>65</w:t>
            </w:r>
          </w:p>
        </w:tc>
        <w:tc>
          <w:tcPr>
            <w:tcW w:w="0" w:type="dxa"/>
            <w:vAlign w:val="bottom"/>
          </w:tcPr>
          <w:p>
            <w:pPr>
              <w:spacing w:after="0"/>
              <w:rPr>
                <w:sz w:val="1"/>
                <w:szCs w:val="1"/>
                <w:color w:val="auto"/>
              </w:rPr>
            </w:pPr>
          </w:p>
        </w:tc>
      </w:tr>
      <w:tr>
        <w:trPr>
          <w:trHeight w:val="223"/>
        </w:trPr>
        <w:tc>
          <w:tcPr>
            <w:tcW w:w="4340" w:type="dxa"/>
            <w:vAlign w:val="bottom"/>
            <w:vMerge w:val="restart"/>
          </w:tcPr>
          <w:p>
            <w:pPr>
              <w:spacing w:after="0"/>
              <w:rPr>
                <w:sz w:val="20"/>
                <w:szCs w:val="20"/>
                <w:color w:val="auto"/>
              </w:rPr>
            </w:pPr>
            <w:r>
              <w:rPr>
                <w:rFonts w:ascii="Arial" w:cs="Arial" w:eastAsia="Arial" w:hAnsi="Arial"/>
                <w:sz w:val="25"/>
                <w:szCs w:val="25"/>
                <w:color w:val="auto"/>
              </w:rPr>
              <w:t>(Skilled Trades)</w:t>
            </w:r>
          </w:p>
        </w:tc>
        <w:tc>
          <w:tcPr>
            <w:tcW w:w="206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34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417"/>
        </w:trPr>
        <w:tc>
          <w:tcPr>
            <w:tcW w:w="4660" w:type="dxa"/>
            <w:vAlign w:val="bottom"/>
          </w:tcPr>
          <w:p>
            <w:pPr>
              <w:spacing w:after="0"/>
              <w:rPr>
                <w:sz w:val="20"/>
                <w:szCs w:val="20"/>
                <w:color w:val="auto"/>
              </w:rPr>
            </w:pPr>
            <w:r>
              <w:rPr>
                <w:rFonts w:ascii="Arial" w:cs="Arial" w:eastAsia="Arial" w:hAnsi="Arial"/>
                <w:sz w:val="32"/>
                <w:szCs w:val="32"/>
                <w:color w:val="auto"/>
              </w:rPr>
              <w:t>Elimination of Legal Service</w:t>
            </w:r>
            <w:r>
              <w:rPr>
                <w:rFonts w:ascii="Arial" w:cs="Arial" w:eastAsia="Arial" w:hAnsi="Arial"/>
                <w:sz w:val="18"/>
                <w:szCs w:val="18"/>
                <w:color w:val="auto"/>
              </w:rPr>
              <w:t>**</w:t>
            </w:r>
          </w:p>
        </w:tc>
        <w:tc>
          <w:tcPr>
            <w:tcW w:w="1640" w:type="dxa"/>
            <w:vAlign w:val="bottom"/>
          </w:tcPr>
          <w:p>
            <w:pPr>
              <w:jc w:val="right"/>
              <w:ind w:right="521"/>
              <w:spacing w:after="0"/>
              <w:rPr>
                <w:sz w:val="20"/>
                <w:szCs w:val="20"/>
                <w:color w:val="auto"/>
              </w:rPr>
            </w:pPr>
            <w:r>
              <w:rPr>
                <w:rFonts w:ascii="Arial" w:cs="Arial" w:eastAsia="Arial" w:hAnsi="Arial"/>
                <w:sz w:val="32"/>
                <w:szCs w:val="32"/>
                <w:color w:val="auto"/>
              </w:rPr>
              <w:t>50</w:t>
            </w:r>
          </w:p>
        </w:tc>
        <w:tc>
          <w:tcPr>
            <w:tcW w:w="1840" w:type="dxa"/>
            <w:vAlign w:val="bottom"/>
          </w:tcPr>
          <w:p>
            <w:pPr>
              <w:jc w:val="right"/>
              <w:ind w:right="481"/>
              <w:spacing w:after="0"/>
              <w:rPr>
                <w:sz w:val="20"/>
                <w:szCs w:val="20"/>
                <w:color w:val="auto"/>
              </w:rPr>
            </w:pPr>
            <w:r>
              <w:rPr>
                <w:rFonts w:ascii="Arial" w:cs="Arial" w:eastAsia="Arial" w:hAnsi="Arial"/>
                <w:sz w:val="32"/>
                <w:szCs w:val="32"/>
                <w:color w:val="auto"/>
              </w:rPr>
              <w:t>145</w:t>
            </w:r>
          </w:p>
        </w:tc>
        <w:tc>
          <w:tcPr>
            <w:tcW w:w="1160" w:type="dxa"/>
            <w:vAlign w:val="bottom"/>
          </w:tcPr>
          <w:p>
            <w:pPr>
              <w:jc w:val="right"/>
              <w:spacing w:after="0"/>
              <w:rPr>
                <w:sz w:val="20"/>
                <w:szCs w:val="20"/>
                <w:color w:val="auto"/>
              </w:rPr>
            </w:pPr>
            <w:r>
              <w:rPr>
                <w:rFonts w:ascii="Arial" w:cs="Arial" w:eastAsia="Arial" w:hAnsi="Arial"/>
                <w:sz w:val="32"/>
                <w:szCs w:val="32"/>
                <w:color w:val="auto"/>
              </w:rPr>
              <w:t>145</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80" w:type="dxa"/>
        <w:tblCellMar>
          <w:top w:w="0" w:type="dxa"/>
          <w:left w:w="0" w:type="dxa"/>
          <w:bottom w:w="0" w:type="dxa"/>
          <w:right w:w="0" w:type="dxa"/>
        </w:tblCellMar>
      </w:tblPr>
      <w:tr>
        <w:trPr>
          <w:trHeight w:val="428"/>
        </w:trPr>
        <w:tc>
          <w:tcPr>
            <w:tcW w:w="4420" w:type="dxa"/>
            <w:vAlign w:val="bottom"/>
          </w:tcPr>
          <w:p>
            <w:pPr>
              <w:spacing w:after="0"/>
              <w:rPr>
                <w:sz w:val="20"/>
                <w:szCs w:val="20"/>
                <w:color w:val="auto"/>
              </w:rPr>
            </w:pPr>
            <w:r>
              <w:rPr>
                <w:rFonts w:ascii="Arial" w:cs="Arial" w:eastAsia="Arial" w:hAnsi="Arial"/>
                <w:sz w:val="32"/>
                <w:szCs w:val="32"/>
                <w:color w:val="auto"/>
              </w:rPr>
              <w:t>Estimated Expense Impact</w:t>
            </w:r>
          </w:p>
        </w:tc>
        <w:tc>
          <w:tcPr>
            <w:tcW w:w="2000" w:type="dxa"/>
            <w:vAlign w:val="bottom"/>
          </w:tcPr>
          <w:p>
            <w:pPr>
              <w:jc w:val="right"/>
              <w:ind w:right="441"/>
              <w:spacing w:after="0"/>
              <w:rPr>
                <w:sz w:val="20"/>
                <w:szCs w:val="20"/>
                <w:color w:val="auto"/>
              </w:rPr>
            </w:pPr>
            <w:r>
              <w:rPr>
                <w:rFonts w:ascii="Arial" w:cs="Arial" w:eastAsia="Arial" w:hAnsi="Arial"/>
                <w:sz w:val="32"/>
                <w:szCs w:val="32"/>
                <w:color w:val="auto"/>
              </w:rPr>
              <w:t>(175)</w:t>
            </w:r>
          </w:p>
        </w:tc>
        <w:tc>
          <w:tcPr>
            <w:tcW w:w="1740" w:type="dxa"/>
            <w:vAlign w:val="bottom"/>
          </w:tcPr>
          <w:p>
            <w:pPr>
              <w:jc w:val="right"/>
              <w:ind w:right="421"/>
              <w:spacing w:after="0"/>
              <w:rPr>
                <w:sz w:val="20"/>
                <w:szCs w:val="20"/>
                <w:color w:val="auto"/>
              </w:rPr>
            </w:pPr>
            <w:r>
              <w:rPr>
                <w:rFonts w:ascii="Arial" w:cs="Arial" w:eastAsia="Arial" w:hAnsi="Arial"/>
                <w:sz w:val="32"/>
                <w:szCs w:val="32"/>
                <w:color w:val="auto"/>
              </w:rPr>
              <w:t>(20)</w:t>
            </w:r>
          </w:p>
        </w:tc>
        <w:tc>
          <w:tcPr>
            <w:tcW w:w="1160" w:type="dxa"/>
            <w:vAlign w:val="bottom"/>
          </w:tcPr>
          <w:p>
            <w:pPr>
              <w:jc w:val="right"/>
              <w:spacing w:after="0"/>
              <w:rPr>
                <w:sz w:val="20"/>
                <w:szCs w:val="20"/>
                <w:color w:val="auto"/>
              </w:rPr>
            </w:pPr>
            <w:r>
              <w:rPr>
                <w:rFonts w:ascii="Arial" w:cs="Arial" w:eastAsia="Arial" w:hAnsi="Arial"/>
                <w:sz w:val="32"/>
                <w:szCs w:val="32"/>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60" w:hanging="86"/>
        <w:spacing w:after="0"/>
        <w:tabs>
          <w:tab w:leader="none" w:pos="160" w:val="left"/>
        </w:tabs>
        <w:numPr>
          <w:ilvl w:val="1"/>
          <w:numId w:val="5"/>
        </w:numPr>
        <w:rPr>
          <w:rFonts w:ascii="Arial" w:cs="Arial" w:eastAsia="Arial" w:hAnsi="Arial"/>
          <w:sz w:val="13"/>
          <w:szCs w:val="13"/>
          <w:color w:val="auto"/>
        </w:rPr>
      </w:pPr>
      <w:r>
        <w:rPr>
          <w:rFonts w:ascii="Arial" w:cs="Arial" w:eastAsia="Arial" w:hAnsi="Arial"/>
          <w:sz w:val="13"/>
          <w:szCs w:val="13"/>
          <w:color w:val="auto"/>
        </w:rPr>
        <w:t>Includes ratification bonus, lump sum payments, tier II wage increase, profit sharing, and layoff provisions</w:t>
      </w:r>
    </w:p>
    <w:p>
      <w:pPr>
        <w:spacing w:after="0" w:line="15" w:lineRule="exact"/>
        <w:rPr>
          <w:rFonts w:ascii="Arial" w:cs="Arial" w:eastAsia="Arial" w:hAnsi="Arial"/>
          <w:sz w:val="13"/>
          <w:szCs w:val="13"/>
          <w:color w:val="auto"/>
        </w:rPr>
      </w:pPr>
    </w:p>
    <w:p>
      <w:pPr>
        <w:ind w:left="140" w:hanging="138"/>
        <w:spacing w:after="0"/>
        <w:tabs>
          <w:tab w:leader="none" w:pos="140" w:val="left"/>
        </w:tabs>
        <w:numPr>
          <w:ilvl w:val="0"/>
          <w:numId w:val="5"/>
        </w:numPr>
        <w:rPr>
          <w:rFonts w:ascii="Arial" w:cs="Arial" w:eastAsia="Arial" w:hAnsi="Arial"/>
          <w:sz w:val="13"/>
          <w:szCs w:val="13"/>
          <w:color w:val="auto"/>
        </w:rPr>
      </w:pPr>
      <w:r>
        <w:rPr>
          <w:rFonts w:ascii="Arial" w:cs="Arial" w:eastAsia="Arial" w:hAnsi="Arial"/>
          <w:sz w:val="13"/>
          <w:szCs w:val="13"/>
          <w:color w:val="auto"/>
        </w:rPr>
        <w:t>Impact from elimination ends in 2013</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8</w:t>
      </w:r>
    </w:p>
    <w:p>
      <w:pPr>
        <w:sectPr>
          <w:pgSz w:w="11900" w:h="16838" w:orient="portrait"/>
          <w:cols w:equalWidth="0" w:num="1">
            <w:col w:w="10280"/>
          </w:cols>
          <w:pgMar w:left="420" w:top="549" w:right="1199" w:bottom="1440" w:gutter="0" w:footer="0" w:header="0"/>
        </w:sectPr>
      </w:pPr>
    </w:p>
    <w:bookmarkStart w:id="15" w:name="page16"/>
    <w:bookmarkEnd w:id="15"/>
    <w:p>
      <w:pPr>
        <w:ind w:left="927"/>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Key Takeaways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7" w:hanging="347"/>
        <w:spacing w:after="0"/>
        <w:tabs>
          <w:tab w:leader="none" w:pos="347" w:val="left"/>
        </w:tabs>
        <w:numPr>
          <w:ilvl w:val="0"/>
          <w:numId w:val="6"/>
        </w:numPr>
        <w:rPr>
          <w:rFonts w:ascii="Arial" w:cs="Arial" w:eastAsia="Arial" w:hAnsi="Arial"/>
          <w:sz w:val="44"/>
          <w:szCs w:val="44"/>
          <w:color w:val="auto"/>
        </w:rPr>
      </w:pPr>
      <w:r>
        <w:rPr>
          <w:rFonts w:ascii="Arial" w:cs="Arial" w:eastAsia="Arial" w:hAnsi="Arial"/>
          <w:sz w:val="44"/>
          <w:szCs w:val="44"/>
          <w:color w:val="auto"/>
        </w:rPr>
        <w:t>Maintained GMNA break-even point</w:t>
      </w:r>
    </w:p>
    <w:p>
      <w:pPr>
        <w:spacing w:after="0" w:line="200" w:lineRule="exact"/>
        <w:rPr>
          <w:rFonts w:ascii="Arial" w:cs="Arial" w:eastAsia="Arial" w:hAnsi="Arial"/>
          <w:sz w:val="44"/>
          <w:szCs w:val="44"/>
          <w:color w:val="auto"/>
        </w:rPr>
      </w:pPr>
    </w:p>
    <w:p>
      <w:pPr>
        <w:spacing w:after="0" w:line="222" w:lineRule="exact"/>
        <w:rPr>
          <w:rFonts w:ascii="Arial" w:cs="Arial" w:eastAsia="Arial" w:hAnsi="Arial"/>
          <w:sz w:val="44"/>
          <w:szCs w:val="44"/>
          <w:color w:val="auto"/>
        </w:rPr>
      </w:pPr>
    </w:p>
    <w:p>
      <w:pPr>
        <w:ind w:left="347" w:hanging="347"/>
        <w:spacing w:after="0"/>
        <w:tabs>
          <w:tab w:leader="none" w:pos="347" w:val="left"/>
        </w:tabs>
        <w:numPr>
          <w:ilvl w:val="0"/>
          <w:numId w:val="6"/>
        </w:numPr>
        <w:rPr>
          <w:rFonts w:ascii="Arial" w:cs="Arial" w:eastAsia="Arial" w:hAnsi="Arial"/>
          <w:sz w:val="44"/>
          <w:szCs w:val="44"/>
          <w:color w:val="auto"/>
        </w:rPr>
      </w:pPr>
      <w:r>
        <w:rPr>
          <w:rFonts w:ascii="Arial" w:cs="Arial" w:eastAsia="Arial" w:hAnsi="Arial"/>
          <w:sz w:val="44"/>
          <w:szCs w:val="44"/>
          <w:color w:val="auto"/>
        </w:rPr>
        <w:t>Minimal P &amp; L impact</w:t>
      </w:r>
    </w:p>
    <w:p>
      <w:pPr>
        <w:spacing w:after="0" w:line="200" w:lineRule="exact"/>
        <w:rPr>
          <w:rFonts w:ascii="Arial" w:cs="Arial" w:eastAsia="Arial" w:hAnsi="Arial"/>
          <w:sz w:val="44"/>
          <w:szCs w:val="44"/>
          <w:color w:val="auto"/>
        </w:rPr>
      </w:pPr>
    </w:p>
    <w:p>
      <w:pPr>
        <w:spacing w:after="0" w:line="281" w:lineRule="exact"/>
        <w:rPr>
          <w:rFonts w:ascii="Arial" w:cs="Arial" w:eastAsia="Arial" w:hAnsi="Arial"/>
          <w:sz w:val="44"/>
          <w:szCs w:val="44"/>
          <w:color w:val="auto"/>
        </w:rPr>
      </w:pPr>
    </w:p>
    <w:p>
      <w:pPr>
        <w:ind w:left="347" w:hanging="347"/>
        <w:spacing w:after="0"/>
        <w:tabs>
          <w:tab w:leader="none" w:pos="347" w:val="left"/>
        </w:tabs>
        <w:numPr>
          <w:ilvl w:val="0"/>
          <w:numId w:val="6"/>
        </w:numPr>
        <w:rPr>
          <w:rFonts w:ascii="Arial" w:cs="Arial" w:eastAsia="Arial" w:hAnsi="Arial"/>
          <w:sz w:val="44"/>
          <w:szCs w:val="44"/>
          <w:color w:val="auto"/>
        </w:rPr>
      </w:pPr>
      <w:r>
        <w:rPr>
          <w:rFonts w:ascii="Arial" w:cs="Arial" w:eastAsia="Arial" w:hAnsi="Arial"/>
          <w:sz w:val="44"/>
          <w:szCs w:val="44"/>
          <w:color w:val="auto"/>
        </w:rPr>
        <w:t>Protected our balance sheet</w:t>
      </w:r>
    </w:p>
    <w:p>
      <w:pPr>
        <w:spacing w:after="0" w:line="200" w:lineRule="exact"/>
        <w:rPr>
          <w:rFonts w:ascii="Arial" w:cs="Arial" w:eastAsia="Arial" w:hAnsi="Arial"/>
          <w:sz w:val="44"/>
          <w:szCs w:val="44"/>
          <w:color w:val="auto"/>
        </w:rPr>
      </w:pPr>
    </w:p>
    <w:p>
      <w:pPr>
        <w:spacing w:after="0" w:line="269" w:lineRule="exact"/>
        <w:rPr>
          <w:rFonts w:ascii="Arial" w:cs="Arial" w:eastAsia="Arial" w:hAnsi="Arial"/>
          <w:sz w:val="44"/>
          <w:szCs w:val="44"/>
          <w:color w:val="auto"/>
        </w:rPr>
      </w:pPr>
    </w:p>
    <w:p>
      <w:pPr>
        <w:ind w:left="347" w:hanging="347"/>
        <w:spacing w:after="0"/>
        <w:tabs>
          <w:tab w:leader="none" w:pos="347" w:val="left"/>
        </w:tabs>
        <w:numPr>
          <w:ilvl w:val="0"/>
          <w:numId w:val="6"/>
        </w:numPr>
        <w:rPr>
          <w:rFonts w:ascii="Arial" w:cs="Arial" w:eastAsia="Arial" w:hAnsi="Arial"/>
          <w:sz w:val="44"/>
          <w:szCs w:val="44"/>
          <w:color w:val="auto"/>
        </w:rPr>
      </w:pPr>
      <w:r>
        <w:rPr>
          <w:rFonts w:ascii="Arial" w:cs="Arial" w:eastAsia="Arial" w:hAnsi="Arial"/>
          <w:sz w:val="44"/>
          <w:szCs w:val="44"/>
          <w:color w:val="auto"/>
        </w:rPr>
        <w:t>Increased flexibility to add U.S. jobs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9</w:t>
      </w:r>
    </w:p>
    <w:sectPr>
      <w:pgSz w:w="11900" w:h="16838" w:orient="portrait"/>
      <w:cols w:equalWidth="0" w:num="1">
        <w:col w:w="10187"/>
      </w:cols>
      <w:pgMar w:left="493" w:top="5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endash "/>
      <w:numFmt w:val="bullet"/>
      <w:start w:val="1"/>
    </w:lvl>
    <w:lvl w:ilvl="2">
      <w:lvlJc w:val="left"/>
      <w:lvlText w:val="\endash "/>
      <w:numFmt w:val="bullet"/>
      <w:start w:val="1"/>
    </w:lvl>
  </w:abstractNum>
  <w:abstractNum w:abstractNumId="3">
    <w:nsid w:val="46E87CCD"/>
    <w:multiLevelType w:val="hybridMultilevel"/>
    <w:lvl w:ilvl="0">
      <w:lvlJc w:val="left"/>
      <w:lvlText w:val="•"/>
      <w:numFmt w:val="bullet"/>
      <w:start w:val="1"/>
    </w:lvl>
    <w:lvl w:ilvl="1">
      <w:lvlJc w:val="left"/>
      <w:lvlText w:val="\endash "/>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2019-12-11T08:17:43Z</dcterms:created>
  <dcterms:modified xsi:type="dcterms:W3CDTF">2019-12-11T08:17:43Z</dcterms:modified>
</cp:coreProperties>
</file>