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00"/>
          </w:cols>
          <w:pgMar w:left="240" w:top="230" w:right="65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230"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ind w:right="1539"/>
        <w:spacing w:after="0" w:line="258" w:lineRule="auto"/>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5.03 AMENDMENTS TO ARTICLES OF INCORPORATION OR BYLAWS; CHANGE IN FISCAL YEAR</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b w:val="1"/>
            <w:bCs w:val="1"/>
            <w:u w:val="single" w:color="auto"/>
            <w:color w:val="0000EE"/>
          </w:rPr>
          <w:t>ITEM 9.01 FINANCIAL STATEMENTS AND EXHIBITS</w:t>
        </w:r>
      </w:hyperlink>
    </w:p>
    <w:p>
      <w:pPr>
        <w:spacing w:after="0" w:line="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INDEX TO EXHIBITS</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March 15, 2011 the Board of Directors (the “Board”) of General Motors Company (the “Company”) amended the Company’s bylaws effective immediately to do the following:</w:t>
      </w:r>
    </w:p>
    <w:p>
      <w:pPr>
        <w:spacing w:after="0" w:line="51" w:lineRule="exact"/>
        <w:rPr>
          <w:sz w:val="20"/>
          <w:szCs w:val="20"/>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any stockholder who gives notice that he intends to nominate a candidate for election as director (a “Proposed Nominee”) or bring up any other matter at a stockholders meeting to provide a representation as to whether he intends to deliver a proxy statement or otherwise solicit proxies in connection with his nomination or other matter (Section 1.11(g));</w:t>
      </w:r>
    </w:p>
    <w:p>
      <w:pPr>
        <w:spacing w:after="0" w:line="59"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any Proposed Nominee to agree to comply with all laws, regulations (including stock exchange rules), and Company policies applicable to similarly situated directors of the Company, including but not limited to retirement age, limits on number of outside board memberships, codes of conduct, confidentiality, and stock ownership and trading policies, if elected (Section 1.11);</w:t>
      </w:r>
    </w:p>
    <w:p>
      <w:pPr>
        <w:spacing w:after="0" w:line="59"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Revise the wording of Section 2.2, “Term; Election; Resignation; Vacancy”, for greater clarity, particularly the provisions regarding election of directors by majority vote and resignation of incumbent directors who are not reelected by a majority of voting shares;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the lead director is to be an Independent Director and to be elected by the Independent Directors (Section 2.6).</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description above of the amendments to the Company’s bylaws does not purport to be complete and is qualified in its entirety by reference to the full text of the bylaws as amended, set forth in Exhibit 3.1 to this Form 8-K and incorporated in this Item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Method of Filing</w:t>
            </w:r>
          </w:p>
        </w:tc>
        <w:tc>
          <w:tcPr>
            <w:tcW w:w="18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Amended and Restated Bylaws of General Motors Company, as of</w:t>
            </w:r>
          </w:p>
        </w:tc>
        <w:tc>
          <w:tcPr>
            <w:tcW w:w="2680" w:type="dxa"/>
            <w:vAlign w:val="bottom"/>
            <w:gridSpan w:val="3"/>
          </w:tcPr>
          <w:p>
            <w:pPr>
              <w:jc w:val="center"/>
              <w:ind w:left="1212"/>
              <w:spacing w:after="0"/>
              <w:rPr>
                <w:sz w:val="20"/>
                <w:szCs w:val="20"/>
                <w:color w:val="auto"/>
              </w:rPr>
            </w:pPr>
            <w:r>
              <w:rPr>
                <w:rFonts w:ascii="Arial" w:cs="Arial" w:eastAsia="Arial" w:hAnsi="Arial"/>
                <w:sz w:val="18"/>
                <w:szCs w:val="18"/>
                <w:color w:val="auto"/>
                <w:w w:val="89"/>
              </w:rPr>
              <w:t>Attached as Exhibit</w:t>
            </w:r>
          </w:p>
        </w:tc>
      </w:tr>
      <w:tr>
        <w:trPr>
          <w:trHeight w:val="222"/>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March 15, 2011</w:t>
            </w: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March 21, 2011</w:t>
      </w:r>
      <w:r>
        <w:rPr>
          <w:sz w:val="20"/>
          <w:szCs w:val="20"/>
          <w:color w:val="auto"/>
        </w:rPr>
        <w:tab/>
      </w:r>
      <w:r>
        <w:rPr>
          <w:rFonts w:ascii="Arial" w:cs="Arial" w:eastAsia="Arial" w:hAnsi="Arial"/>
          <w:sz w:val="18"/>
          <w:szCs w:val="18"/>
          <w:u w:val="single" w:color="auto"/>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Bylaws of General Motors Company, as of March 15, 2011</w:t>
      </w:r>
    </w:p>
    <w:p>
      <w:pPr>
        <w:sectPr>
          <w:pgSz w:w="11900" w:h="16838" w:orient="portrait"/>
          <w:cols w:equalWidth="0" w:num="1">
            <w:col w:w="10219"/>
          </w:cols>
          <w:pgMar w:left="240" w:top="45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177"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i w:val="1"/>
          <w:iCs w:val="1"/>
          <w:color w:val="auto"/>
        </w:rPr>
        <w:t>AMENDED AND RESTATED BYLAWS</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of March 15, 2011</w:t>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200" w:type="dxa"/>
            <w:vAlign w:val="bottom"/>
          </w:tcPr>
          <w:p>
            <w:pPr>
              <w:ind w:left="408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527"/>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I MEETINGS OF STOCKHOLDERS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1.1</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Annual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1.2</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1.3</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Notice of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1.4</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List of Stockholders Entitled to Vote.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1.5</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1.6</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Conduct of Meeting.</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1.7</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Voting; Proxies.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1.8</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Fixing Date for Determination of Stockholders of Record.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1.9</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Adjournments.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1.10</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Judges.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1.11</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Notice of Stockholder Nomination and Stockholder Business.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1.12</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Stockholder Action by Written Consent.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II BOARD OF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2.1</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Responsibility and Number.</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2.2</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Term, Election; Resignation; Vacancies.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2.3</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Regular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2.4</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2.5</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Quorum; Vote Required for Action.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2.6</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Election of Chairman; Conduct of Board Meetings.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2.7</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Ratification.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2.8</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Written Action by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2.9</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Telephonic Meetings Permitted.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2.10</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Independent Directors.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2.11</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Access to Books and Records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Article III COMMITTEES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3.1</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Committees of the Board of Directors.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3.2</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Election; Vacancies.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3.3</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Procedure; Quorum.</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3.4</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Finance and Risk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3.5</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Audit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3.6</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Executive Compensation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3.7</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Public Policy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3.8</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Directors and Corporate Governance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Article IV OFFICERS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4.1</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Election of Officers.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4.2</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Chief Executive Officer.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4.3</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President.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4.4</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Vice Chairman of the Corporation.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4.5</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Chief Financial Officer.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4.6</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Treasurer.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4.7</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Secretary.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4.8</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Controller.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4.9</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General Counsel.</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4.10</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General Auditor.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4.11</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Chief Tax Officer.</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4.12</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Subordinate Officers.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4.13</w:t>
            </w:r>
          </w:p>
        </w:tc>
        <w:tc>
          <w:tcPr>
            <w:tcW w:w="7160" w:type="dxa"/>
            <w:vAlign w:val="bottom"/>
          </w:tcPr>
          <w:p>
            <w:pPr>
              <w:ind w:left="160"/>
              <w:spacing w:after="0"/>
              <w:rPr>
                <w:sz w:val="20"/>
                <w:szCs w:val="20"/>
                <w:color w:val="auto"/>
              </w:rPr>
            </w:pPr>
            <w:r>
              <w:rPr>
                <w:rFonts w:ascii="Arial" w:cs="Arial" w:eastAsia="Arial" w:hAnsi="Arial"/>
                <w:sz w:val="18"/>
                <w:szCs w:val="18"/>
                <w:b w:val="1"/>
                <w:bCs w:val="1"/>
                <w:color w:val="auto"/>
              </w:rPr>
              <w:t>Resignation; Removal; Suspension; Vacancies.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Article V INDEMNIFICATION</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5.1</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Right to Indemnification of Directors and Officers.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5.2</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Advancement of Expenses of Directors and Officers.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5.3</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Claims by Officers or Directors.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5.4</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Indemnification of Employees.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5.5</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Advancement of Expenses of Employees.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5.6</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Claims by Employees.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5.7</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Non Exclusivity of Rights.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5.8</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Other Indemnification.</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5.9</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Insurance.</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5.10</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Nature of Rights; Amendment or Repeal.</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Article VI MISCELLANEOUS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6.1</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Seal.</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6.2</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Fiscal Year.</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6.3</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Notice.</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6.4</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Waiver of Notice.</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6.5</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Voting of Stock Owned by the Corporation.</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6.6</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Form of Records.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6.7</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Offices.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Amendment of Bylaws.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6.9</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Gender Pronouns.</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700" w:type="dxa"/>
            <w:vAlign w:val="bottom"/>
          </w:tcPr>
          <w:p>
            <w:pPr>
              <w:ind w:left="220"/>
              <w:spacing w:after="0"/>
              <w:rPr>
                <w:sz w:val="20"/>
                <w:szCs w:val="20"/>
                <w:color w:val="auto"/>
              </w:rPr>
            </w:pPr>
            <w:r>
              <w:rPr>
                <w:rFonts w:ascii="Arial" w:cs="Arial" w:eastAsia="Arial" w:hAnsi="Arial"/>
                <w:sz w:val="18"/>
                <w:szCs w:val="18"/>
                <w:b w:val="1"/>
                <w:bCs w:val="1"/>
                <w:color w:val="auto"/>
              </w:rPr>
              <w:t>6.10</w:t>
            </w:r>
          </w:p>
        </w:tc>
        <w:tc>
          <w:tcPr>
            <w:tcW w:w="7260" w:type="dxa"/>
            <w:vAlign w:val="bottom"/>
          </w:tcPr>
          <w:p>
            <w:pPr>
              <w:ind w:left="160"/>
              <w:spacing w:after="0"/>
              <w:rPr>
                <w:sz w:val="20"/>
                <w:szCs w:val="20"/>
                <w:color w:val="auto"/>
              </w:rPr>
            </w:pPr>
            <w:r>
              <w:rPr>
                <w:rFonts w:ascii="Arial" w:cs="Arial" w:eastAsia="Arial" w:hAnsi="Arial"/>
                <w:sz w:val="18"/>
                <w:szCs w:val="18"/>
                <w:b w:val="1"/>
                <w:bCs w:val="1"/>
                <w:color w:val="auto"/>
              </w:rPr>
              <w:t>Uncertificated Stock</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8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i w:val="1"/>
          <w:iCs w:val="1"/>
          <w:color w:val="auto"/>
        </w:rPr>
        <w:t>Annual Meetings.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annual meeting of stockholders for the election of directors, ratification or rejection of the selection of auditors, and the transaction of such other business as may properly be brought before the meeting shall be held on the first Tuesday in June in each year, or on such other date and at such place and time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2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i w:val="1"/>
          <w:iCs w:val="1"/>
          <w:color w:val="auto"/>
        </w:rPr>
        <w:t>Special Meetings.</w:t>
      </w:r>
    </w:p>
    <w:p>
      <w:pPr>
        <w:spacing w:after="0" w:line="96" w:lineRule="exact"/>
        <w:rPr>
          <w:sz w:val="20"/>
          <w:szCs w:val="20"/>
          <w:color w:val="auto"/>
        </w:rPr>
      </w:pPr>
    </w:p>
    <w:p>
      <w:pPr>
        <w:ind w:firstLine="464"/>
        <w:spacing w:after="0" w:line="310" w:lineRule="auto"/>
        <w:tabs>
          <w:tab w:leader="none" w:pos="695"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Call of Special Meeting</w:t>
      </w:r>
      <w:r>
        <w:rPr>
          <w:rFonts w:ascii="Arial" w:cs="Arial" w:eastAsia="Arial" w:hAnsi="Arial"/>
          <w:sz w:val="15"/>
          <w:szCs w:val="15"/>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108" w:lineRule="exact"/>
        <w:rPr>
          <w:rFonts w:ascii="Arial" w:cs="Arial" w:eastAsia="Arial" w:hAnsi="Arial"/>
          <w:sz w:val="15"/>
          <w:szCs w:val="15"/>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Stockholder Request for Special Meeting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90" w:lineRule="auto"/>
        <w:tabs>
          <w:tab w:leader="none" w:pos="1162"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0" w:name="page11"/>
    <w:bookmarkEnd w:id="10"/>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 any other matter before a stockholder meeting. A stockholder may revoke its request for a special meeting at any time by written revocation delivered to the secretary of the Corporation.</w:t>
      </w:r>
    </w:p>
    <w:p>
      <w:pPr>
        <w:spacing w:after="0" w:line="113" w:lineRule="exact"/>
        <w:rPr>
          <w:sz w:val="20"/>
          <w:szCs w:val="20"/>
          <w:color w:val="auto"/>
        </w:rPr>
      </w:pPr>
    </w:p>
    <w:p>
      <w:pPr>
        <w:ind w:firstLine="921"/>
        <w:spacing w:after="0" w:line="253" w:lineRule="auto"/>
        <w:tabs>
          <w:tab w:leader="none" w:pos="116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board shall have the authority to determine not to call a special meeting requested by stockholders if (A) 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47" w:lineRule="exact"/>
        <w:rPr>
          <w:rFonts w:ascii="Arial" w:cs="Arial" w:eastAsia="Arial" w:hAnsi="Arial"/>
          <w:sz w:val="18"/>
          <w:szCs w:val="18"/>
          <w:color w:val="auto"/>
        </w:rPr>
      </w:pPr>
    </w:p>
    <w:p>
      <w:pPr>
        <w:ind w:right="260" w:firstLine="464"/>
        <w:spacing w:after="0" w:line="332"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Conduct of Special Meeting</w:t>
      </w:r>
      <w:r>
        <w:rPr>
          <w:rFonts w:ascii="Arial" w:cs="Arial" w:eastAsia="Arial" w:hAnsi="Arial"/>
          <w:sz w:val="16"/>
          <w:szCs w:val="16"/>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i w:val="1"/>
          <w:iCs w:val="1"/>
          <w:color w:val="auto"/>
        </w:rPr>
        <w:t>Notice of Meetings.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Written notice of each meeting of stockholders shall be given by the chairman of the board and/or the secretary in compliance with the provisions of Delaware law and these bylaws.</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i w:val="1"/>
          <w:iCs w:val="1"/>
          <w:color w:val="auto"/>
        </w:rPr>
        <w:t>List of Stockholders Entitled to Vote.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i w:val="1"/>
          <w:iCs w:val="1"/>
          <w:color w:val="auto"/>
        </w:rPr>
        <w:t>Quorum.</w:t>
      </w:r>
    </w:p>
    <w:p>
      <w:pPr>
        <w:spacing w:after="0" w:line="96" w:lineRule="exact"/>
        <w:rPr>
          <w:sz w:val="20"/>
          <w:szCs w:val="20"/>
          <w:color w:val="auto"/>
        </w:rPr>
      </w:pPr>
    </w:p>
    <w:p>
      <w:pPr>
        <w:ind w:right="60" w:firstLine="464"/>
        <w:spacing w:after="0" w:line="323" w:lineRule="auto"/>
        <w:tabs>
          <w:tab w:leader="none" w:pos="695"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97" w:lineRule="exact"/>
        <w:rPr>
          <w:rFonts w:ascii="Arial" w:cs="Arial" w:eastAsia="Arial" w:hAnsi="Arial"/>
          <w:sz w:val="15"/>
          <w:szCs w:val="15"/>
          <w:color w:val="auto"/>
        </w:rPr>
      </w:pPr>
    </w:p>
    <w:p>
      <w:pPr>
        <w:ind w:right="10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absence of a quorum pursuant to this section of the bylaws, a majority of the voting power of the outstanding shares of stock entitled to vote and present in person or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or in absence of any stockholders, any officer, may adjourn the meeting from time to time in the manner and to the extent provided in section 1.9 of these bylaws until a quorum shall attend.</w:t>
      </w:r>
    </w:p>
    <w:p>
      <w:pPr>
        <w:spacing w:after="0" w:line="132" w:lineRule="exact"/>
        <w:rPr>
          <w:sz w:val="20"/>
          <w:szCs w:val="20"/>
          <w:color w:val="auto"/>
        </w:rPr>
      </w:pPr>
    </w:p>
    <w:p>
      <w:pPr>
        <w:ind w:right="140" w:firstLine="464"/>
        <w:spacing w:after="0" w:line="306"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i w:val="1"/>
          <w:iCs w:val="1"/>
          <w:color w:val="auto"/>
        </w:rPr>
        <w:t>Conduct of Meeting.</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i w:val="1"/>
          <w:iCs w:val="1"/>
          <w:color w:val="auto"/>
        </w:rPr>
        <w:t>Voting; Proxies.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12" w:name="page13"/>
    <w:bookmarkEnd w:id="1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r>
        <w:rPr>
          <w:sz w:val="20"/>
          <w:szCs w:val="20"/>
          <w:color w:val="auto"/>
        </w:rPr>
        <w:tab/>
      </w:r>
      <w:r>
        <w:rPr>
          <w:rFonts w:ascii="Arial" w:cs="Arial" w:eastAsia="Arial" w:hAnsi="Arial"/>
          <w:sz w:val="15"/>
          <w:szCs w:val="15"/>
          <w:b w:val="1"/>
          <w:bCs w:val="1"/>
          <w:i w:val="1"/>
          <w:iCs w:val="1"/>
          <w:color w:val="auto"/>
        </w:rPr>
        <w:t>Fixing Date for Determination of Stockholders of Record.</w:t>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2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i w:val="1"/>
          <w:iCs w:val="1"/>
          <w:color w:val="auto"/>
        </w:rPr>
        <w:t>Adjournments.</w:t>
      </w:r>
    </w:p>
    <w:p>
      <w:pPr>
        <w:spacing w:after="0" w:line="9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4"/>
          <w:szCs w:val="14"/>
          <w:b w:val="1"/>
          <w:bCs w:val="1"/>
          <w:i w:val="1"/>
          <w:iCs w:val="1"/>
          <w:color w:val="auto"/>
        </w:rPr>
        <w:t>Judges.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i w:val="1"/>
          <w:iCs w:val="1"/>
          <w:color w:val="auto"/>
        </w:rPr>
        <w:t>Notice of Stockholder Nomination and Stockholder Business.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to matters sought to be included in any proxy statement of the Corporation, stockholders shall comply with Rule 14a-8 under the Exchange Act, if applicable, rather than this section 1.11.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to matters not sought to be included in any proxy statement of the Corporation, a stockholder’s notice (if required) shall state:</w:t>
      </w:r>
    </w:p>
    <w:p>
      <w:pPr>
        <w:spacing w:after="0" w:line="171" w:lineRule="exact"/>
        <w:rPr>
          <w:sz w:val="20"/>
          <w:szCs w:val="20"/>
          <w:color w:val="auto"/>
        </w:rPr>
      </w:pPr>
    </w:p>
    <w:p>
      <w:pPr>
        <w:ind w:right="4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and address of the stockholder of the Corporation who intends to make a nomination or bring up any other matter and the name and address of any Stockholder Associated Person covered by clauses (c), (d), or (e) below;</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the Corporation’s voting stock and intends to appear in person or by proxy at the meeting to make the nomination or bring up the matter specified in the notice;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the stockholder and any Stockholder Associated Person of the stockholder,</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all securities of the Corporation which are owned of record by such stockholder or by any such Stockholder Associated Person as of the date of the notice,</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205"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260" w:hanging="256"/>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stockholder intends to make a nomination for the election of directors,</w:t>
      </w:r>
    </w:p>
    <w:p>
      <w:pPr>
        <w:spacing w:after="0" w:line="90" w:lineRule="exact"/>
        <w:rPr>
          <w:rFonts w:ascii="Arial" w:cs="Arial" w:eastAsia="Arial" w:hAnsi="Arial"/>
          <w:sz w:val="18"/>
          <w:szCs w:val="18"/>
          <w:color w:val="auto"/>
        </w:rPr>
      </w:pPr>
    </w:p>
    <w:p>
      <w:pPr>
        <w:ind w:right="100" w:firstLine="443"/>
        <w:spacing w:after="0" w:line="332" w:lineRule="auto"/>
        <w:tabs>
          <w:tab w:leader="none" w:pos="64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of each nominee proposed by such stockholder (a “Proposed Nominee”) and the name and address of any Proposed Nominee Associated Person covered by any of subclauses (ii) through (v) of this paragraph,</w:t>
      </w:r>
    </w:p>
    <w:p>
      <w:pPr>
        <w:spacing w:after="0" w:line="4" w:lineRule="exact"/>
        <w:rPr>
          <w:rFonts w:ascii="Arial" w:cs="Arial" w:eastAsia="Arial" w:hAnsi="Arial"/>
          <w:sz w:val="16"/>
          <w:szCs w:val="16"/>
          <w:color w:val="auto"/>
        </w:rPr>
      </w:pPr>
    </w:p>
    <w:p>
      <w:pPr>
        <w:ind w:right="160" w:firstLine="443"/>
        <w:spacing w:after="0" w:line="268" w:lineRule="auto"/>
        <w:tabs>
          <w:tab w:leader="none" w:pos="69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50" w:lineRule="exact"/>
        <w:rPr>
          <w:rFonts w:ascii="Arial" w:cs="Arial" w:eastAsia="Arial" w:hAnsi="Arial"/>
          <w:sz w:val="18"/>
          <w:szCs w:val="18"/>
          <w:color w:val="auto"/>
        </w:rPr>
      </w:pPr>
    </w:p>
    <w:p>
      <w:pPr>
        <w:ind w:firstLine="443"/>
        <w:spacing w:after="0" w:line="256" w:lineRule="auto"/>
        <w:tabs>
          <w:tab w:leader="none" w:pos="745"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62" w:lineRule="exact"/>
        <w:rPr>
          <w:rFonts w:ascii="Arial" w:cs="Arial" w:eastAsia="Arial" w:hAnsi="Arial"/>
          <w:sz w:val="18"/>
          <w:szCs w:val="18"/>
          <w:color w:val="auto"/>
        </w:rPr>
      </w:pPr>
    </w:p>
    <w:p>
      <w:pPr>
        <w:ind w:right="220" w:firstLine="443"/>
        <w:spacing w:after="0" w:line="259" w:lineRule="auto"/>
        <w:tabs>
          <w:tab w:leader="none" w:pos="7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59" w:lineRule="exact"/>
        <w:rPr>
          <w:rFonts w:ascii="Arial" w:cs="Arial" w:eastAsia="Arial" w:hAnsi="Arial"/>
          <w:sz w:val="18"/>
          <w:szCs w:val="18"/>
          <w:color w:val="auto"/>
        </w:rPr>
      </w:pPr>
    </w:p>
    <w:p>
      <w:pPr>
        <w:ind w:right="100" w:firstLine="443"/>
        <w:spacing w:after="0" w:line="298" w:lineRule="auto"/>
        <w:tabs>
          <w:tab w:leader="none" w:pos="687"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12" w:lineRule="exact"/>
        <w:rPr>
          <w:rFonts w:ascii="Arial" w:cs="Arial" w:eastAsia="Arial" w:hAnsi="Arial"/>
          <w:sz w:val="16"/>
          <w:szCs w:val="16"/>
          <w:color w:val="auto"/>
        </w:rPr>
      </w:pPr>
    </w:p>
    <w:p>
      <w:pPr>
        <w:ind w:left="240" w:hanging="23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stockholder intends to make a proposal other than a nomination,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the matter,</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reasons for proposing such matter at the meeting,</w:t>
      </w:r>
    </w:p>
    <w:p>
      <w:pPr>
        <w:spacing w:after="0" w:line="90" w:lineRule="exact"/>
        <w:rPr>
          <w:rFonts w:ascii="Arial" w:cs="Arial" w:eastAsia="Arial" w:hAnsi="Arial"/>
          <w:sz w:val="18"/>
          <w:szCs w:val="18"/>
          <w:color w:val="auto"/>
        </w:rPr>
      </w:pPr>
    </w:p>
    <w:p>
      <w:pPr>
        <w:ind w:right="300" w:firstLine="443"/>
        <w:spacing w:after="0" w:line="268" w:lineRule="auto"/>
        <w:tabs>
          <w:tab w:leader="none" w:pos="745"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50" w:lineRule="exact"/>
        <w:rPr>
          <w:rFonts w:ascii="Arial" w:cs="Arial" w:eastAsia="Arial" w:hAnsi="Arial"/>
          <w:sz w:val="18"/>
          <w:szCs w:val="18"/>
          <w:color w:val="auto"/>
        </w:rPr>
      </w:pPr>
    </w:p>
    <w:p>
      <w:pPr>
        <w:ind w:right="300" w:firstLine="443"/>
        <w:spacing w:after="0" w:line="268" w:lineRule="auto"/>
        <w:tabs>
          <w:tab w:leader="none" w:pos="7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50"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other information relating to the proposal, the stockholder or any Stockholder Associated Person that would be required to be disclosed in filings with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5" w:name="page16"/>
    <w:bookmarkEnd w:id="15"/>
    <w:p>
      <w:pPr>
        <w:jc w:val="both"/>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40" w:lineRule="exact"/>
        <w:rPr>
          <w:sz w:val="20"/>
          <w:szCs w:val="20"/>
          <w:color w:val="auto"/>
        </w:rPr>
      </w:pPr>
    </w:p>
    <w:p>
      <w:pPr>
        <w:ind w:right="220" w:firstLine="464"/>
        <w:spacing w:after="0" w:line="332" w:lineRule="auto"/>
        <w:tabs>
          <w:tab w:leader="none" w:pos="6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known by the stockholder, the name and address of any other securityholder of the Corporation who owns, beneficially or of record, any securities of the Corporation and who supports any nominee proposed by such stockholder or any other matter such stockholder intends to propose; and</w:t>
      </w:r>
    </w:p>
    <w:p>
      <w:pPr>
        <w:spacing w:after="0" w:line="85" w:lineRule="exact"/>
        <w:rPr>
          <w:rFonts w:ascii="Arial" w:cs="Arial" w:eastAsia="Arial" w:hAnsi="Arial"/>
          <w:sz w:val="16"/>
          <w:szCs w:val="16"/>
          <w:color w:val="auto"/>
        </w:rPr>
      </w:pPr>
    </w:p>
    <w:p>
      <w:pPr>
        <w:ind w:right="140" w:firstLine="464"/>
        <w:spacing w:after="0" w:line="306"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10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with respect to the Proposed Nominee’s background and qualifications and deliver it within the time prescribed by delivery of notice in this section 1.11.</w:t>
      </w:r>
    </w:p>
    <w:p>
      <w:pPr>
        <w:spacing w:after="0" w:line="12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the meeting of stockholders, the presiding officer may declare out of order and disregard any nomination or other matter not presented in accordance with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1.11:</w:t>
      </w:r>
    </w:p>
    <w:p>
      <w:pPr>
        <w:spacing w:after="0" w:line="171" w:lineRule="exact"/>
        <w:rPr>
          <w:sz w:val="20"/>
          <w:szCs w:val="20"/>
          <w:color w:val="auto"/>
        </w:rPr>
      </w:pPr>
    </w:p>
    <w:p>
      <w:pPr>
        <w:jc w:val="both"/>
        <w:ind w:right="120" w:firstLine="921"/>
        <w:spacing w:after="0" w:line="259" w:lineRule="auto"/>
        <w:tabs>
          <w:tab w:leader="none" w:pos="116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“Proposed Nominee Associated Person” of any Proposed Nominee shall mean (i) any person acting in concert with such Proposed Nominee,</w:t>
      </w:r>
    </w:p>
    <w:p>
      <w:pPr>
        <w:spacing w:after="0" w:line="38" w:lineRule="exact"/>
        <w:rPr>
          <w:rFonts w:ascii="Arial" w:cs="Arial" w:eastAsia="Arial" w:hAnsi="Arial"/>
          <w:sz w:val="16"/>
          <w:szCs w:val="16"/>
          <w:color w:val="auto"/>
        </w:rPr>
      </w:pPr>
    </w:p>
    <w:p>
      <w:pPr>
        <w:ind w:right="300" w:firstLine="8"/>
        <w:spacing w:after="0" w:line="323" w:lineRule="auto"/>
        <w:tabs>
          <w:tab w:leader="none" w:pos="2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92" w:lineRule="exact"/>
        <w:rPr>
          <w:rFonts w:ascii="Arial" w:cs="Arial" w:eastAsia="Arial" w:hAnsi="Arial"/>
          <w:sz w:val="16"/>
          <w:szCs w:val="16"/>
          <w:color w:val="auto"/>
        </w:rPr>
      </w:pPr>
    </w:p>
    <w:p>
      <w:pPr>
        <w:ind w:right="20" w:firstLine="921"/>
        <w:spacing w:after="0" w:line="286" w:lineRule="auto"/>
        <w:tabs>
          <w:tab w:leader="none" w:pos="11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 (a) rights of a pledgee under a bona fide pledge 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 w:name="page18"/>
    <w:bookmarkEnd w:id="17"/>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i w:val="1"/>
          <w:iCs w:val="1"/>
          <w:color w:val="auto"/>
        </w:rPr>
        <w:t>Stockholder Action by Written Consent</w:t>
      </w:r>
      <w:r>
        <w:rPr>
          <w:rFonts w:ascii="Arial" w:cs="Arial" w:eastAsia="Arial" w:hAnsi="Arial"/>
          <w:sz w:val="15"/>
          <w:szCs w:val="15"/>
          <w:b w:val="1"/>
          <w:bCs w:val="1"/>
          <w:color w:val="auto"/>
        </w:rPr>
        <w:t>.</w:t>
      </w:r>
    </w:p>
    <w:p>
      <w:pPr>
        <w:spacing w:after="0" w:line="96" w:lineRule="exact"/>
        <w:rPr>
          <w:sz w:val="20"/>
          <w:szCs w:val="20"/>
          <w:color w:val="auto"/>
        </w:rPr>
      </w:pPr>
    </w:p>
    <w:p>
      <w:pPr>
        <w:ind w:right="40" w:firstLine="464"/>
        <w:spacing w:after="0" w:line="287"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Request for Record Date</w:t>
      </w:r>
      <w:r>
        <w:rPr>
          <w:rFonts w:ascii="Arial" w:cs="Arial" w:eastAsia="Arial" w:hAnsi="Arial"/>
          <w:sz w:val="16"/>
          <w:szCs w:val="16"/>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122" w:lineRule="exact"/>
        <w:rPr>
          <w:rFonts w:ascii="Arial" w:cs="Arial" w:eastAsia="Arial" w:hAnsi="Arial"/>
          <w:sz w:val="16"/>
          <w:szCs w:val="16"/>
          <w:color w:val="auto"/>
        </w:rPr>
      </w:pPr>
    </w:p>
    <w:p>
      <w:pPr>
        <w:ind w:right="60" w:firstLine="464"/>
        <w:spacing w:after="0" w:line="294"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Notice Requirements</w:t>
      </w:r>
      <w:r>
        <w:rPr>
          <w:rFonts w:ascii="Arial" w:cs="Arial" w:eastAsia="Arial" w:hAnsi="Arial"/>
          <w:sz w:val="16"/>
          <w:szCs w:val="16"/>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 w:name="page19"/>
    <w:bookmarkEnd w:id="18"/>
    <w:p>
      <w:pPr>
        <w:ind w:right="80" w:firstLine="464"/>
        <w:spacing w:after="0" w:line="298"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Consent</w:t>
      </w:r>
      <w:r>
        <w:rPr>
          <w:rFonts w:ascii="Arial" w:cs="Arial" w:eastAsia="Arial" w:hAnsi="Arial"/>
          <w:sz w:val="16"/>
          <w:szCs w:val="16"/>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112"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Delivery of Consent</w:t>
      </w:r>
      <w:r>
        <w:rPr>
          <w:rFonts w:ascii="Arial" w:cs="Arial" w:eastAsia="Arial" w:hAnsi="Arial"/>
          <w:sz w:val="18"/>
          <w:szCs w:val="18"/>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12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88" w:lineRule="exact"/>
        <w:rPr>
          <w:sz w:val="20"/>
          <w:szCs w:val="20"/>
          <w:color w:val="auto"/>
        </w:rPr>
      </w:pPr>
    </w:p>
    <w:p>
      <w:pPr>
        <w:ind w:right="40" w:firstLine="464"/>
        <w:spacing w:after="0" w:line="298"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Effectiveness of Consent</w:t>
      </w:r>
      <w:r>
        <w:rPr>
          <w:rFonts w:ascii="Arial" w:cs="Arial" w:eastAsia="Arial" w:hAnsi="Arial"/>
          <w:sz w:val="16"/>
          <w:szCs w:val="16"/>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9" w:name="page20"/>
    <w:bookmarkEnd w:id="19"/>
    <w:p>
      <w:pPr>
        <w:ind w:right="40" w:firstLine="464"/>
        <w:spacing w:after="0" w:line="255" w:lineRule="auto"/>
        <w:tabs>
          <w:tab w:leader="none" w:pos="67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Challenge to Validity of Consent</w:t>
      </w:r>
      <w:r>
        <w:rPr>
          <w:rFonts w:ascii="Arial" w:cs="Arial" w:eastAsia="Arial" w:hAnsi="Arial"/>
          <w:sz w:val="18"/>
          <w:szCs w:val="18"/>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i w:val="1"/>
          <w:iCs w:val="1"/>
          <w:color w:val="auto"/>
        </w:rPr>
        <w:t>Responsibility and Number.</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color w:val="auto"/>
        </w:rPr>
        <w:t>Term; Election; Resignation; Vacancies.</w:t>
      </w:r>
    </w:p>
    <w:p>
      <w:pPr>
        <w:spacing w:after="0" w:line="96" w:lineRule="exact"/>
        <w:rPr>
          <w:sz w:val="20"/>
          <w:szCs w:val="20"/>
          <w:color w:val="auto"/>
        </w:rPr>
      </w:pPr>
    </w:p>
    <w:p>
      <w:pPr>
        <w:ind w:right="40" w:firstLine="464"/>
        <w:spacing w:after="0" w:line="306" w:lineRule="auto"/>
        <w:tabs>
          <w:tab w:leader="none" w:pos="69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Nominations of candidates for election as directors at any stockholder meeting at which directors will be elected may be made</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the board, or (ii) by any stockholder entitled to vote at such meeting who has complied with section 1.11 of these bylaws.</w:t>
      </w:r>
    </w:p>
    <w:p>
      <w:pPr>
        <w:spacing w:after="0" w:line="164"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Majority Voting</w:t>
      </w:r>
      <w:r>
        <w:rPr>
          <w:rFonts w:ascii="Arial" w:cs="Arial" w:eastAsia="Arial" w:hAnsi="Arial"/>
          <w:sz w:val="18"/>
          <w:szCs w:val="18"/>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Contested Elections</w:t>
      </w:r>
      <w:r>
        <w:rPr>
          <w:rFonts w:ascii="Arial" w:cs="Arial" w:eastAsia="Arial" w:hAnsi="Arial"/>
          <w:sz w:val="16"/>
          <w:szCs w:val="16"/>
          <w:color w:val="auto"/>
        </w:rPr>
        <w:t>. With respect to any stockholder meeting at which directors will be elected, if the secretary receives proper notice under section</w:t>
      </w:r>
    </w:p>
    <w:p>
      <w:pPr>
        <w:spacing w:after="0" w:line="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1.11 of these bylaws that a stockholder (the “Nominating Stockholder”) intends to make a nomination at such meeting and (i) the number of nominated individuals including the Nominating Stockholder’s nominees would exceed the number of directors to be elected, (ii) the notice has not been withdrawn by the 14th day before the date that the Corporation begins mailing its notice of such meeting to stockholders and (iii) within the 18 months prior to the stockholder meeting the Nominating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(A) has not nominated any candidate for election at a previous stockholder or (B) has nominated a candidate who received at least 0.01 percent of the votes cast, the nominees who receive a plurality of the votes cast with respect to the election of directors at a meeting at which a quorum is present shall be elected.</w:t>
      </w:r>
    </w:p>
    <w:p>
      <w:pPr>
        <w:spacing w:after="0" w:line="140"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Resignation and Replacement of Unsuccessful Incumbents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He does not receive a majority of the votes cast, as calculated pursuant to paragraph (c) above;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board accepts his resignation in accordance with this paragraph (e).</w:t>
      </w:r>
    </w:p>
    <w:p>
      <w:pPr>
        <w:spacing w:after="0" w:line="90" w:lineRule="exact"/>
        <w:rPr>
          <w:sz w:val="20"/>
          <w:szCs w:val="20"/>
          <w:color w:val="auto"/>
        </w:rPr>
      </w:pPr>
    </w:p>
    <w:p>
      <w:pPr>
        <w:ind w:left="460" w:firstLine="443"/>
        <w:spacing w:after="0" w:line="291" w:lineRule="auto"/>
        <w:tabs>
          <w:tab w:leader="none" w:pos="1157" w:val="left"/>
        </w:tabs>
        <w:numPr>
          <w:ilvl w:val="1"/>
          <w:numId w:val="20"/>
        </w:numPr>
        <w:rPr>
          <w:rFonts w:ascii="Arial" w:cs="Arial" w:eastAsia="Arial" w:hAnsi="Arial"/>
          <w:sz w:val="16"/>
          <w:szCs w:val="16"/>
          <w:color w:val="auto"/>
        </w:rPr>
      </w:pPr>
      <w:r>
        <w:rPr>
          <w:rFonts w:ascii="Arial" w:cs="Arial" w:eastAsia="Arial" w:hAnsi="Arial"/>
          <w:sz w:val="16"/>
          <w:szCs w:val="16"/>
          <w:color w:val="auto"/>
        </w:rPr>
        <w:t>Within 90 days of receiving the certified vote pertaining to any election of directors by stockholders by majority voting in which an incumbent director failed to receive a majority of the votes cast, the board shall consider the recommendation of the directors and corporate governance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39" w:lineRule="exact"/>
        <w:rPr>
          <w:rFonts w:ascii="Arial" w:cs="Arial" w:eastAsia="Arial" w:hAnsi="Arial"/>
          <w:sz w:val="16"/>
          <w:szCs w:val="16"/>
          <w:color w:val="auto"/>
        </w:rPr>
      </w:pPr>
    </w:p>
    <w:p>
      <w:pPr>
        <w:ind w:left="460" w:right="80" w:firstLine="443"/>
        <w:spacing w:after="0" w:line="332" w:lineRule="auto"/>
        <w:tabs>
          <w:tab w:leader="none" w:pos="12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board accepts the resignation of an unsuccessful incumbent, the directors and corporate governance committee shall promptly recommend a candidate to the board to fill any resulting vacancy, and the board shall promptly consider and act upon that recommendation.</w:t>
      </w:r>
    </w:p>
    <w:p>
      <w:pPr>
        <w:spacing w:after="0" w:line="85" w:lineRule="exact"/>
        <w:rPr>
          <w:rFonts w:ascii="Arial" w:cs="Arial" w:eastAsia="Arial" w:hAnsi="Arial"/>
          <w:sz w:val="16"/>
          <w:szCs w:val="16"/>
          <w:color w:val="auto"/>
        </w:rPr>
      </w:pPr>
    </w:p>
    <w:p>
      <w:pPr>
        <w:ind w:right="260" w:firstLine="464"/>
        <w:spacing w:after="0" w:line="259" w:lineRule="auto"/>
        <w:tabs>
          <w:tab w:leader="none" w:pos="6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Resignations</w:t>
      </w:r>
      <w:r>
        <w:rPr>
          <w:rFonts w:ascii="Arial" w:cs="Arial" w:eastAsia="Arial" w:hAnsi="Arial"/>
          <w:sz w:val="18"/>
          <w:szCs w:val="18"/>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40"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131" w:lineRule="exact"/>
        <w:rPr>
          <w:rFonts w:ascii="Arial" w:cs="Arial" w:eastAsia="Arial" w:hAnsi="Arial"/>
          <w:sz w:val="18"/>
          <w:szCs w:val="18"/>
          <w:color w:val="auto"/>
        </w:rPr>
      </w:pPr>
    </w:p>
    <w:p>
      <w:pPr>
        <w:ind w:right="140" w:firstLine="464"/>
        <w:spacing w:after="0" w:line="335" w:lineRule="auto"/>
        <w:tabs>
          <w:tab w:leader="none" w:pos="705"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Filling a Vacancy</w:t>
      </w:r>
      <w:r>
        <w:rPr>
          <w:rFonts w:ascii="Arial" w:cs="Arial" w:eastAsia="Arial" w:hAnsi="Arial"/>
          <w:sz w:val="15"/>
          <w:szCs w:val="15"/>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w:t>
      </w:r>
      <w:r>
        <w:rPr>
          <w:sz w:val="20"/>
          <w:szCs w:val="20"/>
          <w:color w:val="auto"/>
        </w:rPr>
        <w:tab/>
      </w:r>
      <w:r>
        <w:rPr>
          <w:rFonts w:ascii="Arial" w:cs="Arial" w:eastAsia="Arial" w:hAnsi="Arial"/>
          <w:sz w:val="15"/>
          <w:szCs w:val="15"/>
          <w:b w:val="1"/>
          <w:bCs w:val="1"/>
          <w:i w:val="1"/>
          <w:iCs w:val="1"/>
          <w:color w:val="auto"/>
        </w:rPr>
        <w:t>Regular Meetings.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i w:val="1"/>
          <w:iCs w:val="1"/>
          <w:color w:val="auto"/>
        </w:rPr>
        <w:t>Special Meetings.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i w:val="1"/>
          <w:iCs w:val="1"/>
          <w:color w:val="auto"/>
        </w:rPr>
        <w:t>Quorum; Vote Required for Action.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i w:val="1"/>
          <w:iCs w:val="1"/>
          <w:color w:val="auto"/>
        </w:rPr>
        <w:t>Election of Chairman; Conduct of Board Meetings.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 shall preside at meetings of the board and lead the board in fulfilling its responsibilities as defined in section 2.1.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2" w:name="page23"/>
    <w:bookmarkEnd w:id="2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i w:val="1"/>
          <w:iCs w:val="1"/>
          <w:color w:val="auto"/>
        </w:rPr>
        <w:t>Ratification.</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i w:val="1"/>
          <w:iCs w:val="1"/>
          <w:color w:val="auto"/>
        </w:rPr>
        <w:t>Written Action by Directors.</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i w:val="1"/>
          <w:iCs w:val="1"/>
          <w:color w:val="auto"/>
        </w:rPr>
        <w:t>Telephonic Meetings Permitted.</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i w:val="1"/>
          <w:iCs w:val="1"/>
          <w:color w:val="auto"/>
        </w:rPr>
        <w:t>Independent Directors.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3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If the board elects directors between annual meetings of stockholders, two-thirds of all directors holding office immediately after such election shall be Independent Directors.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3" w:name="page24"/>
    <w:bookmarkEnd w:id="2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2.11</w:t>
      </w:r>
      <w:r>
        <w:rPr>
          <w:sz w:val="20"/>
          <w:szCs w:val="20"/>
          <w:color w:val="auto"/>
        </w:rPr>
        <w:tab/>
      </w:r>
      <w:r>
        <w:rPr>
          <w:rFonts w:ascii="Arial" w:cs="Arial" w:eastAsia="Arial" w:hAnsi="Arial"/>
          <w:sz w:val="14"/>
          <w:szCs w:val="14"/>
          <w:b w:val="1"/>
          <w:bCs w:val="1"/>
          <w:i w:val="1"/>
          <w:iCs w:val="1"/>
          <w:color w:val="auto"/>
        </w:rPr>
        <w:t>Access to Books and Records</w:t>
      </w:r>
    </w:p>
    <w:p>
      <w:pPr>
        <w:spacing w:after="0" w:line="9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Committees of the Board of Directors.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standing committees of the board shall include the audit committee, the directors and corporate governance committee, the executive compensation committee, the finance and risk committee, and the public policy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2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i w:val="1"/>
          <w:iCs w:val="1"/>
          <w:color w:val="auto"/>
        </w:rPr>
        <w:t>Election; Vacancies.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i w:val="1"/>
          <w:iCs w:val="1"/>
          <w:color w:val="auto"/>
        </w:rPr>
        <w:t>Procedure; Quorum.</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Except to the extent otherwise provided in these bylaws or any resolution of the board of directors, each committee of the board may fix its own rules and procedures.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4" w:name="page25"/>
    <w:bookmarkEnd w:id="2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5"/>
          <w:szCs w:val="15"/>
          <w:b w:val="1"/>
          <w:bCs w:val="1"/>
          <w:i w:val="1"/>
          <w:iCs w:val="1"/>
          <w:color w:val="auto"/>
        </w:rPr>
        <w:t>Finance and Risk Committee.</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finance and risk committee shall be responsible for assisting the board of directors in its oversight of the Corporation’s financial policies and strategies, including its capital structure. The committee shall also be responsible for assisting the board of directors in its oversight of the Corporation’s risk management strategies and policies, including overseeing management of market, credit, liquidity and funding risks.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i w:val="1"/>
          <w:iCs w:val="1"/>
          <w:color w:val="auto"/>
        </w:rPr>
        <w:t>Audit Committee.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i w:val="1"/>
          <w:iCs w:val="1"/>
          <w:color w:val="auto"/>
        </w:rPr>
        <w:t>Executive Compensation Committee.</w:t>
      </w:r>
    </w:p>
    <w:p>
      <w:pPr>
        <w:spacing w:after="0" w:line="96"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w:t>
      </w:r>
    </w:p>
    <w:p>
      <w:pPr>
        <w:ind w:right="40" w:firstLine="8"/>
        <w:spacing w:after="0" w:line="253"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i w:val="1"/>
          <w:iCs w:val="1"/>
          <w:color w:val="auto"/>
        </w:rPr>
        <w:t>Public Policy Committee.</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5" w:name="page26"/>
    <w:bookmarkEnd w:id="2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3.8</w:t>
      </w:r>
      <w:r>
        <w:rPr>
          <w:sz w:val="20"/>
          <w:szCs w:val="20"/>
          <w:color w:val="auto"/>
        </w:rPr>
        <w:tab/>
      </w:r>
      <w:r>
        <w:rPr>
          <w:rFonts w:ascii="Arial" w:cs="Arial" w:eastAsia="Arial" w:hAnsi="Arial"/>
          <w:sz w:val="15"/>
          <w:szCs w:val="15"/>
          <w:b w:val="1"/>
          <w:bCs w:val="1"/>
          <w:i w:val="1"/>
          <w:iCs w:val="1"/>
          <w:color w:val="auto"/>
        </w:rPr>
        <w:t>Directors and Corporate Governance Committee.</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282"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IV</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OFFICERS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i w:val="1"/>
          <w:iCs w:val="1"/>
          <w:color w:val="auto"/>
        </w:rPr>
        <w:t>Election of Officers.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group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2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i w:val="1"/>
          <w:iCs w:val="1"/>
          <w:color w:val="auto"/>
        </w:rPr>
        <w:t>Chief Executive Officer.</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4"/>
          <w:szCs w:val="14"/>
          <w:b w:val="1"/>
          <w:bCs w:val="1"/>
          <w:i w:val="1"/>
          <w:iCs w:val="1"/>
          <w:color w:val="auto"/>
        </w:rPr>
        <w:t>President.</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w:t>
      </w:r>
      <w:r>
        <w:rPr>
          <w:sz w:val="20"/>
          <w:szCs w:val="20"/>
          <w:color w:val="auto"/>
        </w:rPr>
        <w:tab/>
      </w:r>
      <w:r>
        <w:rPr>
          <w:rFonts w:ascii="Arial" w:cs="Arial" w:eastAsia="Arial" w:hAnsi="Arial"/>
          <w:sz w:val="15"/>
          <w:szCs w:val="15"/>
          <w:b w:val="1"/>
          <w:bCs w:val="1"/>
          <w:i w:val="1"/>
          <w:iCs w:val="1"/>
          <w:color w:val="auto"/>
        </w:rPr>
        <w:t>Vice Chairman of the Corporation.</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i w:val="1"/>
          <w:iCs w:val="1"/>
          <w:color w:val="auto"/>
        </w:rPr>
        <w:t>Chief Financial Officer.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i w:val="1"/>
          <w:iCs w:val="1"/>
          <w:color w:val="auto"/>
        </w:rPr>
        <w:t>Treasurer.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treasurer shall have direct or indirect custody of all funds and securities of the Corporation and shall perform all duties incident to the position of treasurer.</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4"/>
          <w:szCs w:val="14"/>
          <w:b w:val="1"/>
          <w:bCs w:val="1"/>
          <w:i w:val="1"/>
          <w:iCs w:val="1"/>
          <w:color w:val="auto"/>
        </w:rPr>
        <w:t>Secretary.</w:t>
      </w:r>
    </w:p>
    <w:p>
      <w:pPr>
        <w:spacing w:after="0" w:line="9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i w:val="1"/>
          <w:iCs w:val="1"/>
          <w:color w:val="auto"/>
        </w:rPr>
        <w:t>Controller.</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5"/>
          <w:szCs w:val="15"/>
          <w:b w:val="1"/>
          <w:bCs w:val="1"/>
          <w:i w:val="1"/>
          <w:iCs w:val="1"/>
          <w:color w:val="auto"/>
        </w:rPr>
        <w:t>General Counsel.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5"/>
          <w:szCs w:val="15"/>
          <w:b w:val="1"/>
          <w:bCs w:val="1"/>
          <w:i w:val="1"/>
          <w:iCs w:val="1"/>
          <w:color w:val="auto"/>
        </w:rPr>
        <w:t>General Auditor.</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general auditor shall have such duties as are incident to the position of general auditor in the performance of an internal audit activity of the Corporation and shall have direct access to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7" w:name="page28"/>
    <w:bookmarkEnd w:id="2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4.11</w:t>
      </w:r>
      <w:r>
        <w:rPr>
          <w:sz w:val="20"/>
          <w:szCs w:val="20"/>
          <w:color w:val="auto"/>
        </w:rPr>
        <w:tab/>
      </w:r>
      <w:r>
        <w:rPr>
          <w:rFonts w:ascii="Arial" w:cs="Arial" w:eastAsia="Arial" w:hAnsi="Arial"/>
          <w:sz w:val="15"/>
          <w:szCs w:val="15"/>
          <w:b w:val="1"/>
          <w:bCs w:val="1"/>
          <w:i w:val="1"/>
          <w:iCs w:val="1"/>
          <w:color w:val="auto"/>
        </w:rPr>
        <w:t>Chief Tax Officer.</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i w:val="1"/>
          <w:iCs w:val="1"/>
          <w:color w:val="auto"/>
        </w:rPr>
        <w:t>Subordinate Officers.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i w:val="1"/>
          <w:iCs w:val="1"/>
          <w:color w:val="auto"/>
        </w:rPr>
        <w:t>Resignation; Removal; Suspension; Vacancies.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Any officer elected by the board of directors may be suspended or removed at any time by the affirmative vote of a majority of the board. Any subordinate officer of the Corporation appointed by the board, a committee of the board, or the chief executive officer may be suspended or removed at any time by the board, the committee that appointed such subordinate officer, the chief executive officer or any other officer to whom such subordinate officer reports.</w:t>
      </w:r>
    </w:p>
    <w:p>
      <w:pPr>
        <w:spacing w:after="0" w:line="107"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i w:val="1"/>
          <w:iCs w:val="1"/>
          <w:color w:val="auto"/>
        </w:rPr>
        <w:t>Right to Indemnification of Directors and Officers.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other provisions of this article, the Corporation shall indemnify and advance expenses to every director and officer of the Corporation in the manner and to the fullest extent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8" w:name="page29"/>
    <w:bookmarkEnd w:id="2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i w:val="1"/>
          <w:iCs w:val="1"/>
          <w:color w:val="auto"/>
        </w:rPr>
        <w:t>Advancement of Expenses of Directors and Officers.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i w:val="1"/>
          <w:iCs w:val="1"/>
          <w:color w:val="auto"/>
        </w:rPr>
        <w:t>Claims by Officers or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i w:val="1"/>
          <w:iCs w:val="1"/>
          <w:color w:val="auto"/>
        </w:rPr>
        <w:t>Indemnification of Employees.</w:t>
      </w:r>
    </w:p>
    <w:p>
      <w:pPr>
        <w:spacing w:after="0" w:line="96" w:lineRule="exact"/>
        <w:rPr>
          <w:sz w:val="20"/>
          <w:szCs w:val="20"/>
          <w:color w:val="auto"/>
        </w:rPr>
      </w:pPr>
    </w:p>
    <w:p>
      <w:pPr>
        <w:ind w:right="60" w:firstLine="464"/>
        <w:spacing w:after="0" w:line="283"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w:t>
      </w:r>
    </w:p>
    <w:p>
      <w:pPr>
        <w:spacing w:after="0" w:line="2" w:lineRule="exact"/>
        <w:rPr>
          <w:rFonts w:ascii="Arial" w:cs="Arial" w:eastAsia="Arial" w:hAnsi="Arial"/>
          <w:sz w:val="16"/>
          <w:szCs w:val="16"/>
          <w:color w:val="auto"/>
        </w:rPr>
      </w:pPr>
    </w:p>
    <w:p>
      <w:pPr>
        <w:ind w:right="60" w:firstLine="8"/>
        <w:spacing w:after="0" w:line="255"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 w:name="page30"/>
    <w:bookmarkEnd w:id="29"/>
    <w:p>
      <w:pPr>
        <w:ind w:firstLine="464"/>
        <w:spacing w:after="0" w:line="288"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2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4"/>
          <w:szCs w:val="14"/>
          <w:b w:val="1"/>
          <w:bCs w:val="1"/>
          <w:i w:val="1"/>
          <w:iCs w:val="1"/>
          <w:color w:val="auto"/>
        </w:rPr>
        <w:t>Advancement of Expenses of Employees.</w:t>
      </w:r>
    </w:p>
    <w:p>
      <w:pPr>
        <w:spacing w:after="0" w:line="96"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w:t>
      </w:r>
    </w:p>
    <w:p>
      <w:pPr>
        <w:spacing w:after="0" w:line="1" w:lineRule="exact"/>
        <w:rPr>
          <w:sz w:val="20"/>
          <w:szCs w:val="20"/>
          <w:color w:val="auto"/>
        </w:rPr>
      </w:pPr>
    </w:p>
    <w:p>
      <w:pPr>
        <w:ind w:right="160" w:firstLine="8"/>
        <w:spacing w:after="0" w:line="255"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2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4"/>
          <w:szCs w:val="14"/>
          <w:b w:val="1"/>
          <w:bCs w:val="1"/>
          <w:i w:val="1"/>
          <w:iCs w:val="1"/>
          <w:color w:val="auto"/>
        </w:rPr>
        <w:t>Claims by Employees.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i w:val="1"/>
          <w:iCs w:val="1"/>
          <w:color w:val="auto"/>
        </w:rPr>
        <w:t>Non Exclusivity of Rights.</w:t>
      </w:r>
    </w:p>
    <w:p>
      <w:pPr>
        <w:spacing w:after="0" w:line="9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w:t>
      </w:r>
      <w:r>
        <w:rPr>
          <w:sz w:val="20"/>
          <w:szCs w:val="20"/>
          <w:color w:val="auto"/>
        </w:rPr>
        <w:tab/>
      </w:r>
      <w:r>
        <w:rPr>
          <w:rFonts w:ascii="Arial" w:cs="Arial" w:eastAsia="Arial" w:hAnsi="Arial"/>
          <w:sz w:val="15"/>
          <w:szCs w:val="15"/>
          <w:b w:val="1"/>
          <w:bCs w:val="1"/>
          <w:i w:val="1"/>
          <w:iCs w:val="1"/>
          <w:color w:val="auto"/>
        </w:rPr>
        <w:t>Other Indemnification.</w:t>
      </w:r>
    </w:p>
    <w:p>
      <w:pPr>
        <w:spacing w:after="0" w:line="9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i w:val="1"/>
          <w:iCs w:val="1"/>
          <w:color w:val="auto"/>
        </w:rPr>
        <w:t>Insurance.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i w:val="1"/>
          <w:iCs w:val="1"/>
          <w:color w:val="auto"/>
        </w:rPr>
        <w:t>Nature of Rights; Amendment or Repeal.</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MISCELLANEOUS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i w:val="1"/>
          <w:iCs w:val="1"/>
          <w:color w:val="auto"/>
        </w:rPr>
        <w:t>Seal.</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Fiscal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begin on January 1 and end on December 31 of each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 w:name="page32"/>
    <w:bookmarkEnd w:id="3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w:t>
      </w:r>
      <w:r>
        <w:rPr>
          <w:sz w:val="20"/>
          <w:szCs w:val="20"/>
          <w:color w:val="auto"/>
        </w:rPr>
        <w:tab/>
      </w:r>
      <w:r>
        <w:rPr>
          <w:rFonts w:ascii="Arial" w:cs="Arial" w:eastAsia="Arial" w:hAnsi="Arial"/>
          <w:sz w:val="14"/>
          <w:szCs w:val="14"/>
          <w:b w:val="1"/>
          <w:bCs w:val="1"/>
          <w:i w:val="1"/>
          <w:iCs w:val="1"/>
          <w:color w:val="auto"/>
        </w:rPr>
        <w:t>Notice.</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 followed by a paper copy of such notice delivered by overnight mail or courier service.</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Waiver of Notice.</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i w:val="1"/>
          <w:iCs w:val="1"/>
          <w:color w:val="auto"/>
        </w:rPr>
        <w:t>Voting of Stock Owned by the Corporation.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board of directors, the finance and risk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i w:val="1"/>
          <w:iCs w:val="1"/>
          <w:color w:val="auto"/>
        </w:rPr>
        <w:t>Form of Records.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i w:val="1"/>
          <w:iCs w:val="1"/>
          <w:color w:val="auto"/>
        </w:rPr>
        <w:t>Offices.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i w:val="1"/>
          <w:iCs w:val="1"/>
          <w:color w:val="auto"/>
        </w:rPr>
        <w:t>Amendment of Bylaws.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the notice provisions provided in section 1.11 of these bylaws.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6.9</w:t>
      </w:r>
      <w:r>
        <w:rPr>
          <w:sz w:val="20"/>
          <w:szCs w:val="20"/>
          <w:color w:val="auto"/>
        </w:rPr>
        <w:tab/>
      </w:r>
      <w:r>
        <w:rPr>
          <w:rFonts w:ascii="Arial" w:cs="Arial" w:eastAsia="Arial" w:hAnsi="Arial"/>
          <w:sz w:val="15"/>
          <w:szCs w:val="15"/>
          <w:b w:val="1"/>
          <w:bCs w:val="1"/>
          <w:i w:val="1"/>
          <w:iCs w:val="1"/>
          <w:color w:val="auto"/>
        </w:rPr>
        <w:t>Gender Pronouns.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Whenever the masculine pronoun is used in these bylaws, it shall be deemed to refer to either the masculine or the feminine gender.</w:t>
      </w: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5"/>
          <w:szCs w:val="15"/>
          <w:b w:val="1"/>
          <w:bCs w:val="1"/>
          <w:i w:val="1"/>
          <w:iCs w:val="1"/>
          <w:color w:val="auto"/>
        </w:rPr>
        <w:t>Uncertificated Stock</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lvl w:ilvl="1">
      <w:lvlJc w:val="left"/>
      <w:lvlText w:val="(%2)"/>
      <w:numFmt w:val="decimal"/>
      <w:start w:val="1"/>
    </w:lvl>
  </w:abstractNum>
  <w:abstractNum w:abstractNumId="3">
    <w:nsid w:val="1BEFD79F"/>
    <w:multiLevelType w:val="hybridMultilevel"/>
    <w:lvl w:ilvl="0">
      <w:lvlJc w:val="left"/>
      <w:lvlText w:val="%1"/>
      <w:numFmt w:val="lowerLetter"/>
      <w:start w:val="1"/>
    </w:lvl>
    <w:lvl w:ilvl="1">
      <w:lvlJc w:val="left"/>
      <w:lvlText w:val="(%2)"/>
      <w:numFmt w:val="decimal"/>
      <w:start w:val="2"/>
    </w:lvl>
  </w:abstractNum>
  <w:abstractNum w:abstractNumId="4">
    <w:nsid w:val="41A7C4C9"/>
    <w:multiLevelType w:val="hybridMultilevel"/>
    <w:lvl w:ilvl="0">
      <w:lvlJc w:val="left"/>
      <w:lvlText w:val="(%1)"/>
      <w:numFmt w:val="lowerLetter"/>
      <w:start w:val="3"/>
    </w:lvl>
    <w:lvl w:ilvl="1">
      <w:lvlJc w:val="left"/>
      <w:lvlText w:val="%2"/>
      <w:numFmt w:val="decimal"/>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3"/>
    </w:lvl>
  </w:abstractNum>
  <w:abstractNum w:abstractNumId="7">
    <w:nsid w:val="25E45D32"/>
    <w:multiLevelType w:val="hybridMultilevel"/>
    <w:lvl w:ilvl="0">
      <w:lvlJc w:val="left"/>
      <w:lvlText w:val="(%1)"/>
      <w:numFmt w:val="lowerLetter"/>
      <w:start w:val="1"/>
    </w:lvl>
    <w:lvl w:ilvl="1">
      <w:lvlJc w:val="left"/>
      <w:lvlText w:val="(%2)"/>
      <w:numFmt w:val="lowerRoman"/>
      <w:start w:val="1"/>
    </w:lvl>
  </w:abstractNum>
  <w:abstractNum w:abstractNumId="8">
    <w:nsid w:val="519B500D"/>
    <w:multiLevelType w:val="hybridMultilevel"/>
    <w:lvl w:ilvl="0">
      <w:lvlJc w:val="left"/>
      <w:lvlText w:val="(%1)"/>
      <w:numFmt w:val="lowerLetter"/>
      <w:start w:val="4"/>
    </w:lvl>
    <w:lvl w:ilvl="1">
      <w:lvlJc w:val="left"/>
      <w:lvlText w:val="(%2)"/>
      <w:numFmt w:val="lowerRoman"/>
      <w:start w:val="1"/>
    </w:lvl>
  </w:abstractNum>
  <w:abstractNum w:abstractNumId="9">
    <w:nsid w:val="431BD7B7"/>
    <w:multiLevelType w:val="hybridMultilevel"/>
    <w:lvl w:ilvl="0">
      <w:lvlJc w:val="left"/>
      <w:lvlText w:val="(%1)"/>
      <w:numFmt w:val="lowerLetter"/>
      <w:start w:val="6"/>
    </w:lvl>
  </w:abstractNum>
  <w:abstractNum w:abstractNumId="10">
    <w:nsid w:val="3F2DBA31"/>
    <w:multiLevelType w:val="hybridMultilevel"/>
    <w:lvl w:ilvl="0">
      <w:lvlJc w:val="left"/>
      <w:lvlText w:val="%1"/>
      <w:numFmt w:val="lowerRoman"/>
      <w:start w:val="1"/>
    </w:lvl>
    <w:lvl w:ilvl="1">
      <w:lvlJc w:val="left"/>
      <w:lvlText w:val="(%2)"/>
      <w:numFmt w:val="decimal"/>
      <w:start w:val="1"/>
    </w:lvl>
  </w:abstractNum>
  <w:abstractNum w:abstractNumId="11">
    <w:nsid w:val="7C83E458"/>
    <w:multiLevelType w:val="hybridMultilevel"/>
    <w:lvl w:ilvl="0">
      <w:lvlJc w:val="left"/>
      <w:lvlText w:val="(%1)"/>
      <w:numFmt w:val="lowerRoman"/>
      <w:start w:val="2"/>
    </w:lvl>
    <w:lvl w:ilvl="1">
      <w:lvlJc w:val="left"/>
      <w:lvlText w:val="(%2)"/>
      <w:numFmt w:val="decimal"/>
      <w:start w:val="3"/>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3"/>
    </w:lvl>
  </w:abstractNum>
  <w:abstractNum w:abstractNumId="14">
    <w:nsid w:val="436C6125"/>
    <w:multiLevelType w:val="hybridMultilevel"/>
    <w:lvl w:ilvl="0">
      <w:lvlJc w:val="left"/>
      <w:lvlText w:val="(%1)"/>
      <w:numFmt w:val="lowerLetter"/>
      <w:start w:val="5"/>
    </w:lvl>
  </w:abstractNum>
  <w:abstractNum w:abstractNumId="15">
    <w:nsid w:val="628C895D"/>
    <w:multiLevelType w:val="hybridMultilevel"/>
    <w:lvl w:ilvl="0">
      <w:lvlJc w:val="left"/>
      <w:lvlText w:val="(%1)"/>
      <w:numFmt w:val="lowerLetter"/>
      <w:start w:val="6"/>
    </w:lvl>
  </w:abstractNum>
  <w:abstractNum w:abstractNumId="16">
    <w:nsid w:val="333AB105"/>
    <w:multiLevelType w:val="hybridMultilevel"/>
    <w:lvl w:ilvl="0">
      <w:lvlJc w:val="left"/>
      <w:lvlText w:val="%1"/>
      <w:numFmt w:val="lowerLetter"/>
      <w:start w:val="1"/>
    </w:lvl>
    <w:lvl w:ilvl="1">
      <w:lvlJc w:val="left"/>
      <w:lvlText w:val="(%2)"/>
      <w:numFmt w:val="lowerLetter"/>
      <w:start w:val="1"/>
    </w:lvl>
  </w:abstractNum>
  <w:abstractNum w:abstractNumId="17">
    <w:nsid w:val="721DA317"/>
    <w:multiLevelType w:val="hybridMultilevel"/>
    <w:lvl w:ilvl="0">
      <w:lvlJc w:val="left"/>
      <w:lvlText w:val="(%1)"/>
      <w:numFmt w:val="lowerLetter"/>
      <w:start w:val="9"/>
    </w:lvl>
    <w:lvl w:ilvl="1">
      <w:lvlJc w:val="left"/>
      <w:lvlText w:val="(%2)"/>
      <w:numFmt w:val="lowerLetter"/>
      <w:start w:val="3"/>
    </w:lvl>
  </w:abstractNum>
  <w:abstractNum w:abstractNumId="18">
    <w:nsid w:val="2443A858"/>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1"/>
    </w:lvl>
  </w:abstractNum>
  <w:abstractNum w:abstractNumId="19">
    <w:nsid w:val="2D1D5AE9"/>
    <w:multiLevelType w:val="hybridMultilevel"/>
    <w:lvl w:ilvl="0">
      <w:lvlJc w:val="left"/>
      <w:lvlText w:val="%1"/>
      <w:numFmt w:val="lowerLetter"/>
      <w:start w:val="1"/>
    </w:lvl>
    <w:lvl w:ilvl="1">
      <w:lvlJc w:val="left"/>
      <w:lvlText w:val="(%2)"/>
      <w:numFmt w:val="lowerRoman"/>
      <w:start w:val="2"/>
    </w:lvl>
  </w:abstractNum>
  <w:abstractNum w:abstractNumId="20">
    <w:nsid w:val="6763845E"/>
    <w:multiLevelType w:val="hybridMultilevel"/>
    <w:lvl w:ilvl="0">
      <w:lvlJc w:val="left"/>
      <w:lvlText w:val="(%1)"/>
      <w:numFmt w:val="lowerLetter"/>
      <w:start w:val="6"/>
    </w:lvl>
    <w:lvl w:ilvl="1">
      <w:lvlJc w:val="left"/>
      <w:lvlText w:val="%2"/>
      <w:numFmt w:val="lowerRoman"/>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1"/>
    </w:lvl>
    <w:lvl w:ilvl="1">
      <w:lvlJc w:val="left"/>
      <w:lvlText w:val="(%2)"/>
      <w:numFmt w:val="lowerLetter"/>
      <w:start w:val="1"/>
    </w:lvl>
  </w:abstractNum>
  <w:abstractNum w:abstractNumId="23">
    <w:nsid w:val="79838CB2"/>
    <w:multiLevelType w:val="hybridMultilevel"/>
    <w:lvl w:ilvl="0">
      <w:lvlJc w:val="left"/>
      <w:lvlText w:val="(%1)"/>
      <w:numFmt w:val="lowerLetter"/>
      <w:start w:val="2"/>
    </w:lvl>
    <w:lvl w:ilvl="1">
      <w:lvlJc w:val="left"/>
      <w:lvlText w:val="%2"/>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2019-12-11T08:35:43Z</dcterms:created>
  <dcterms:modified xsi:type="dcterms:W3CDTF">2019-12-11T08:35:43Z</dcterms:modified>
</cp:coreProperties>
</file>