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0"/>
          <w:szCs w:val="20"/>
          <w:color w:val="auto"/>
        </w:rPr>
        <w:t>SCHEDULE 14A</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Proxy Statement Pursuant to Section 14(a)</w:t>
      </w:r>
    </w:p>
    <w:p>
      <w:pPr>
        <w:spacing w:after="0" w:line="46" w:lineRule="exact"/>
        <w:rPr>
          <w:sz w:val="24"/>
          <w:szCs w:val="24"/>
          <w:color w:val="auto"/>
        </w:rPr>
      </w:pPr>
    </w:p>
    <w:p>
      <w:pPr>
        <w:jc w:val="center"/>
        <w:ind w:right="-1200"/>
        <w:spacing w:after="0"/>
        <w:rPr>
          <w:sz w:val="20"/>
          <w:szCs w:val="20"/>
          <w:color w:val="auto"/>
        </w:rPr>
      </w:pPr>
      <w:r>
        <w:rPr>
          <w:rFonts w:ascii="Arial" w:cs="Arial" w:eastAsia="Arial" w:hAnsi="Arial"/>
          <w:sz w:val="19"/>
          <w:szCs w:val="19"/>
          <w:color w:val="auto"/>
        </w:rPr>
        <w:t>of the Securities Exchange Act of 1934</w:t>
      </w:r>
    </w:p>
    <w:p>
      <w:pPr>
        <w:spacing w:after="0" w:line="200" w:lineRule="exact"/>
        <w:rPr>
          <w:sz w:val="24"/>
          <w:szCs w:val="24"/>
          <w:color w:val="auto"/>
        </w:rPr>
      </w:pPr>
    </w:p>
    <w:p>
      <w:pPr>
        <w:spacing w:after="0" w:line="213" w:lineRule="exact"/>
        <w:rPr>
          <w:sz w:val="24"/>
          <w:szCs w:val="24"/>
          <w:color w:val="auto"/>
        </w:rPr>
      </w:pPr>
    </w:p>
    <w:p>
      <w:pPr>
        <w:spacing w:after="0" w:line="311"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7"/>
          <w:szCs w:val="27"/>
          <w:color w:val="auto"/>
        </w:rPr>
        <w:t>☐</w:t>
      </w:r>
    </w:p>
    <w:p>
      <w:pPr>
        <w:spacing w:after="0" w:line="243" w:lineRule="exact"/>
        <w:rPr>
          <w:sz w:val="24"/>
          <w:szCs w:val="24"/>
          <w:color w:val="auto"/>
        </w:rPr>
      </w:pPr>
    </w:p>
    <w:p>
      <w:pPr>
        <w:spacing w:after="0" w:line="311"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7"/>
          <w:szCs w:val="27"/>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ectPr>
          <w:pgSz w:w="11900" w:h="16838" w:orient="portrait"/>
          <w:cols w:equalWidth="0" w:num="1">
            <w:col w:w="10219"/>
          </w:cols>
          <w:pgMar w:left="240" w:top="231" w:right="1440" w:bottom="1440" w:gutter="0" w:footer="0" w:header="0"/>
        </w:sectPr>
      </w:pPr>
    </w:p>
    <w:p>
      <w:pPr>
        <w:spacing w:after="0" w:line="188"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148"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color w:val="auto"/>
        </w:rPr>
        <w:t>Preliminary Proxy Statement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spacing w:after="0"/>
        <w:rPr>
          <w:sz w:val="20"/>
          <w:szCs w:val="20"/>
          <w:color w:val="auto"/>
        </w:rPr>
      </w:pPr>
      <w:r>
        <w:rPr>
          <w:rFonts w:ascii="Arial" w:cs="Arial" w:eastAsia="Arial" w:hAnsi="Arial"/>
          <w:sz w:val="20"/>
          <w:szCs w:val="20"/>
          <w:color w:val="auto"/>
        </w:rPr>
        <w:t>Definitive Proxy Statement</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Definitive Additional Materials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Soliciting Material Under Rule 14a-12</w:t>
      </w:r>
    </w:p>
    <w:p>
      <w:pPr>
        <w:spacing w:after="0" w:line="200" w:lineRule="exact"/>
        <w:rPr>
          <w:sz w:val="24"/>
          <w:szCs w:val="24"/>
          <w:color w:val="auto"/>
        </w:rPr>
      </w:pPr>
    </w:p>
    <w:p>
      <w:pPr>
        <w:sectPr>
          <w:pgSz w:w="11900" w:h="16838" w:orient="portrait"/>
          <w:cols w:equalWidth="0" w:num="2">
            <w:col w:w="340" w:space="580"/>
            <w:col w:w="9299"/>
          </w:cols>
          <w:pgMar w:left="240" w:top="231" w:right="1440" w:bottom="1440" w:gutter="0" w:footer="0" w:header="0"/>
          <w:type w:val="continuous"/>
        </w:sectPr>
      </w:pPr>
    </w:p>
    <w:p>
      <w:pPr>
        <w:spacing w:after="0" w:line="59" w:lineRule="exact"/>
        <w:rPr>
          <w:sz w:val="24"/>
          <w:szCs w:val="24"/>
          <w:color w:val="auto"/>
        </w:rPr>
      </w:pPr>
    </w:p>
    <w:p>
      <w:pPr>
        <w:ind w:left="3900"/>
        <w:spacing w:after="0"/>
        <w:rPr>
          <w:sz w:val="20"/>
          <w:szCs w:val="20"/>
          <w:color w:val="auto"/>
        </w:rPr>
      </w:pPr>
      <w:r>
        <w:rPr>
          <w:rFonts w:ascii="Arial" w:cs="Arial" w:eastAsia="Arial" w:hAnsi="Arial"/>
          <w:sz w:val="32"/>
          <w:szCs w:val="32"/>
          <w:b w:val="1"/>
          <w:bCs w:val="1"/>
          <w:color w:val="auto"/>
        </w:rPr>
        <w:t>General Motors Company</w:t>
      </w:r>
    </w:p>
    <w:p>
      <w:pPr>
        <w:spacing w:after="0" w:line="37"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(Name of Registrant as Specified In Its Charter)</w:t>
      </w:r>
    </w:p>
    <w:p>
      <w:pPr>
        <w:spacing w:after="0" w:line="20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Greenlight Capital, Inc.</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Greenlight Capital, L.P.</w:t>
      </w:r>
    </w:p>
    <w:p>
      <w:pPr>
        <w:jc w:val="center"/>
        <w:ind w:right="-1220"/>
        <w:spacing w:after="0" w:line="230" w:lineRule="auto"/>
        <w:rPr>
          <w:sz w:val="20"/>
          <w:szCs w:val="20"/>
          <w:color w:val="auto"/>
        </w:rPr>
      </w:pPr>
      <w:r>
        <w:rPr>
          <w:rFonts w:ascii="Arial" w:cs="Arial" w:eastAsia="Arial" w:hAnsi="Arial"/>
          <w:sz w:val="22"/>
          <w:szCs w:val="22"/>
          <w:b w:val="1"/>
          <w:bCs w:val="1"/>
          <w:color w:val="auto"/>
        </w:rPr>
        <w:t>DME Advisors, LP</w:t>
      </w:r>
    </w:p>
    <w:p>
      <w:pPr>
        <w:jc w:val="center"/>
        <w:ind w:right="-1220"/>
        <w:spacing w:after="0" w:line="231" w:lineRule="auto"/>
        <w:rPr>
          <w:sz w:val="20"/>
          <w:szCs w:val="20"/>
          <w:color w:val="auto"/>
        </w:rPr>
      </w:pPr>
      <w:r>
        <w:rPr>
          <w:rFonts w:ascii="Arial" w:cs="Arial" w:eastAsia="Arial" w:hAnsi="Arial"/>
          <w:sz w:val="22"/>
          <w:szCs w:val="22"/>
          <w:b w:val="1"/>
          <w:bCs w:val="1"/>
          <w:color w:val="auto"/>
        </w:rPr>
        <w:t>DME Advisors GP, LLC</w:t>
      </w:r>
    </w:p>
    <w:p>
      <w:pPr>
        <w:jc w:val="center"/>
        <w:ind w:right="-1220"/>
        <w:spacing w:after="0" w:line="230" w:lineRule="auto"/>
        <w:rPr>
          <w:sz w:val="20"/>
          <w:szCs w:val="20"/>
          <w:color w:val="auto"/>
        </w:rPr>
      </w:pPr>
      <w:r>
        <w:rPr>
          <w:rFonts w:ascii="Arial" w:cs="Arial" w:eastAsia="Arial" w:hAnsi="Arial"/>
          <w:sz w:val="22"/>
          <w:szCs w:val="22"/>
          <w:b w:val="1"/>
          <w:bCs w:val="1"/>
          <w:color w:val="auto"/>
        </w:rPr>
        <w:t>DME Capital Management, LP</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Masters, LLC</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Qualified, LP</w:t>
      </w:r>
    </w:p>
    <w:p>
      <w:pPr>
        <w:jc w:val="center"/>
        <w:ind w:right="-1220"/>
        <w:spacing w:after="0" w:line="230" w:lineRule="auto"/>
        <w:rPr>
          <w:sz w:val="20"/>
          <w:szCs w:val="20"/>
          <w:color w:val="auto"/>
        </w:rPr>
      </w:pPr>
      <w:r>
        <w:rPr>
          <w:rFonts w:ascii="Arial" w:cs="Arial" w:eastAsia="Arial" w:hAnsi="Arial"/>
          <w:sz w:val="22"/>
          <w:szCs w:val="22"/>
          <w:b w:val="1"/>
          <w:bCs w:val="1"/>
          <w:color w:val="auto"/>
        </w:rPr>
        <w:t>Greenlight Capital (Gold), LP</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Offshore Partners</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Offshore Master (Gold), Ltd.</w:t>
      </w:r>
    </w:p>
    <w:p>
      <w:pPr>
        <w:jc w:val="center"/>
        <w:ind w:right="-1220"/>
        <w:spacing w:after="0" w:line="230" w:lineRule="auto"/>
        <w:rPr>
          <w:sz w:val="20"/>
          <w:szCs w:val="20"/>
          <w:color w:val="auto"/>
        </w:rPr>
      </w:pPr>
      <w:r>
        <w:rPr>
          <w:rFonts w:ascii="Arial" w:cs="Arial" w:eastAsia="Arial" w:hAnsi="Arial"/>
          <w:sz w:val="22"/>
          <w:szCs w:val="22"/>
          <w:b w:val="1"/>
          <w:bCs w:val="1"/>
          <w:color w:val="auto"/>
        </w:rPr>
        <w:t>Greenlight Masters Partners</w:t>
      </w:r>
    </w:p>
    <w:p>
      <w:pPr>
        <w:jc w:val="center"/>
        <w:ind w:right="-1220"/>
        <w:spacing w:after="0" w:line="231" w:lineRule="auto"/>
        <w:rPr>
          <w:sz w:val="20"/>
          <w:szCs w:val="20"/>
          <w:color w:val="auto"/>
        </w:rPr>
      </w:pPr>
      <w:r>
        <w:rPr>
          <w:rFonts w:ascii="Arial" w:cs="Arial" w:eastAsia="Arial" w:hAnsi="Arial"/>
          <w:sz w:val="22"/>
          <w:szCs w:val="22"/>
          <w:b w:val="1"/>
          <w:bCs w:val="1"/>
          <w:color w:val="auto"/>
        </w:rPr>
        <w:t>David Einhorn</w:t>
      </w:r>
    </w:p>
    <w:p>
      <w:pPr>
        <w:jc w:val="center"/>
        <w:ind w:right="-1220"/>
        <w:spacing w:after="0" w:line="230" w:lineRule="auto"/>
        <w:rPr>
          <w:sz w:val="20"/>
          <w:szCs w:val="20"/>
          <w:color w:val="auto"/>
        </w:rPr>
      </w:pPr>
      <w:r>
        <w:rPr>
          <w:rFonts w:ascii="Arial" w:cs="Arial" w:eastAsia="Arial" w:hAnsi="Arial"/>
          <w:sz w:val="22"/>
          <w:szCs w:val="22"/>
          <w:b w:val="1"/>
          <w:bCs w:val="1"/>
          <w:color w:val="auto"/>
        </w:rPr>
        <w:t>Leo Hindery, Jr.</w:t>
      </w:r>
    </w:p>
    <w:p>
      <w:pPr>
        <w:jc w:val="center"/>
        <w:ind w:right="-1220"/>
        <w:spacing w:after="0" w:line="231" w:lineRule="auto"/>
        <w:rPr>
          <w:sz w:val="20"/>
          <w:szCs w:val="20"/>
          <w:color w:val="auto"/>
        </w:rPr>
      </w:pPr>
      <w:r>
        <w:rPr>
          <w:rFonts w:ascii="Arial" w:cs="Arial" w:eastAsia="Arial" w:hAnsi="Arial"/>
          <w:sz w:val="22"/>
          <w:szCs w:val="22"/>
          <w:b w:val="1"/>
          <w:bCs w:val="1"/>
          <w:color w:val="auto"/>
        </w:rPr>
        <w:t>Vinit Sethi</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William N. Thorndike, Jr.</w:t>
      </w:r>
    </w:p>
    <w:p>
      <w:pPr>
        <w:spacing w:after="0" w:line="220"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ectPr>
          <w:pgSz w:w="11900" w:h="16838" w:orient="portrait"/>
          <w:cols w:equalWidth="0" w:num="1">
            <w:col w:w="10219"/>
          </w:cols>
          <w:pgMar w:left="240" w:top="231"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Payment of Filing Fee (check the appropriate box):</w:t>
      </w:r>
    </w:p>
    <w:p>
      <w:pPr>
        <w:sectPr>
          <w:pgSz w:w="11900" w:h="16838" w:orient="portrait"/>
          <w:cols w:equalWidth="0" w:num="1">
            <w:col w:w="11320"/>
          </w:cols>
          <w:pgMar w:left="240" w:top="679" w:right="339" w:bottom="1440" w:gutter="0" w:footer="0" w:header="0"/>
        </w:sectPr>
      </w:pPr>
    </w:p>
    <w:p>
      <w:pPr>
        <w:spacing w:after="0" w:line="46"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29"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18"/>
          <w:szCs w:val="18"/>
          <w:color w:val="auto"/>
        </w:rPr>
        <w:t>No fee required.</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6"/>
          <w:szCs w:val="16"/>
          <w:color w:val="auto"/>
        </w:rPr>
        <w:t>Fee computed on table below per Exchange Act Rule 14a-6(i)(4) and 0-11.</w:t>
      </w:r>
    </w:p>
    <w:p>
      <w:pPr>
        <w:spacing w:after="0" w:line="154" w:lineRule="exact"/>
        <w:rPr>
          <w:sz w:val="20"/>
          <w:szCs w:val="20"/>
          <w:color w:val="auto"/>
        </w:rPr>
      </w:pPr>
    </w:p>
    <w:p>
      <w:pPr>
        <w:ind w:left="1025" w:hanging="1025"/>
        <w:spacing w:after="0"/>
        <w:tabs>
          <w:tab w:leader="none" w:pos="1025"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sz w:val="20"/>
          <w:szCs w:val="20"/>
          <w:color w:val="auto"/>
        </w:rPr>
      </w:pPr>
    </w:p>
    <w:p>
      <w:pPr>
        <w:sectPr>
          <w:pgSz w:w="11900" w:h="16838" w:orient="portrait"/>
          <w:cols w:equalWidth="0" w:num="2">
            <w:col w:w="340" w:space="575"/>
            <w:col w:w="10405"/>
          </w:cols>
          <w:pgMar w:left="240" w:top="679"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1940" w:hanging="102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0" w:right="2840" w:firstLine="815"/>
        <w:spacing w:after="0" w:line="341" w:lineRule="auto"/>
        <w:tabs>
          <w:tab w:leader="none" w:pos="1937"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1940" w:hanging="102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920" w:hanging="815"/>
        <w:spacing w:after="0"/>
        <w:tabs>
          <w:tab w:leader="none" w:pos="920" w:val="left"/>
        </w:tabs>
        <w:numPr>
          <w:ilvl w:val="0"/>
          <w:numId w:val="2"/>
        </w:numPr>
        <w:rPr>
          <w:rFonts w:ascii="MS PGothic" w:cs="MS PGothic" w:eastAsia="MS PGothic" w:hAnsi="MS PGothic"/>
          <w:sz w:val="27"/>
          <w:szCs w:val="27"/>
          <w:color w:val="auto"/>
        </w:rPr>
      </w:pPr>
      <w:r>
        <w:rPr>
          <w:rFonts w:ascii="Arial" w:cs="Arial" w:eastAsia="Arial" w:hAnsi="Arial"/>
          <w:sz w:val="18"/>
          <w:szCs w:val="18"/>
          <w:color w:val="auto"/>
        </w:rPr>
        <w:t>Fee paid previously with preliminary materials.</w:t>
      </w:r>
    </w:p>
    <w:p>
      <w:pPr>
        <w:spacing w:after="0" w:line="216" w:lineRule="exact"/>
        <w:rPr>
          <w:rFonts w:ascii="MS PGothic" w:cs="MS PGothic" w:eastAsia="MS PGothic" w:hAnsi="MS PGothic"/>
          <w:sz w:val="27"/>
          <w:szCs w:val="27"/>
          <w:color w:val="auto"/>
        </w:rPr>
      </w:pPr>
    </w:p>
    <w:p>
      <w:pPr>
        <w:ind w:left="920" w:hanging="815"/>
        <w:spacing w:after="0"/>
        <w:tabs>
          <w:tab w:leader="none" w:pos="920" w:val="left"/>
        </w:tabs>
        <w:numPr>
          <w:ilvl w:val="0"/>
          <w:numId w:val="2"/>
        </w:numPr>
        <w:rPr>
          <w:rFonts w:ascii="MS PGothic" w:cs="MS PGothic" w:eastAsia="MS PGothic" w:hAnsi="MS PGothic"/>
          <w:sz w:val="27"/>
          <w:szCs w:val="27"/>
          <w:color w:val="auto"/>
        </w:rPr>
      </w:pPr>
      <w:r>
        <w:rPr>
          <w:rFonts w:ascii="Arial" w:cs="Arial" w:eastAsia="Arial" w:hAnsi="Arial"/>
          <w:sz w:val="18"/>
          <w:szCs w:val="18"/>
          <w:color w:val="auto"/>
        </w:rPr>
        <w:t>Check box if any part of the fee is offset as provided by Exchange Act Rule 0-11(a)(2) and identify the</w:t>
      </w:r>
    </w:p>
    <w:p>
      <w:pPr>
        <w:spacing w:after="0" w:line="56"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filing for which the offsetting fee was paid previously. Identify the previous filing by registration statement number, or the Form or Schedule and the date of its filing.</w:t>
      </w:r>
    </w:p>
    <w:p>
      <w:pPr>
        <w:spacing w:after="0" w:line="159" w:lineRule="exact"/>
        <w:rPr>
          <w:sz w:val="20"/>
          <w:szCs w:val="20"/>
          <w:color w:val="auto"/>
        </w:rPr>
      </w:pPr>
    </w:p>
    <w:p>
      <w:pPr>
        <w:ind w:left="1940" w:hanging="1025"/>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679" w:right="3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FF0000"/>
        </w:rPr>
        <w:t>PRELIMINARY COPY SUBJECT TO COMPLETION</w:t>
      </w:r>
    </w:p>
    <w:p>
      <w:pPr>
        <w:spacing w:after="0" w:line="18"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7"/>
          <w:szCs w:val="17"/>
          <w:b w:val="1"/>
          <w:bCs w:val="1"/>
          <w:color w:val="auto"/>
        </w:rPr>
        <w:t>], 2017</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300 Renaissance Center</w:t>
      </w:r>
    </w:p>
    <w:p>
      <w:pPr>
        <w:jc w:val="center"/>
        <w:ind w:right="-59"/>
        <w:spacing w:after="0" w:line="238" w:lineRule="auto"/>
        <w:rPr>
          <w:sz w:val="20"/>
          <w:szCs w:val="20"/>
          <w:color w:val="auto"/>
        </w:rPr>
      </w:pPr>
      <w:r>
        <w:rPr>
          <w:rFonts w:ascii="Arial" w:cs="Arial" w:eastAsia="Arial" w:hAnsi="Arial"/>
          <w:sz w:val="17"/>
          <w:szCs w:val="17"/>
          <w:color w:val="auto"/>
        </w:rPr>
        <w:t>Detroit, MI 48265</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14605</wp:posOffset>
            </wp:positionV>
            <wp:extent cx="269303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930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Greenlight Capital, Inc.</w:t>
      </w:r>
    </w:p>
    <w:p>
      <w:pPr>
        <w:spacing w:after="0" w:line="1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PLEASE SIGN, DATE AND MAIL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TODAY</w:t>
      </w:r>
    </w:p>
    <w:p>
      <w:pPr>
        <w:spacing w:after="0" w:line="22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This Proxy Statement and the enclosed GREEN proxy card are being furnished by Greenlight Capital, Inc. and certain of its affiliates (as identified on Annex I, collectively, “Greenlight,” “we”, or “us”), and the nominees named in Proposal 1 (the “Nominees” and, together with Greenlight, the “Participants”), in connection with the solicitation of proxies from the shareholders of General Motors Company, a Delaware corporation (“General Motors”, “GM” or the “Company”).</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the Company’s stock has been significantly undervalued in the market relative to its prospects and trades at a large discount to its intrinsic value, despite good operating performance. We believe the Company should issue an additional class of common stock because splitting the common equity into two classes of stock will create substantial and enduring value for the Company’s shareholders and reduce the Company’s cost of capital while increasing its financial flexibility. We also think the Board of Directors of the Company (the “Board”) would benefit from the addition of new directors with fresh ideas and an investor’s perspective to address the discounted price of the Company’s common stock. Therefore, we are nominating three Nominees to help re-energize the Board and bring additional focus to closing the valuation gap in GM’s stock.</w:t>
      </w:r>
    </w:p>
    <w:p>
      <w:pPr>
        <w:spacing w:after="0" w:line="185" w:lineRule="exact"/>
        <w:rPr>
          <w:sz w:val="20"/>
          <w:szCs w:val="20"/>
          <w:color w:val="auto"/>
        </w:rPr>
      </w:pPr>
    </w:p>
    <w:p>
      <w:pPr>
        <w:spacing w:after="0"/>
        <w:tabs>
          <w:tab w:leader="none" w:pos="11240" w:val="left"/>
        </w:tabs>
        <w:rPr>
          <w:sz w:val="20"/>
          <w:szCs w:val="20"/>
          <w:color w:val="auto"/>
        </w:rPr>
      </w:pPr>
      <w:r>
        <w:rPr>
          <w:rFonts w:ascii="Arial" w:cs="Arial" w:eastAsia="Arial" w:hAnsi="Arial"/>
          <w:sz w:val="18"/>
          <w:szCs w:val="18"/>
          <w:color w:val="auto"/>
        </w:rPr>
        <w:t>We are therefore seeking your support at the upcoming 2017 annual meeting of shareholders (the “Annual Meeting”), to be held on [</w:t>
      </w:r>
      <w:r>
        <w:rPr>
          <w:sz w:val="20"/>
          <w:szCs w:val="20"/>
          <w:color w:val="auto"/>
        </w:rPr>
        <w:tab/>
      </w:r>
      <w:r>
        <w:rPr>
          <w:rFonts w:ascii="Arial" w:cs="Arial" w:eastAsia="Arial" w:hAnsi="Arial"/>
          <w:sz w:val="17"/>
          <w:szCs w:val="17"/>
          <w:color w:val="auto"/>
        </w:rPr>
        <w:t>],</w:t>
      </w:r>
    </w:p>
    <w:p>
      <w:pPr>
        <w:ind w:right="940" w:firstLine="8"/>
        <w:spacing w:after="0" w:line="24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2017 at [ ] A.M. Eastern Time at [●], located at [●] with respect to the following (each, a “Proposal” and, collectively, the “Proposals”):</w:t>
      </w:r>
    </w:p>
    <w:p>
      <w:pPr>
        <w:spacing w:after="0" w:line="82" w:lineRule="exact"/>
        <w:rPr>
          <w:sz w:val="20"/>
          <w:szCs w:val="20"/>
          <w:color w:val="auto"/>
        </w:rPr>
      </w:pPr>
    </w:p>
    <w:p>
      <w:pPr>
        <w:ind w:left="100"/>
        <w:spacing w:after="0"/>
        <w:tabs>
          <w:tab w:leader="none" w:pos="9460" w:val="left"/>
        </w:tabs>
        <w:rPr>
          <w:sz w:val="20"/>
          <w:szCs w:val="20"/>
          <w:color w:val="auto"/>
        </w:rPr>
      </w:pPr>
      <w:r>
        <w:rPr>
          <w:rFonts w:ascii="Arial" w:cs="Arial" w:eastAsia="Arial" w:hAnsi="Arial"/>
          <w:sz w:val="15"/>
          <w:szCs w:val="15"/>
          <w:b w:val="1"/>
          <w:bCs w:val="1"/>
          <w:color w:val="auto"/>
        </w:rPr>
        <w:t>Proposal</w:t>
      </w:r>
      <w:r>
        <w:rPr>
          <w:sz w:val="20"/>
          <w:szCs w:val="20"/>
          <w:color w:val="auto"/>
        </w:rPr>
        <w:tab/>
      </w:r>
      <w:r>
        <w:rPr>
          <w:rFonts w:ascii="Arial" w:cs="Arial" w:eastAsia="Arial" w:hAnsi="Arial"/>
          <w:sz w:val="15"/>
          <w:szCs w:val="15"/>
          <w:b w:val="1"/>
          <w:bCs w:val="1"/>
          <w:color w:val="auto"/>
        </w:rPr>
        <w:t>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p>
      <w:pPr>
        <w:spacing w:after="0" w:line="348" w:lineRule="exact"/>
        <w:rPr>
          <w:sz w:val="20"/>
          <w:szCs w:val="20"/>
          <w:color w:val="auto"/>
        </w:rPr>
      </w:pPr>
    </w:p>
    <w:p>
      <w:pPr>
        <w:ind w:left="580" w:hanging="342"/>
        <w:spacing w:after="0" w:line="238"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Greenlight’s slate of three director nominees — Mr. Leo Hindery, Mr. Vinit Sethi and Mr. William N. Thorndike, Jr. (together, the “Nominees”) — and the Company’s candidates for election at the Annual Meeting other than [●], [●] and [●] (the “Excluded Company Nominees”), each to serve as directors and hold office until the annual meeting of shareholders to be held in 2018 and until their successors are duly elected and qualified.</w:t>
      </w:r>
    </w:p>
    <w:p>
      <w:pPr>
        <w:spacing w:after="0" w:line="351" w:lineRule="exact"/>
        <w:rPr>
          <w:rFonts w:ascii="Arial" w:cs="Arial" w:eastAsia="Arial" w:hAnsi="Arial"/>
          <w:sz w:val="18"/>
          <w:szCs w:val="18"/>
          <w:b w:val="1"/>
          <w:bCs w:val="1"/>
          <w:color w:val="auto"/>
        </w:rPr>
      </w:pPr>
    </w:p>
    <w:p>
      <w:pPr>
        <w:ind w:left="580" w:hanging="34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vote on the Company’s advisory resolution on the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5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color w:val="auto"/>
        </w:rPr>
        <w:t>To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81" w:lineRule="exact"/>
        <w:rPr>
          <w:sz w:val="20"/>
          <w:szCs w:val="20"/>
          <w:color w:val="auto"/>
        </w:rPr>
      </w:pPr>
    </w:p>
    <w:p>
      <w:pPr>
        <w:ind w:left="580" w:hanging="34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vote on the Company’s 2017 Long-Term Incentive Plan.</w:t>
      </w:r>
    </w:p>
    <w:p>
      <w:pPr>
        <w:spacing w:after="0" w:line="279" w:lineRule="exact"/>
        <w:rPr>
          <w:rFonts w:ascii="Arial" w:cs="Arial" w:eastAsia="Arial" w:hAnsi="Arial"/>
          <w:sz w:val="18"/>
          <w:szCs w:val="18"/>
          <w:b w:val="1"/>
          <w:bCs w:val="1"/>
          <w:color w:val="auto"/>
        </w:rPr>
      </w:pPr>
    </w:p>
    <w:p>
      <w:pPr>
        <w:ind w:left="580" w:right="460" w:hanging="342"/>
        <w:spacing w:after="0" w:line="246"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ratify the appointment of Deloitte &amp; Touche LLP (“Deloitte”) as the Company’s independent registered public accounting firm for the fiscal year ending December 31, 2017.</w:t>
      </w:r>
    </w:p>
    <w:p>
      <w:pPr>
        <w:spacing w:after="0" w:line="223" w:lineRule="exact"/>
        <w:rPr>
          <w:rFonts w:ascii="Arial" w:cs="Arial" w:eastAsia="Arial" w:hAnsi="Arial"/>
          <w:sz w:val="18"/>
          <w:szCs w:val="18"/>
          <w:b w:val="1"/>
          <w:bCs w:val="1"/>
          <w:color w:val="auto"/>
        </w:rPr>
      </w:pPr>
    </w:p>
    <w:p>
      <w:pPr>
        <w:ind w:left="580" w:hanging="34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vote on a shareholder proposal requesting that the Board adopt as policy, and amend its governing documents as necessary, to require the Chair of the Board, whenever possible, to be an independent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2466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 xml:space="preserve">FOR ALL </w:t>
      </w:r>
      <w:r>
        <w:rPr>
          <w:rFonts w:ascii="Arial" w:cs="Arial" w:eastAsia="Arial" w:hAnsi="Arial"/>
          <w:sz w:val="16"/>
          <w:szCs w:val="16"/>
          <w:color w:val="auto"/>
        </w:rPr>
        <w:t>of the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Company’s candidates for election at the Annual Meeting other than the Excluded Company Nominees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AGAINST</w:t>
      </w:r>
    </w:p>
    <w:p>
      <w:pPr>
        <w:sectPr>
          <w:pgSz w:w="11900" w:h="16838" w:orient="portrait"/>
          <w:cols w:equalWidth="0" w:num="2">
            <w:col w:w="9340" w:space="140"/>
            <w:col w:w="1900"/>
          </w:cols>
          <w:pgMar w:left="240" w:top="468"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60" w:type="dxa"/>
            <w:vAlign w:val="bottom"/>
            <w:shd w:val="clear" w:color="auto" w:fill="DBE5F1"/>
          </w:tcPr>
          <w:p>
            <w:pPr>
              <w:ind w:left="2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To request that the Board create a second class of common stock of the Company (the “Dividend Shares”)</w:t>
            </w:r>
          </w:p>
        </w:tc>
        <w:tc>
          <w:tcPr>
            <w:tcW w:w="216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FOR</w:t>
            </w:r>
          </w:p>
        </w:tc>
      </w:tr>
      <w:tr>
        <w:trPr>
          <w:trHeight w:val="203"/>
        </w:trPr>
        <w:tc>
          <w:tcPr>
            <w:tcW w:w="9260" w:type="dxa"/>
            <w:vAlign w:val="bottom"/>
            <w:shd w:val="clear" w:color="auto" w:fill="DBE5F1"/>
          </w:tcPr>
          <w:p>
            <w:pPr>
              <w:ind w:left="580"/>
              <w:spacing w:after="0" w:line="202" w:lineRule="exact"/>
              <w:rPr>
                <w:sz w:val="20"/>
                <w:szCs w:val="20"/>
                <w:color w:val="auto"/>
              </w:rPr>
            </w:pPr>
            <w:r>
              <w:rPr>
                <w:rFonts w:ascii="Arial" w:cs="Arial" w:eastAsia="Arial" w:hAnsi="Arial"/>
                <w:sz w:val="18"/>
                <w:szCs w:val="18"/>
                <w:color w:val="auto"/>
              </w:rPr>
              <w:t>that would trade separately from the existing common stock and continue to pay quarterly dividends at an</w:t>
            </w:r>
          </w:p>
        </w:tc>
        <w:tc>
          <w:tcPr>
            <w:tcW w:w="2160" w:type="dxa"/>
            <w:vAlign w:val="bottom"/>
            <w:shd w:val="clear" w:color="auto" w:fill="DBE5F1"/>
          </w:tcPr>
          <w:p>
            <w:pPr>
              <w:spacing w:after="0"/>
              <w:rPr>
                <w:sz w:val="17"/>
                <w:szCs w:val="17"/>
                <w:color w:val="auto"/>
              </w:rPr>
            </w:pPr>
          </w:p>
        </w:tc>
      </w:tr>
      <w:tr>
        <w:trPr>
          <w:trHeight w:val="203"/>
        </w:trPr>
        <w:tc>
          <w:tcPr>
            <w:tcW w:w="9260" w:type="dxa"/>
            <w:vAlign w:val="bottom"/>
            <w:shd w:val="clear" w:color="auto" w:fill="DBE5F1"/>
          </w:tcPr>
          <w:p>
            <w:pPr>
              <w:ind w:left="580"/>
              <w:spacing w:after="0" w:line="202" w:lineRule="exact"/>
              <w:rPr>
                <w:sz w:val="20"/>
                <w:szCs w:val="20"/>
                <w:color w:val="auto"/>
              </w:rPr>
            </w:pPr>
            <w:r>
              <w:rPr>
                <w:rFonts w:ascii="Arial" w:cs="Arial" w:eastAsia="Arial" w:hAnsi="Arial"/>
                <w:sz w:val="18"/>
                <w:szCs w:val="18"/>
                <w:color w:val="auto"/>
              </w:rPr>
              <w:t>annual rate of $1.52, and to authorize a distribution of the Dividend Shares to the Company’s existing</w:t>
            </w:r>
          </w:p>
        </w:tc>
        <w:tc>
          <w:tcPr>
            <w:tcW w:w="2160" w:type="dxa"/>
            <w:vAlign w:val="bottom"/>
            <w:shd w:val="clear" w:color="auto" w:fill="DBE5F1"/>
          </w:tcPr>
          <w:p>
            <w:pPr>
              <w:spacing w:after="0"/>
              <w:rPr>
                <w:sz w:val="17"/>
                <w:szCs w:val="17"/>
                <w:color w:val="auto"/>
              </w:rPr>
            </w:pPr>
          </w:p>
        </w:tc>
      </w:tr>
      <w:tr>
        <w:trPr>
          <w:trHeight w:val="203"/>
        </w:trPr>
        <w:tc>
          <w:tcPr>
            <w:tcW w:w="9260" w:type="dxa"/>
            <w:vAlign w:val="bottom"/>
            <w:shd w:val="clear" w:color="auto" w:fill="DBE5F1"/>
          </w:tcPr>
          <w:p>
            <w:pPr>
              <w:ind w:left="580"/>
              <w:spacing w:after="0" w:line="203" w:lineRule="exact"/>
              <w:rPr>
                <w:sz w:val="20"/>
                <w:szCs w:val="20"/>
                <w:color w:val="auto"/>
              </w:rPr>
            </w:pPr>
            <w:r>
              <w:rPr>
                <w:rFonts w:ascii="Arial" w:cs="Arial" w:eastAsia="Arial" w:hAnsi="Arial"/>
                <w:sz w:val="18"/>
                <w:szCs w:val="18"/>
                <w:color w:val="auto"/>
              </w:rPr>
              <w:t>shareholders at no cost to them.</w:t>
            </w:r>
          </w:p>
        </w:tc>
        <w:tc>
          <w:tcPr>
            <w:tcW w:w="2160" w:type="dxa"/>
            <w:vAlign w:val="bottom"/>
            <w:shd w:val="clear" w:color="auto" w:fill="DBE5F1"/>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22" w:lineRule="exact"/>
        <w:rPr>
          <w:sz w:val="20"/>
          <w:szCs w:val="20"/>
          <w:color w:val="auto"/>
        </w:rPr>
      </w:pPr>
    </w:p>
    <w:p>
      <w:pPr>
        <w:ind w:left="580" w:right="2040"/>
        <w:spacing w:after="0" w:line="246" w:lineRule="auto"/>
        <w:rPr>
          <w:sz w:val="20"/>
          <w:szCs w:val="20"/>
          <w:color w:val="auto"/>
        </w:rPr>
      </w:pPr>
      <w:r>
        <w:rPr>
          <w:rFonts w:ascii="Arial" w:cs="Arial" w:eastAsia="Arial" w:hAnsi="Arial"/>
          <w:sz w:val="18"/>
          <w:szCs w:val="18"/>
          <w:color w:val="auto"/>
        </w:rPr>
        <w:t>To transact any other business that properly comes before the Annual Meeting, including any postponement or adjournment thereof.</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Board is currently composed of eleven directors and it is our expectation that there will be eleven directors elected at the Annual Meeting by holders of the Common Stock (defined below). If elected, our Nominees would only constitute a minority of the members of the Board. Therefore, we are “rounding out” our slate by permitting shareholders who vote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also have the opportunity to vote for the candidates who have been nominated by the Company other than the Excluded Company Nominees. Shareholders will therefore be able to vote for the total number of directors up for election at the Annual Meeting. The names, backgrounds and qualifications of the Company's nominees, and other information about them, can be found in the Company's proxy statement for the Annual Meeting (the "Company’s Proxy Statement"). There is no assurance that any of the Company's nominees will serve as directors if any or all of our Nominees are elected.</w:t>
      </w:r>
    </w:p>
    <w:p>
      <w:pPr>
        <w:spacing w:after="0" w:line="1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has set the record date for determining shareholders entitled to notice of and to vote at the Annual Meeting (the “Record Date”) as April 7, 2017. Shareholders of record at the close of business on the Record Date will be entitled to vote at the Annual Meeting. At the close of business on the Record Date, there were [●] shares of common stock, par value $0.01 per share (“Common Stock”), outstanding according to the Company’s preliminary proxy statement filed with the Securities and Exchange Commission (the “SEC”) on April [●], 2017 (the “Company’s Preliminary Proxy Statement”). As of April 11, 2017, the Participants beneficially owned, and have the power to vote, 54,755,000 shares of Common Stock in the aggregate, and in addition, own options to purchase an additional 19,645,000 shares of Common Stock, together representing approximately 4.97% of the outstanding shares of Common Stock of the Company as further described on Annex I. We intend to vote in favor of the Proposals 1 through 5 and 7 and against Proposal 6 with respect to such shares of Common Stock over which we have the power to vote.</w:t>
      </w:r>
    </w:p>
    <w:p>
      <w:pPr>
        <w:spacing w:after="0" w:line="1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We urge you to sign, date and return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to the Board and for the Company’s candidates for election at the Annual Meeting other than the Excluded Company Nominees,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4, </w:t>
      </w: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5,</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Proposal 6,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Proposal 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Proxy Statement and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are first being mailed or given to the Company’s shareholders on or about [________], 2017.</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This Proxy Solicitation is being made by Greenlight and the Nominees, and not on behalf of the Board or management of the Company or any other third party. </w:t>
      </w:r>
      <w:r>
        <w:rPr>
          <w:rFonts w:ascii="Arial" w:cs="Arial" w:eastAsia="Arial" w:hAnsi="Arial"/>
          <w:sz w:val="18"/>
          <w:szCs w:val="18"/>
          <w:color w:val="auto"/>
        </w:rPr>
        <w:t>We are not aware of any other matters to be brought before the Annual Meeting other than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Should other matters be brought before the Annual Meeting, the persons named as proxies in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will vote on such matters in their discretion.</w:t>
      </w:r>
    </w:p>
    <w:p>
      <w:pPr>
        <w:spacing w:after="0" w:line="16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you have every 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Only the latest validly executed proxy that you submit will be counted; any proxy may be revoked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its exercise at the Annual Meeting by following the instructions under “Can I change my vote or revoke my proxy?” in the Questions and Answers section.</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For instructions on how to vote and other information about the proxy materials, see the Questions and Answers section starting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We urge you to promptly sign, date and return your GREEN proxy card.</w:t>
      </w:r>
    </w:p>
    <w:p>
      <w:pPr>
        <w:spacing w:after="0" w:line="233" w:lineRule="exact"/>
        <w:rPr>
          <w:sz w:val="20"/>
          <w:szCs w:val="20"/>
          <w:color w:val="auto"/>
        </w:rPr>
      </w:pPr>
    </w:p>
    <w:p>
      <w:pPr>
        <w:jc w:val="center"/>
        <w:ind w:left="260" w:right="20"/>
        <w:spacing w:after="0" w:line="258" w:lineRule="auto"/>
        <w:rPr>
          <w:sz w:val="20"/>
          <w:szCs w:val="20"/>
          <w:color w:val="auto"/>
        </w:rPr>
      </w:pPr>
      <w:r>
        <w:rPr>
          <w:rFonts w:ascii="Arial" w:cs="Arial" w:eastAsia="Arial" w:hAnsi="Arial"/>
          <w:sz w:val="20"/>
          <w:szCs w:val="20"/>
          <w:b w:val="1"/>
          <w:bCs w:val="1"/>
          <w:color w:val="auto"/>
        </w:rPr>
        <w:t>If you have any questions or require any assistance with voting your shares, please contact our proxy solicitor, D.F. King &amp; Co. Inc., toll free at (800) 252-8173 or email at gm@dfking.com</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8"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FFFFFF"/>
        </w:rPr>
        <w:t>REASONS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We Are and Why We Believe in 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became shareholders because we believed that the Company’s stock is significantly undervalued in the market relative to its prospects and that it trades at a large discount to its intrinsic value, despite good operating performance. At its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GM’s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We believe that, even though the Company’s operations are well-managed, the Company has a suboptimal capital structure. We want to unlock value for all GM shareholders.</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want the Company to create two classes of Common Stock—one class that we refer to as “Dividend Shares” to satisfy investors who want predictable income, and one class that we refer to as “Capital Appreciation Shares” that would be entitled to the residual earnings in excess of the current dividends, including all future Company growth, to satisfy investors who are interested in the opportunity for more rapid earnings per share growth. This class could also benefit from future share buybacks and dividends.</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believe this common-equity structure will help establish freedom of choice for shareholders and potentially unlock billions of dollars of value by creating flexibility for investors. This is why we have submitted to shareholders an advisory proposal to request that the Board to take the necessary steps to create two classes of common stock (“Proposal 7”).</w:t>
      </w:r>
    </w:p>
    <w:p>
      <w:pPr>
        <w:spacing w:after="0" w:line="18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An advisory proposal does not bind the Board or Company to implement the proposal, but it indicates to the Board that shareholders are dissatisfied with the status quo and encourages the Board to implement the proposal.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Board Composition and Re-Energization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Ensuring the Board is composed of directors who bring diverse viewpoints and perspectives, apply a variety of skills, professional experience and backgrounds, and effectively represent the long-term interests of shareholders, should be a top priority of any company. We believe that new perspectives and ideas are critical to a forward-looking and strategic Board, and therefore we believe the Board needs fresh ideas and an investor’s perspective to address the discounted price of the Company’s common stock.</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to presenting a proposal to create a two class common equity structure, we are also nominating three Nominees to help re-energize the Board, inject new ideas into the Company, and help ensure that the Board is striving towards value maximization for all shareholders (“Proposal 1”). Our Nominees are successful, well-respected businessmen who will bring a focus to shareholder interests, and represent all GM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Your Support May Benefit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Company’s diverse shareholder base currently consists of a mix of value-focused and income-focused investors united by their confidence in GM’s prospects, but with different investing objectives. Though this disparity in investment objectives has led to a sub-optimal value for shareholders, together, we can help fix it.</w:t>
      </w:r>
    </w:p>
    <w:p>
      <w:pPr>
        <w:spacing w:after="0" w:line="16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time to act is now. By voting “</w:t>
      </w:r>
      <w:r>
        <w:rPr>
          <w:rFonts w:ascii="Arial" w:cs="Arial" w:eastAsia="Arial" w:hAnsi="Arial"/>
          <w:sz w:val="18"/>
          <w:szCs w:val="18"/>
          <w:b w:val="1"/>
          <w:bCs w:val="1"/>
          <w:color w:val="auto"/>
        </w:rPr>
        <w:t>FOR ALL</w:t>
      </w:r>
      <w:r>
        <w:rPr>
          <w:rFonts w:ascii="Arial" w:cs="Arial" w:eastAsia="Arial" w:hAnsi="Arial"/>
          <w:sz w:val="18"/>
          <w:szCs w:val="18"/>
          <w:color w:val="auto"/>
        </w:rPr>
        <w:t>” of the Nominees in Proposal 1, you will be acting to install directors with considerable financial and investment expertise who can re-energize the Board with new investor perspectives. By voting “</w:t>
      </w:r>
      <w:r>
        <w:rPr>
          <w:rFonts w:ascii="Arial" w:cs="Arial" w:eastAsia="Arial" w:hAnsi="Arial"/>
          <w:sz w:val="18"/>
          <w:szCs w:val="18"/>
          <w:b w:val="1"/>
          <w:bCs w:val="1"/>
          <w:color w:val="auto"/>
        </w:rPr>
        <w:t>FOR</w:t>
      </w:r>
      <w:r>
        <w:rPr>
          <w:rFonts w:ascii="Arial" w:cs="Arial" w:eastAsia="Arial" w:hAnsi="Arial"/>
          <w:sz w:val="18"/>
          <w:szCs w:val="18"/>
          <w:color w:val="auto"/>
        </w:rPr>
        <w:t>” Proposal 7, shareholders have the opportunity to tell the Board to act to now for the benefit of all shareholders. We believe implementation of Proposal 7 will help the Company reap the benefits of additional financial flexibility without any impact on the Company’s business strategy or capital allocation priorities. We also believe that this added shareholder flexibility will dramatically improve the valuation of the Company’s shares and lower the Company’s cost of capital, creating additional strategic and operational flexibility as GM evolves to best compete in a global, changing marketplace.</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6" w:right="239"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FFFFFF"/>
        </w:rPr>
        <w:t>BACKGROUND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Recent Interactions with GM’s Management Team and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On August 11, 2016, David Einhorn, Founder and President of Greenlight, emailed Chuck Stevens, GM’s Chief Financial Officer, for the purpose of setting a meeting date to discuss a proposal that Greenlight believes would unlock significant value for all GM shareholders.</w:t>
      </w:r>
    </w:p>
    <w:p>
      <w:pPr>
        <w:spacing w:after="0" w:line="160"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On September 15, 2016, Mr. Einhorn, Vinit Sethi, Partner and Director of Research of Greenlight, and additional representatives of Greenlight met with Mr. Stevens and another representative of GM. Greenlight provided a written presentation discussing Greenlight’s proposal under which GM would create two classes of equity (the “Proposal”). Under the terms of the Proposal, “Dividend Shares” would receive the same</w:t>
      </w:r>
    </w:p>
    <w:p>
      <w:pPr>
        <w:spacing w:after="0" w:line="2"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amount of dividends per share that GM had already committed to its common shareholders, while “Capital Appreciation Shares”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would benefit from all cash flows in excess of dividend distributions on the Dividend Shares. In its presentation, Greenlight noted that despite strong operating results and capital return efforts, GM shareholders had not been rewarded since GM’s November 2010 IPO, with the Company’s price-to-earnings multiple (P/E multiple) having fallen by 50% over that time. Greenlight also noted that GM had among the highest dividend yields in the S&amp;P 500 despite a low payout ratio and that management had been unable to create shareholder value by debating and refuting the bear case with the market and investors.</w:t>
      </w:r>
    </w:p>
    <w:p>
      <w:pPr>
        <w:spacing w:after="0" w:line="19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Greenlight laid out terms for the Dividend Shares and clearly described that they could be structured as a preferred security or a second class of common equity. Greenlight provided this flexibility in its Proposal to allow GM to decide which approach was best for the Company. Greenlight went on to explain the substantial value creation opportunity that would arise from a two class structure. First, the structure would force the stock market to properly respect GM’s dividend, and second, the structure would create a beneficial impact to future earnings per share growth from constant dollar amounts of share repurchases focused on the new and smaller Capital Appreciation Share equity capitalization. Greenlight estimated the Proposal would result in a value of $46.00 to $48.00 per GM share or more, vs. GM’s share price of $30.71 as of September 14, 2016.</w:t>
      </w:r>
    </w:p>
    <w:p>
      <w:pPr>
        <w:spacing w:after="0" w:line="19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Finally, Greenlight explained the process of creating and distributing the Dividend Shares, including an optional path for GM to conduct a small, underwritten offering to establish market demand for the Dividend Shares and validate Greenlight’s valuation assumptions, to the extent it would provide GM more comfort with the Proposal. Greenlight asked GM to consider the Proposal and to come back with feedback to facilitate an open, iterative and collaborative dialogue.</w:t>
      </w:r>
    </w:p>
    <w:p>
      <w:pPr>
        <w:spacing w:after="0" w:line="18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October 5, 2016, Mr. Einhorn, Mr. Sethi and additional representatives of Greenlight further discussed the terms related to the Proposal and addressed questions from representatives of the Company telephonically.</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October 31, 2016, Mr. Einhorn, Mr. Sethi and additional representatives of Greenlight met with representatives of the Company and GM’s two financial advisors. Greenlight provided a written presentation to further discuss the Proposal and to address certain topics raised on the October 5, 2016 call. Greenlight reiterated that the Dividend Shares could be a separate class of common equity (the “Two Class Common Stock Proposal”) or a perpetual preferred equity and communicated that Greenlight expected the Dividend Shares to trade at a reasonably low yield (which would result in an attractive valuation for the Dividend Shares).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Greenlight then presented a stress-test of its valuation assumption, by assuming the Proposal traded poorly, resulting in an unchanged value of $31.33 per current GM share, with a punitive 9.4% yield on the Dividend Shares (resulting in an assumed $16.33 per share value), and a $15.00 per share value for the Capital Appreciation Shares. Assuming a financial scenario based on net income and cash flows at levels slightly below GM’s publicly stated long-term objectives, and further assuming the Capital Appreciation Shares increased in value by 10% annually, Greenlight estimated that GM would be able to repurchase 100% of the Capital Appreciation Shares by 2022. This demonstrated that the Proposal was very unlikely to result in an unchanged value, and that this remote outcome would likely be quickly self-correcting given the power of substantial share count reduction.</w:t>
      </w:r>
    </w:p>
    <w:p>
      <w:pPr>
        <w:spacing w:after="0" w:line="190"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GM’s advisors asked a number of questions and made a number of observations that suggested to Greenlight that the advisors were not interested in performing an objective analysis of the Proposal – including making the blanket statement that it simply is not plausible to unlock so much value through modifications to the capital structure.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83" w:lineRule="auto"/>
        <w:tabs>
          <w:tab w:leader="none" w:pos="1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The Capital Appreciation Shares were initially referred to as “New GM Common Equity,“ but the characteristics have remained unchanged.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5" w:right="239" w:bottom="1440" w:gutter="0" w:footer="0" w:header="0"/>
        </w:sectPr>
      </w:pPr>
    </w:p>
    <w:bookmarkStart w:id="6" w:name="page7"/>
    <w:bookmarkEnd w:id="6"/>
    <w:p>
      <w:pPr>
        <w:ind w:right="140"/>
        <w:spacing w:after="0" w:line="238" w:lineRule="auto"/>
        <w:rPr>
          <w:sz w:val="20"/>
          <w:szCs w:val="20"/>
          <w:color w:val="auto"/>
        </w:rPr>
      </w:pPr>
      <w:r>
        <w:rPr>
          <w:rFonts w:ascii="Arial" w:cs="Arial" w:eastAsia="Arial" w:hAnsi="Arial"/>
          <w:sz w:val="18"/>
          <w:szCs w:val="18"/>
          <w:color w:val="auto"/>
        </w:rPr>
        <w:t>On November 9, 2016, Mr. Einhorn, Mr. Sethi, and additional representatives of Greenlight, and Mr. Stevens and additional representatives of GM had a telephone call. During the call, Mr. Einhorn expressed concern to Mr. Stevens, who was not present at the October 31 meeting, that GM’s advisors did not appear to be working toward an objective analysis. Mr. Stevens indicated that he was comfortable with the advisors’ approach in that he had charged them to appear critical so that he could sit in between in judgment. Mr. Einhorn repeated his request that the dialogue be iterative and collaborative.</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 December 6, 2016, Mr. Einhorn, Mr. Sethi and additional representatives of Greenlight met with Mr. Stevens and additional representatives of GM and GM’s financial advisors to discuss the GM’s advisors’ analysis of the Proposal by GM’s advisors. Greenlight believes that GM’s advisors did not fairly and adequately evaluate the Proposal and in particular the creation of a second class of common stock under the Two Class Common Stock Proposal, which had consistently been one of the two structures that Greenlight had proposed. In addition, it is Greenlight’s view that the analysis lacked balance and was riddled with qualitative, quantitative and logical errors. For instance, their analysis:</w:t>
      </w:r>
    </w:p>
    <w:p>
      <w:pPr>
        <w:spacing w:after="0" w:line="191" w:lineRule="exact"/>
        <w:rPr>
          <w:sz w:val="20"/>
          <w:szCs w:val="20"/>
          <w:color w:val="auto"/>
        </w:rPr>
      </w:pPr>
    </w:p>
    <w:p>
      <w:pPr>
        <w:ind w:left="660" w:right="140" w:hanging="328"/>
        <w:spacing w:after="0" w:line="29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Failed to embrace the simple premise of the Proposal, which leaves GM’s financial policy, fundamental risk-profile, and current capital allocation priorities unchanged.</w:t>
      </w:r>
    </w:p>
    <w:p>
      <w:pPr>
        <w:spacing w:after="0" w:line="156"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Criticized the Proposal for not addressing issues related to GM’s industry cycle and risks of industry disruption, including urban mobility, autonomous driving and technology, in effect, concluding that if the Proposal cannot solve all of GM’s issues at once, then it is not a worthwhile to consider a Proposal that could solve some of GM’s issues.</w:t>
      </w:r>
    </w:p>
    <w:p>
      <w:pPr>
        <w:spacing w:after="0" w:line="175"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valuing the new Dividend Shares, which GM’s advisors claimed would ultimately yield between 10.5% and 12.5%, the analysis made a series of excessive and unjustifiable assumptions, including:</w:t>
      </w:r>
    </w:p>
    <w:p>
      <w:pPr>
        <w:ind w:left="1300" w:hanging="320"/>
        <w:spacing w:after="0" w:line="183" w:lineRule="auto"/>
        <w:tabs>
          <w:tab w:leader="none" w:pos="1300" w:val="left"/>
        </w:tabs>
        <w:numPr>
          <w:ilvl w:val="0"/>
          <w:numId w:val="9"/>
        </w:numPr>
        <w:rPr>
          <w:rFonts w:ascii="Courier New" w:cs="Courier New" w:eastAsia="Courier New" w:hAnsi="Courier New"/>
          <w:sz w:val="36"/>
          <w:szCs w:val="36"/>
          <w:color w:val="auto"/>
          <w:vertAlign w:val="superscript"/>
        </w:rPr>
      </w:pPr>
      <w:r>
        <w:rPr>
          <w:rFonts w:ascii="Arial" w:cs="Arial" w:eastAsia="Arial" w:hAnsi="Arial"/>
          <w:sz w:val="18"/>
          <w:szCs w:val="18"/>
          <w:color w:val="auto"/>
        </w:rPr>
        <w:t>GM’s 30 year unsecured bond yields would increase from 5.6% to 8.25%</w:t>
      </w:r>
      <w:r>
        <w:rPr>
          <w:rFonts w:ascii="Arial" w:cs="Arial" w:eastAsia="Arial" w:hAnsi="Arial"/>
          <w:sz w:val="30"/>
          <w:szCs w:val="30"/>
          <w:color w:val="auto"/>
          <w:vertAlign w:val="superscript"/>
        </w:rPr>
        <w:t>2</w:t>
      </w:r>
    </w:p>
    <w:p>
      <w:pPr>
        <w:spacing w:after="0" w:line="1" w:lineRule="exact"/>
        <w:rPr>
          <w:rFonts w:ascii="Courier New" w:cs="Courier New" w:eastAsia="Courier New" w:hAnsi="Courier New"/>
          <w:sz w:val="36"/>
          <w:szCs w:val="36"/>
          <w:color w:val="auto"/>
          <w:vertAlign w:val="superscript"/>
        </w:rPr>
      </w:pPr>
    </w:p>
    <w:p>
      <w:pPr>
        <w:ind w:left="1300" w:right="340" w:hanging="320"/>
        <w:spacing w:after="0" w:line="263" w:lineRule="auto"/>
        <w:tabs>
          <w:tab w:leader="none" w:pos="13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 yield premium was added based on the spread between 10 year unsecured bonds vs. perpetual preferreds callable in 10 years.</w:t>
      </w:r>
    </w:p>
    <w:p>
      <w:pPr>
        <w:spacing w:after="0" w:line="15" w:lineRule="exact"/>
        <w:rPr>
          <w:rFonts w:ascii="Courier New" w:cs="Courier New" w:eastAsia="Courier New" w:hAnsi="Courier New"/>
          <w:sz w:val="18"/>
          <w:szCs w:val="18"/>
          <w:color w:val="auto"/>
        </w:rPr>
      </w:pPr>
    </w:p>
    <w:p>
      <w:pPr>
        <w:ind w:left="1960" w:right="40" w:hanging="331"/>
        <w:spacing w:after="0" w:line="274"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addition to capturing the actual maturity increase between GM’s 30 year unsecured bonds and the Dividend Shares, this double counted the “cost” of the maturity increase of 10 year vs. 30 year bonds.</w:t>
      </w:r>
    </w:p>
    <w:p>
      <w:pPr>
        <w:spacing w:after="0" w:line="13" w:lineRule="exact"/>
        <w:rPr>
          <w:rFonts w:ascii="Arial" w:cs="Arial" w:eastAsia="Arial" w:hAnsi="Arial"/>
          <w:sz w:val="18"/>
          <w:szCs w:val="18"/>
          <w:color w:val="auto"/>
        </w:rPr>
      </w:pPr>
    </w:p>
    <w:p>
      <w:pPr>
        <w:ind w:left="1960" w:right="32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Further, given the Dividend Shares are non-callable, this inappropriately embedded a spread for negative convexity associated with callable perpetual preferreds.</w:t>
      </w:r>
      <w:r>
        <w:rPr>
          <w:rFonts w:ascii="Arial" w:cs="Arial" w:eastAsia="Arial" w:hAnsi="Arial"/>
          <w:sz w:val="30"/>
          <w:szCs w:val="30"/>
          <w:color w:val="auto"/>
          <w:vertAlign w:val="superscript"/>
        </w:rPr>
        <w:t>3</w:t>
      </w:r>
    </w:p>
    <w:p>
      <w:pPr>
        <w:spacing w:after="0" w:line="1" w:lineRule="exact"/>
        <w:rPr>
          <w:rFonts w:ascii="Arial" w:cs="Arial" w:eastAsia="Arial" w:hAnsi="Arial"/>
          <w:sz w:val="18"/>
          <w:szCs w:val="18"/>
          <w:color w:val="auto"/>
        </w:rPr>
      </w:pPr>
    </w:p>
    <w:p>
      <w:pPr>
        <w:ind w:left="1300" w:right="340" w:hanging="320"/>
        <w:spacing w:after="0" w:line="271" w:lineRule="auto"/>
        <w:tabs>
          <w:tab w:leader="none" w:pos="13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An additional yield premium was added for the non-callable feature, despite the reality that the call option is a benefit to the issuer and a liability to the security holder.</w:t>
      </w:r>
    </w:p>
    <w:p>
      <w:pPr>
        <w:ind w:left="1300" w:right="80" w:hanging="320"/>
        <w:spacing w:after="0" w:line="274" w:lineRule="auto"/>
        <w:tabs>
          <w:tab w:leader="none" w:pos="13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And, yet another yield premium was added for it being a large issue, despite the history of large, liquid securities trading better than small, illiquid securities.</w:t>
      </w:r>
    </w:p>
    <w:p>
      <w:pPr>
        <w:spacing w:after="0" w:line="157" w:lineRule="exact"/>
        <w:rPr>
          <w:sz w:val="20"/>
          <w:szCs w:val="20"/>
          <w:color w:val="auto"/>
        </w:rPr>
      </w:pPr>
    </w:p>
    <w:p>
      <w:pPr>
        <w:jc w:val="both"/>
        <w:ind w:left="980" w:right="180"/>
        <w:spacing w:after="0" w:line="245" w:lineRule="auto"/>
        <w:rPr>
          <w:sz w:val="20"/>
          <w:szCs w:val="20"/>
          <w:color w:val="auto"/>
        </w:rPr>
      </w:pPr>
      <w:r>
        <w:rPr>
          <w:rFonts w:ascii="Arial" w:cs="Arial" w:eastAsia="Arial" w:hAnsi="Arial"/>
          <w:sz w:val="18"/>
          <w:szCs w:val="18"/>
          <w:color w:val="auto"/>
        </w:rPr>
        <w:t>The conclusion of a 10.5% to 12.5% yield for the Dividend Shares (and thus an artificially low Dividend Share price), is especially surprising because of the 497 securities Greenlight had referenced in its October 31, 2016 presentation, GM’s advisors had only been able to identify one example of a security with a double digit yield—Genworth, which the advisors stated had a 12.2% yield. Even this single anecdote was derived through mathematical error by GM’s advisors: The Genworth security actually had a much lower 6.5% yield, following its recent transition from fixed to floating coupon, not the 12.2% yield listed by GM’s advisors.</w:t>
      </w:r>
      <w:r>
        <w:rPr>
          <w:rFonts w:ascii="Arial" w:cs="Arial" w:eastAsia="Arial" w:hAnsi="Arial"/>
          <w:sz w:val="30"/>
          <w:szCs w:val="30"/>
          <w:color w:val="auto"/>
          <w:vertAlign w:val="superscript"/>
        </w:rPr>
        <w:t>4</w:t>
      </w:r>
    </w:p>
    <w:p>
      <w:pPr>
        <w:spacing w:after="0" w:line="45" w:lineRule="exact"/>
        <w:rPr>
          <w:sz w:val="20"/>
          <w:szCs w:val="20"/>
          <w:color w:val="auto"/>
        </w:rPr>
      </w:pPr>
    </w:p>
    <w:p>
      <w:pPr>
        <w:ind w:left="660" w:right="140" w:hanging="328"/>
        <w:spacing w:after="0" w:line="29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Stated that the status quo value for GM that the Proposal should be compared against was $40.00 per share, when in fact GM’s stock closed at $34.94 on December 5,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0"/>
          <w:szCs w:val="20"/>
          <w:color w:val="auto"/>
        </w:rPr>
      </w:pPr>
    </w:p>
    <w:p>
      <w:pPr>
        <w:jc w:val="both"/>
        <w:ind w:firstLine="13"/>
        <w:spacing w:after="0" w:line="186" w:lineRule="auto"/>
        <w:tabs>
          <w:tab w:leader="none" w:pos="130" w:val="left"/>
        </w:tabs>
        <w:numPr>
          <w:ilvl w:val="0"/>
          <w:numId w:val="11"/>
        </w:numPr>
        <w:rPr>
          <w:rFonts w:ascii="Arial" w:cs="Arial" w:eastAsia="Arial" w:hAnsi="Arial"/>
          <w:sz w:val="30"/>
          <w:szCs w:val="30"/>
          <w:color w:val="auto"/>
          <w:vertAlign w:val="superscript"/>
        </w:rPr>
      </w:pPr>
      <w:r>
        <w:rPr>
          <w:rFonts w:ascii="Arial" w:cs="Arial" w:eastAsia="Arial" w:hAnsi="Arial"/>
          <w:sz w:val="14"/>
          <w:szCs w:val="14"/>
          <w:color w:val="auto"/>
        </w:rPr>
        <w:t>This was justified in part by an assumption that GM’s unsecured credit rating would be downgraded to double-B. This asserted yield would have put GM’s 30 year unsecured bond spread to treasuries in the 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in terms of widest double-B spreads, mostly alongside energy, fixed-line telecom and brick-and-mortar retail companies, with obvious credit issues that are not relevant to GM’s business. Had the advisors assumed GM’s 30 year debt would have achieved the median spread of double-B issues, the starting yield for their “analysis” would have remained at 5.6%, where it already was in the marketplace. Double-B bonds spreads per Bank of America Merrill Lynch data as of December 12, 2016. Source: GM and Treasury bond yields per Bloomberg</w:t>
      </w:r>
      <w:r>
        <w:rPr>
          <w:rFonts w:ascii="Arial" w:cs="Arial" w:eastAsia="Arial" w:hAnsi="Arial"/>
          <w:sz w:val="18"/>
          <w:szCs w:val="18"/>
          <w:color w:val="auto"/>
        </w:rPr>
        <w:t>.</w:t>
      </w:r>
    </w:p>
    <w:p>
      <w:pPr>
        <w:spacing w:after="0" w:line="158" w:lineRule="exact"/>
        <w:rPr>
          <w:sz w:val="20"/>
          <w:szCs w:val="20"/>
          <w:color w:val="auto"/>
        </w:rPr>
      </w:pPr>
    </w:p>
    <w:p>
      <w:pPr>
        <w:ind w:right="20" w:firstLine="8"/>
        <w:spacing w:after="0" w:line="182" w:lineRule="auto"/>
        <w:tabs>
          <w:tab w:leader="none" w:pos="120" w:val="left"/>
        </w:tabs>
        <w:numPr>
          <w:ilvl w:val="0"/>
          <w:numId w:val="12"/>
        </w:numPr>
        <w:rPr>
          <w:rFonts w:ascii="Arial" w:cs="Arial" w:eastAsia="Arial" w:hAnsi="Arial"/>
          <w:sz w:val="26"/>
          <w:szCs w:val="26"/>
          <w:color w:val="auto"/>
          <w:vertAlign w:val="superscript"/>
        </w:rPr>
      </w:pPr>
      <w:r>
        <w:rPr>
          <w:rFonts w:ascii="Arial" w:cs="Arial" w:eastAsia="Arial" w:hAnsi="Arial"/>
          <w:sz w:val="14"/>
          <w:szCs w:val="14"/>
          <w:color w:val="auto"/>
        </w:rPr>
        <w:t>Callable perpetual preferreds are negatively convex because they have capped upside in low interest rate environments given they are callable and extension risk in high interest rate environments because they are perpetual</w:t>
      </w:r>
      <w:r>
        <w:rPr>
          <w:rFonts w:ascii="Arial" w:cs="Arial" w:eastAsia="Arial" w:hAnsi="Arial"/>
          <w:sz w:val="16"/>
          <w:szCs w:val="16"/>
          <w:color w:val="auto"/>
        </w:rPr>
        <w:t>.</w:t>
      </w:r>
    </w:p>
    <w:p>
      <w:pPr>
        <w:spacing w:after="0" w:line="28"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7"/>
          <w:szCs w:val="27"/>
          <w:color w:val="auto"/>
          <w:vertAlign w:val="superscript"/>
        </w:rPr>
      </w:pPr>
      <w:r>
        <w:rPr>
          <w:rFonts w:ascii="Arial" w:cs="Arial" w:eastAsia="Arial" w:hAnsi="Arial"/>
          <w:sz w:val="14"/>
          <w:szCs w:val="14"/>
          <w:color w:val="auto"/>
        </w:rPr>
        <w:t>Source: Bloomberg</w:t>
      </w:r>
      <w:r>
        <w:rPr>
          <w:rFonts w:ascii="Arial" w:cs="Arial" w:eastAsia="Arial" w:hAnsi="Arial"/>
          <w:sz w:val="16"/>
          <w:szCs w:val="16"/>
          <w:color w:val="auto"/>
        </w:rPr>
        <w: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7" w:name="page8"/>
    <w:bookmarkEnd w:id="7"/>
    <w:p>
      <w:pPr>
        <w:ind w:left="660" w:right="16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Valued the Capital Appreciation Shares between $16.00 and $19.00 by using a 3.4-4.2x P/E multiple range. The lower end required a 23% cost of equity and valued GM at a 50% discount to the next lowest multiple stock in the entire S&amp;P 500.</w:t>
      </w:r>
    </w:p>
    <w:p>
      <w:pPr>
        <w:spacing w:after="0" w:line="156" w:lineRule="exact"/>
        <w:rPr>
          <w:rFonts w:ascii="Arial" w:cs="Arial" w:eastAsia="Arial" w:hAnsi="Arial"/>
          <w:sz w:val="18"/>
          <w:szCs w:val="18"/>
          <w:color w:val="auto"/>
        </w:rPr>
      </w:pPr>
    </w:p>
    <w:p>
      <w:pPr>
        <w:jc w:val="both"/>
        <w:ind w:left="660" w:right="120" w:hanging="328"/>
        <w:spacing w:after="0" w:line="28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Used one price for valuation purposes ($19.00) and a much higher price (starting with $26.00) for the share repurchase program. The impact was to diminish the effectiveness of share repurchases. Implicitly, the $26.00 price provided support for Greenlight’s previously provided valuation analysis.</w:t>
      </w:r>
    </w:p>
    <w:p>
      <w:pPr>
        <w:spacing w:after="0" w:line="175"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Stated that the preferred market was too illiquid for the Proposal to work, citing as evidence a 5 basis point bid-ask spread in a General Electric preferred issue where buyers and sellers had not altered their interest levels for weeks.</w:t>
      </w:r>
    </w:p>
    <w:p>
      <w:pPr>
        <w:spacing w:after="0" w:line="223" w:lineRule="exact"/>
        <w:rPr>
          <w:rFonts w:ascii="Arial" w:cs="Arial" w:eastAsia="Arial" w:hAnsi="Arial"/>
          <w:sz w:val="18"/>
          <w:szCs w:val="18"/>
          <w:color w:val="auto"/>
        </w:rPr>
      </w:pPr>
    </w:p>
    <w:p>
      <w:pPr>
        <w:ind w:left="660" w:right="58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Emphasized short-term trading considerations over whether GM’s existing shareholder base would be likely to hold the Dividend Shares, as opposed to how the market would value the structure on a fully-distributed basis.</w:t>
      </w:r>
    </w:p>
    <w:p>
      <w:pPr>
        <w:spacing w:after="0" w:line="34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addition, GM’s financial advisors reported that they had discussed possible structures with rating agencies for a generic investment grade industrial issuer (not-GM specifically). In contrast with the conclusions of the valuation work described above where the advisors claimed the Dividend Shares would yield 10.5% - 12.5%, for the purpose of rating agency discussions, the advisors used a 6.5% yield. The lower yield corresponded with a higher value. The higher value gave the rating agencies the impression that the Dividend Shares would represent almost the entire balance sheet equity of the company. GM’s advisors presented the Proposal as a highly leveraging event. (Greenlight unequivocally disputes that the Proposal adds any incremental leverage.)</w:t>
      </w:r>
    </w:p>
    <w:p>
      <w:pPr>
        <w:spacing w:after="0" w:line="19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general matter, Greenlight believes that when issuers wish to present ideas that they are interested in pursuing to rating agencies they generally cast them in the most favorable (or at least balanced) light and present them with advocacy. Normally, advisors, with otherwise leading reputations in the marketplace, would not be expected to do such a disservice in “marketing” the Proposal to rating agencies, to the extent they were genuinely trying to investigate a positive outcome for the Proposal. From the description of GM’s advisors’ presentation to the ratings agencies, it is apparent GM’s advisors asked the ratings agencies how they would view an issuer issuing income securities representing 80% of their equity value without providing additional context. The advisors also admitted that they did not discuss key financial metrics with the ratings agencies, such as before and after payout ratio (~24%), pension adjusted net debt / EBITDA (~0.9x), fixed charge coverage ratio (~4.9x) or balance sheet cash / annual dividends (~9 years)—all of which, would have described the Proposal in a more descriptive and balanced light.</w:t>
      </w:r>
    </w:p>
    <w:p>
      <w:pPr>
        <w:spacing w:after="0" w:line="1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Predictably, this process elicited negative rating agency responses such as “if you are doing this, something must be wrong here with the company” and “so if you are doing this what else are you planning to do in terms of aggressive changes to your financial policies.” Greenlight believes that had GM’s advisors discussed the foregoing metrics with the ratings agencies, their commentary published on March 28, 2017 would have been more descriptive and balanced. GM’s advisors did not prepare any analysis of the Two Class Common Stock Proposal, which had consistently been one of the two structures Greenlight had proposed.</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Einhorn responded at the meeting by indicating that GM’s advisors’ analysis took a negative assumption at every turn and compounded the assumptions upon each other with the impact of reaching implausible conclusions. Mr. Einhorn compared the analysis to the efforts one might put forth in a debating society rather than a balanced approach designed to determine the truth of the question at hand. Mr. Einhorn again requested that the process become iterative and collaborative so as to best address the concerns raised.</w:t>
      </w:r>
    </w:p>
    <w:p>
      <w:pPr>
        <w:spacing w:after="0" w:line="18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On December 7, 2016, Mr. Einhorn emailed Mr. Stevens asking for a follow up call at the earliest possible convenience to discuss next steps and to determine if GM was interested in beginning to work with Greenlight in a truly collaborative manner.</w:t>
      </w:r>
    </w:p>
    <w:p>
      <w:pPr>
        <w:spacing w:after="0" w:line="183"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On December 15, 2016, Mr. Einhorn, Mr. Sethi and another representative of Greenlight had a brief meeting with Mr. Stevens and another representative of GM. Mr. Stevens advised Greenlight that GM’s evaluation of the Proposal was complete and asserted that “every possible</w:t>
      </w:r>
    </w:p>
    <w:p>
      <w:pPr>
        <w:spacing w:after="0" w:line="2" w:lineRule="exact"/>
        <w:rPr>
          <w:sz w:val="20"/>
          <w:szCs w:val="20"/>
          <w:color w:val="auto"/>
        </w:rPr>
      </w:pPr>
    </w:p>
    <w:p>
      <w:pPr>
        <w:jc w:val="both"/>
        <w:ind w:right="180"/>
        <w:spacing w:after="0" w:line="211" w:lineRule="auto"/>
        <w:rPr>
          <w:sz w:val="20"/>
          <w:szCs w:val="20"/>
          <w:color w:val="auto"/>
        </w:rPr>
      </w:pPr>
      <w:r>
        <w:rPr>
          <w:rFonts w:ascii="Arial" w:cs="Arial" w:eastAsia="Arial" w:hAnsi="Arial"/>
          <w:sz w:val="18"/>
          <w:szCs w:val="18"/>
          <w:color w:val="auto"/>
        </w:rPr>
        <w:t>iteration”</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of the Proposal had been analyzed and that GM was not going to engage in further dialogue. Mr. Einhorn asked Mr. Stevens, who previously indicated he would sit in judgment between Greenlight and GM’s advisors, on which points Mr. Stevens agreed with GM’s advisors and on which points Mr. Stevens agreed with Greenlight. Mr. Stevens refused to engage in a substantive discussion about GM’s evaluation of the Proposal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86" w:lineRule="auto"/>
        <w:tabs>
          <w:tab w:leader="none" w:pos="140" w:val="left"/>
        </w:tabs>
        <w:numPr>
          <w:ilvl w:val="0"/>
          <w:numId w:val="15"/>
        </w:numPr>
        <w:rPr>
          <w:rFonts w:ascii="Arial" w:cs="Arial" w:eastAsia="Arial" w:hAnsi="Arial"/>
          <w:sz w:val="30"/>
          <w:szCs w:val="30"/>
          <w:color w:val="auto"/>
          <w:vertAlign w:val="superscript"/>
        </w:rPr>
      </w:pPr>
      <w:r>
        <w:rPr>
          <w:rFonts w:ascii="Arial" w:cs="Arial" w:eastAsia="Arial" w:hAnsi="Arial"/>
          <w:sz w:val="14"/>
          <w:szCs w:val="14"/>
          <w:color w:val="auto"/>
        </w:rPr>
        <w:t>Yes we recognize that this is impossible. Nonetheless, that was Mr. Stevens’ position, which he repeated again on a telephone call on January 16, 2017.</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8" w:name="page9"/>
    <w:bookmarkEnd w:id="8"/>
    <w:p>
      <w:pPr>
        <w:ind w:right="260"/>
        <w:spacing w:after="0" w:line="246" w:lineRule="auto"/>
        <w:rPr>
          <w:sz w:val="20"/>
          <w:szCs w:val="20"/>
          <w:color w:val="auto"/>
        </w:rPr>
      </w:pPr>
      <w:r>
        <w:rPr>
          <w:rFonts w:ascii="Arial" w:cs="Arial" w:eastAsia="Arial" w:hAnsi="Arial"/>
          <w:sz w:val="18"/>
          <w:szCs w:val="18"/>
          <w:color w:val="auto"/>
        </w:rPr>
        <w:t>other than making the vague, unsupported statement that the Proposal was “too risky.” He advised Greenlight that GM was told by the major credit rating agencies that the Proposal may result in a downgrade of the Company’s credit rating.</w:t>
      </w:r>
    </w:p>
    <w:p>
      <w:pPr>
        <w:spacing w:after="0" w:line="18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Following the meeting, Greenlight decided to retain a financial advisor to provide Greenlight additional advice, including in regard to the potential value of the Proposal, the structure of the Proposal and the credit rating agency concern. During the last week of December 2016 through the third week of January 2017, Greenlight’s financial advisor reached out to all three major Nationally Recognized Statistical Rating Organizations (“NRSROs” or “rating agencies”), but only in one case identified GM as the potential issuer.</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Greenlight’s financial advisor had an informal discussion regarding the Two Class Common Stock Proposal with the lead GM analyst and a colleague at NRSRO ‘A’. NRSRO ‘A’ said factors they would consider were dividend preferences and cumulative dividend characteristics, amongst others that can negatively influence an issuer rating. Based on that discussion, Greenlight’s financial advisor believed that absent a change in financial policy, it was a reasonable assumption that NRSRO ‘A’ would not be inclined to downgrade the issuer as a result of the Two Class Common Stock Proposal. NRSRO ‘A’ indicated it offered a paid credit rating service to provide a formal rating for the Two Class Common Stock Proposal that Greenlight (unnamed at this point) could use to receive more formal feedback. NRSRO ‘A’’s product manager for the service subsequently followed up stating that NRSRO ‘A’ would only offer the service for non-issuers with the issuer’s consent, subject to the issuer’s participation in the process or under a publicly hostile-M&amp;A scenario, also requiring the issuer’s consent.</w:t>
      </w:r>
    </w:p>
    <w:p>
      <w:pPr>
        <w:spacing w:after="0" w:line="1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manager at NRSRO ‘B’ communicated a similar conclusion to that communicated by NRSRO ‘A’, that its credit rating service must have the consent of the issuer. However, after being given a similar version of the term sheet provided to GM on January 30, 2017, but redacting GM as the issuer, NRSRO ‘B’ did not raise any issues with respect to the structure of the Two Class Common Stock Proposal or its impact on ratings (absent a change in financial policy or business of the issuer.) However, the manager communicated that the situation would likely be treated with a level of skepticism since the request was coming from a non-issuer (usually an activist investor or private equity firm) as non-issuers are typically not viewed as “credit friendly.” NRSRO ‘B’ also communicated it would need specifics around any change in financial policy or business of the issuer to determine whether any credit rating action would be warranted.</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representative of NRSRO ‘C’, without having GM or Greenlight specifically named, informally indicated receptivity to the structure and did not highlight characteristics that would automatically trigger a downgrade to a credit rating. NRSRO ‘C’ indicated that its credit rating service may be available to Greenlight, but that its results could not be made public by Greenlight. After subsequent conversations, including an attempt to negotiate a non-disclosure agreement, senior management at NRSRO ‘C’ determined that it would not allow a non-issuer to use their credit ratings service without the consent of the issuer, nor would it provide any further informal guidance on the proposed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Following these conversations, Greenlight and its financial advisor discussed that none of the NRSROs provided any substantive indication that the Two Class Common Stock Proposal would result in a credit rating downgrade, assuming reasonable advocacy by the Company, including communication that it would not involve a material change in financial policy.</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Greenlight and its financial advisor had no further contact with NRSROs regarding the Two Class Common Stock Proposal following the third week of January 2017 through the date of making the Two Class Common Stock Proposal public on March 28, 2017.</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light of discussions with its financial advisor relating to a potential path to a favorable ratings outcome, Greenlight decided to re-engage GM in further discussions.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January 16, 2017, Mr. Einhorn, Ms. Barra and Mr. Stevens held a teleconference to discuss the Proposal, during which time Greenlight emphasized its continued belief that the Proposal would create significant shareholder value and that it should not have any negative impact on the Company’s credit ratings, as it represents no change to the Company’s obligations or financial policy. Mr. Stevens reiterated on this call that the GM had already analyzed “every possible iteration” of the Proposal. Mr. Stevens described an analysis that GM performed that indicated that in some circumstances, the Proposal could destroy value. Mr. Einhorn requested to view that analysis so that Greenlight could understand the basis for the Company’s conclusions and discuss any misunderstandings or incorrect assumptions used in such analysis. The Company arranged for a follow-up call nine days later and indicated it would share the requested materials.</w:t>
      </w:r>
    </w:p>
    <w:p>
      <w:pPr>
        <w:spacing w:after="0" w:line="19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On January 25, 2017, Mr. Einhorn, Mr. Sethi, and additional representatives of Greenlight, and Ms. Barra, Mr. Stevens and additional representatives of GM held a teleconference to discuss the Proposal. During this discussion and after additional prodding by Greenlight, Mr. Stevens conceded that GM had not actually shown the Two Class Common Stock</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8" w:right="239" w:bottom="1440" w:gutter="0" w:footer="0" w:header="0"/>
        </w:sectPr>
      </w:pPr>
    </w:p>
    <w:bookmarkStart w:id="9" w:name="page10"/>
    <w:bookmarkEnd w:id="9"/>
    <w:p>
      <w:pPr>
        <w:ind w:right="140"/>
        <w:spacing w:after="0" w:line="246" w:lineRule="auto"/>
        <w:rPr>
          <w:sz w:val="20"/>
          <w:szCs w:val="20"/>
          <w:color w:val="auto"/>
        </w:rPr>
      </w:pPr>
      <w:r>
        <w:rPr>
          <w:rFonts w:ascii="Arial" w:cs="Arial" w:eastAsia="Arial" w:hAnsi="Arial"/>
          <w:sz w:val="18"/>
          <w:szCs w:val="18"/>
          <w:color w:val="auto"/>
        </w:rPr>
        <w:t>Proposal to the rating agencies despite this being one of the two scenarios Greenlight had proposed to GM on September 15, 2016 and again on October 31, 2016.</w:t>
      </w:r>
    </w:p>
    <w:p>
      <w:pPr>
        <w:spacing w:after="0" w:line="18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Mr. Stevens did not refute Mr. Einhorn’s suggestion that the Proposal that GM and/or its advisors apparently presented to the rating agencies sounded very alarming given its lack of vital details (i.e. a dividend of ~80% of the current book equity as a new perpetual preferred class of equity, without clarifying that under Greenlight’s scenario there would be no change in cash, liquidity, aggregate shareholder dividends or buybacks, and GM would still have a very strong fixed charge coverage ratio and no incremental probability of default). Qualitatively, Mr. Stevens asserted a likely negative rating agency perspective on a material shift in GM’s financial policy, even under the Two Class Common Stock Proposal. Mr. Stevens did not suggest GM had tried to mitigate rating agency concerns about the Proposal by advocating that it did not represent a material shift in GM’s financial policy.</w:t>
      </w:r>
    </w:p>
    <w:p>
      <w:pPr>
        <w:spacing w:after="0" w:line="19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GM had failed to provide the analysis promised on the January 16, 2017 call. Mr. Einhorn communicated that he had expected to receive those materials, given the nine day period since the prior call.</w:t>
      </w:r>
    </w:p>
    <w:p>
      <w:pPr>
        <w:spacing w:after="0" w:line="18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Einhorn again asked Mr. Stevens what valuation range GM expected for the Two Class Common Stock Proposal and what data they used to arrive at that range. Mr. Stevens stated that the Two Class Common Stock Proposal would not create shareholder value without Capital Appreciation Share P/E multiple expansion. Mr. Einhorn responded that this statement represented a shocking lack of understanding of the Proposal and the associated valuation arithmetic and after many months of alleged evaluation of the Proposal by Mr. Stevens.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Einhorn then walked through why he believed that Mr. Stevens was incorrect. Using an 8% yield on the Dividend Shares (paying the current $1.52 per share dividend) and a constant 6.3x P/E multiple on the Capital Appreciation Shares (based on the current stock price of $38.00 divided by the current $6.00 per share of earnings used in this simplified example), he arrived at an expected $ 47.00+ value per current GM share ($1.52 x 12.5x = $19.00 for the Dividend Shares and $4.48 x 6.3x = $28.22+ for the Capital Appreciation Shares).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Einhorn also responded to Mr. Stevens’ claim that GM’s valuation analysis included a wide range of outcomes including a potential reduction in aggregate shareholder value. Assuming an 8% yield on the $1.52 dividend resulting in $19.00 for the Dividend Shares, implied $19.00 for the Capital Appreciation Share or 4.2x residual earnings of $ 4.48 for aggregate shareholder value to be unchanged. Mr. Einhorn reiterated the concept from Greenlight’s October 31, 2016 presentation that a multiple this low was not plausible, as if it were to persist, Capital Appreciation Share count reduction based on the current trajectory of GM share repurchases would result in some combination of Capital Appreciation Shares having substantial price appreciation, dramatic EPS growth or zero shares outstanding in a relatively small number of years. Mr. Stevens did not provide any analytical refutation to this argument, but was also unwilling to concede that such a low P/E multiple was unreasonable.</w:t>
      </w:r>
    </w:p>
    <w:p>
      <w:pPr>
        <w:spacing w:after="0" w:line="1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Einhorn informed GM that Greenlight’s financial advisor had informal discussions with the rating agencies about the Two Class Common Stock Proposal and that the general feedback was that there was a reasonable expectation that the ratings would not be impacted, absent a material change in financial policy. During this discussion, Mr. Einhorn offered for Greenlight and its advisors to participate in the presentation of the Two Class Common Stock Proposal directly to the rating agencies to help ensure that there would be no miscommunications or misunderstandings about the Two Class Common Stock Proposal. At several points during the call, Mr. Einhorn requested that the Company give the rating agencies permission to talk directly to Greenlight and its advisors about the Two Class Common Stock Proposal at Greenlight’s own expense. The Company refused to provide such consent during the call, but agreed to discuss it internally.</w:t>
      </w:r>
    </w:p>
    <w:p>
      <w:pPr>
        <w:spacing w:after="0" w:line="19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As it related to governance issues raised by GM, Mr. Einhorn described liquidation, M&amp;A and business downturn/financial distress scenarios and noted that the Two Class Common Stock Proposal addressed each of these scenarios. Mr. Einhorn asked the Company if it had any concerns about any additional governance scenarios so that Greenlight could address them, and no such concerns were provided by the Company.</w:t>
      </w:r>
    </w:p>
    <w:p>
      <w:pPr>
        <w:spacing w:after="0" w:line="18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this discussion, Mr. Einhorn reiterated Greenlight’s prior communication of its interest in engaging in a collaborative and iterative process and stated that he was disappointed that this had not been the case thus far. On several occasions during the call Ms. Barra made it clear that she considered the Two Class Common Stock Proposal to be a new idea, different from the preferred stock idea that Greenlight had discussed with the Company and its financial advisors in 2016. Although Mr. Einhorn disagreed that there was anything new in the Two Class Common Stock Proposal and this conversation made it clear that Ms. Barra had not given consideration to the Two Class Common Stock Proposal, Mr. Einhorn was pleased to hear Ms. Barra communicate openness to evaluating it.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8" w:right="239" w:bottom="1440" w:gutter="0" w:footer="0" w:header="0"/>
        </w:sectPr>
      </w:pPr>
    </w:p>
    <w:bookmarkStart w:id="10" w:name="page11"/>
    <w:bookmarkEnd w:id="10"/>
    <w:p>
      <w:pPr>
        <w:ind w:right="100"/>
        <w:spacing w:after="0"/>
        <w:rPr>
          <w:sz w:val="20"/>
          <w:szCs w:val="20"/>
          <w:color w:val="auto"/>
        </w:rPr>
      </w:pPr>
      <w:r>
        <w:rPr>
          <w:rFonts w:ascii="Arial" w:cs="Arial" w:eastAsia="Arial" w:hAnsi="Arial"/>
          <w:sz w:val="18"/>
          <w:szCs w:val="18"/>
          <w:color w:val="auto"/>
        </w:rPr>
        <w:t>GM again agreed to send over the valuation work that the Company’s advisors had done in connection with the analysis of the Two Class Common Stock Proposal. Separately, Greenlight agreed to share a term sheet with additional specific details of the Two Class Common Stock Proposal.</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January 27, 2017, rather than providing Greenlight with the valuation analysis as promised, a representative of GM emailed Greenlight questions regarding the terms for the Dividend Shares, the assumed valuation, proposed use of excess cash flow going forward, governance and rating agency considerations. Greenlight was surprised that a management team that claimed to have been deeply engaged in evaluating the Proposal would ask these questions, as they had already been asked and answered on several prior occasions.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30, 2017, Mr. Sethi emailed a copy of a term sheet for the Two Class Common Stock Proposal to a representative of the Company.</w:t>
      </w:r>
    </w:p>
    <w:p>
      <w:pPr>
        <w:spacing w:after="0" w:line="1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Later on January 30, 2017, Mr. Einhorn, Mr. Sethi, and additional representatives of Greenlight, and Ms. Barra, Mr. Stevens and additional representatives of GM, held a teleconference to discuss the Two Class Common Stock Proposal. Greenlight thoroughly responded to the questions GM had provided regarding terms for the Dividend Shares, the assumed valuation, proposed use of excess cash flow going forward, governance and rating agency considerations, citing written materials already provided to the Company on September 15, 2016, October 31, 2016 and in the term sheet from January 30, 2017, where Greenlight had already addressed these questions.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Greenlight reiterated its request to see the Company’s valuation work on the Two Class Common Stock Proposal. Despite being promised these materials, to date Greenlight has not received them. Further, Mr. Stevens said it would not be appropriate to allow Greenlight to have access to the rating agencies. Greenlight believes that this deprived the rating agencies of the opportunity to have any questions about the Two Class Common Stock Proposal answered by Greenlight and prevented Greenlight from addressing any misconceptions that the ratings agencies may have harbored about the Two Class Common Stock Proposal.</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February 6, 2017, in order to ensure that GM shareholders have a chance to benefit from the Two Class Common Stock Proposal, Greenlight submitted to the Company a formal notice of its intention to nominate a minority slate of Nominees for election to the Board and present an advisory Two Class Common Stock Proposal to shareholders of the Company at the Annual Meeting. On the same day, Greenlight also sent a letter to the Board requesting that the Board reconsider its decision to reject Greenlight’s proposed Two Class Common Stock Proposal.</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letter explained the merits of the Two Class Common Stock Proposal and briefly addressed the history of the dialogue to date. Greenlight reiterated that it had already addressed the key criteria raised by GM: valuation, credit impact, governance and transparency. Because Greenlight believes the Board had not received sufficient, accurate materials and analysis to support its rejection of the Two Class Common Stock Proposal, it requested an opportunity to discuss the Two Class Common Stock Proposal with the Board directly to ensure the Board had every opportunity to assess the Two Class Common Stock Proposal and move forward on a collaborative basis. Greenlight also repeated its request to receive GM’s consent to meet with the credit rating agencies alone or with Management to resolve any lingering questions about the impact that issuing the Dividend Shares would have on GM’s credit rating.</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March 16, 2017, Mr. Sethi, and additional representatives of Greenlight, and Mr. Stevens and additional representatives of GM and GM’s advisors conducted a teleconference to discuss GM’s interactions with the credit rating agencies. Mr. Stevens said that GM had conducted an objective, deliberate and transparent evaluation with the three major rating agencies. He said the Company had shared Greenlight’s two Dividend Share structures (the preferred stock and dual-class common stock), as well as a third structure that GM had developed and that they thought was “even more equity-like” than the Two Class Common Stock Proposal.</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GM said that following the rating upgrade by Moody’s on January 30, 2017, GM went back to the rating agencies and conducted a more formal, fulsome evaluation on a named basis.</w:t>
      </w:r>
    </w:p>
    <w:p>
      <w:pPr>
        <w:spacing w:after="0" w:line="18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Mr. Stevens said that they gave the rating agencies a copy of the Two Class Common Stock Dividend Share term sheet that Greenlight provided the Company on January 30, 2017. Later in the conversation GM reiterated that it sent Greenlight’s actual term sheet to the rating agencies.</w:t>
      </w:r>
    </w:p>
    <w:p>
      <w:pPr>
        <w:spacing w:after="0" w:line="1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Mr. Stevens said GM did not give rating agencies any additional analysis of financial ratios before and after the transaction because the rating agencies already have a good understanding of GM’s business and financial characteristics.</w:t>
      </w:r>
    </w:p>
    <w:p>
      <w:pPr>
        <w:spacing w:after="0" w:line="18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GM communicated that if it went forward with the first or second proposal, GM would lose its investment-grade rating, and even the third proposal would also result in a very negative ratings outcome. GM explained that the rating agencies look</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8" w:right="239" w:bottom="1440" w:gutter="0" w:footer="0" w:header="0"/>
        </w:sectPr>
      </w:pPr>
    </w:p>
    <w:bookmarkStart w:id="11" w:name="page12"/>
    <w:bookmarkEnd w:id="11"/>
    <w:p>
      <w:pPr>
        <w:ind w:right="240"/>
        <w:spacing w:after="0" w:line="246" w:lineRule="auto"/>
        <w:rPr>
          <w:sz w:val="20"/>
          <w:szCs w:val="20"/>
          <w:color w:val="auto"/>
        </w:rPr>
      </w:pPr>
      <w:r>
        <w:rPr>
          <w:rFonts w:ascii="Arial" w:cs="Arial" w:eastAsia="Arial" w:hAnsi="Arial"/>
          <w:sz w:val="18"/>
          <w:szCs w:val="18"/>
          <w:color w:val="auto"/>
        </w:rPr>
        <w:t>at quantitative and non-quantitative metrics and that the rating agencies’ reasoning was that the “change in financial policy” would impact the rating agencies’ views on GM’s credit rating.</w:t>
      </w:r>
    </w:p>
    <w:p>
      <w:pPr>
        <w:spacing w:after="0" w:line="18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GM communicated that the rating agencies would treat a portion of the Dividend Shares as debt, consistent with their hybrid security frameworks. GM communicated that the rating agencies viewed all three scenarios as a significant departure from the Company’s existing financial policy. Mr. Stevens declined to indicate whether he thought the Proposal was a significant departure from the Company’s financial policy or whether he had shared any opinion on the matter with the rating agencies, stating that whether or not GM agrees with the rating agencies’ view is irrelevant.</w:t>
      </w:r>
    </w:p>
    <w:p>
      <w:pPr>
        <w:spacing w:after="0" w:line="18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Greenlight stated that its Two Class Common Stock Proposal was non-cumulative and that it was surprised that GM or the rating agencies would view it as cumulative since there would be no claim for unpaid dividends in a credit event scenario.</w:t>
      </w:r>
    </w:p>
    <w:p>
      <w:pPr>
        <w:spacing w:after="0" w:line="183"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Greenlight asked if the rating agencies understood that there was no actual change in capital return from the Two Class Common Stock Proposal and that there was no incremental risk of default. GM said it would provide Greenlight the term sheets shared with the rating agencies, but not any other communications. GM said it could not speak for the rating agencies but since all three reached the same conclusion, it assumes they understood the Proposal.</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Greenlight asked whether the Dividend Shares would be a rateable security. Mr. Stevens said this was not evaluated, was an open question and that he did not understand the relevance of the question. Greenlight responded that if the rating agencies did not view the Dividend Shares as a rateable security, that would be consistent with viewing them as a common equity, which has never been ascribed rating agency debt content. Whereas all other securities that are evaluated under rating agencies’ hybrid frameworks and are ascribed rating agency debt content are themselves rateable (i.e. cumulative preferred securities), so it is important in terms of understanding how the rating agencies viewed the Two Class Common Stock Proposal.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GM refused to discuss whether additional iterations with alternative features or lesser amounts would’ve changed the rating agencies’ views.</w:t>
      </w:r>
    </w:p>
    <w:p>
      <w:pPr>
        <w:spacing w:after="0" w:line="19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March 20, 2017, Mr. Sethi emailed a representative of the Company a written presentation for the Board meeting scheduled on March 22, 2017.</w:t>
      </w:r>
    </w:p>
    <w:p>
      <w:pPr>
        <w:spacing w:after="0" w:line="183"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Later on March 20, 2017, a representative of the Company emailed Mr. Sethi certain materials the Company had shared with ratings agencies, including summary details for a (1) “Preferred Dividend Shares,” (2) “Dual-Class Dividend Shares” (meant to resemble the Two Class Common Stock Proposal, although it deviated significantly) and (3) “Collapsing Dual-Class, Non-Cumulative Dividend Shares”, and detailed term sheets for the Preferred Dividend Shares and Dual-Class Dividend Shares, but not the Collapsing Dual-Class, Non-Cumulative Dividend Shares.</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To Greenlight’s surprise, and in direct contradiction to statements made by GM during the March 16, 2017 telephone call that GM had provided Greenlight’s Two Class Common Stock Proposal term sheet to the rating agencies, the Company had actually substantially altered the term sheet. GM did not, in fact, present Greenlight’s actual Two Class Common Proposal to the ratings agencies.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Among various misrepresentations in the altered term sheet presented to the ratings agencies, the Company eliminated the important clarifying point that Dividend Shares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preferred shares under the Two Class Common Stock Proposal and that both classes of common stock would share equally in a liquidation. In fact, the Company falsely added that the Dividend Shares “will rank equally amongst themselves in all respects and </w:t>
      </w:r>
      <w:r>
        <w:rPr>
          <w:rFonts w:ascii="Arial" w:cs="Arial" w:eastAsia="Arial" w:hAnsi="Arial"/>
          <w:sz w:val="18"/>
          <w:szCs w:val="18"/>
          <w:i w:val="1"/>
          <w:iCs w:val="1"/>
          <w:color w:val="auto"/>
        </w:rPr>
        <w:t>rank senior</w:t>
      </w:r>
      <w:r>
        <w:rPr>
          <w:rFonts w:ascii="Arial" w:cs="Arial" w:eastAsia="Arial" w:hAnsi="Arial"/>
          <w:sz w:val="18"/>
          <w:szCs w:val="18"/>
          <w:color w:val="auto"/>
        </w:rPr>
        <w:t xml:space="preserve"> to the Capital Appreciation Shares with respect to dividend rights and rank pari passu with any class or series of stock or other equity securities that is not expressly made senior or subordinated to the Dividend Shares as to the payment of distributions” (emphasis added).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altered term sheet misleadingly discusses “holders of the Dividend Shares receiving dividends in arrears (i.e. accrued but unpaid dividends on the Dividend Shares) in preference to the holders of the Capital Appreciation Shares,” which is an invention by the Company given that the Two Class Common Stock Proposal does not contemplate cumulative dividends.</w:t>
      </w:r>
    </w:p>
    <w:p>
      <w:pPr>
        <w:spacing w:after="0" w:line="189"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Finally, the term sheet contained several new topics including Restrictions on Issuances of Other Share Classes, Conversion Rights, Redemption Rights, Preemptive Rights and Financial or Other Covenants. None of these topics would be typical of a common stock and Greenlight believes they were introduced to frame the Proposal as a debt or preferred stock or hybrid instrument.</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8" w:right="239" w:bottom="1440" w:gutter="0" w:footer="0" w:header="0"/>
        </w:sectPr>
      </w:pPr>
    </w:p>
    <w:bookmarkStart w:id="12" w:name="page13"/>
    <w:bookmarkEnd w:id="12"/>
    <w:p>
      <w:pPr>
        <w:ind w:right="20"/>
        <w:spacing w:after="0"/>
        <w:rPr>
          <w:sz w:val="20"/>
          <w:szCs w:val="20"/>
          <w:color w:val="auto"/>
        </w:rPr>
      </w:pPr>
      <w:r>
        <w:rPr>
          <w:rFonts w:ascii="Arial" w:cs="Arial" w:eastAsia="Arial" w:hAnsi="Arial"/>
          <w:sz w:val="18"/>
          <w:szCs w:val="18"/>
          <w:color w:val="auto"/>
        </w:rPr>
        <w:t>In short, Greenlight believes that the altered term sheet that GM presented to the rating agencies wrongly gave the impression that the Two Class Common Stock Proposal resembled preferred stock or debt. The reality is that the Two Class Common Stock Proposal is exactly what its name denotes: two classes of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2017, Mr. Einhorn, Mr. Sethi and another representative of Greenlight met with Ms. Barra and certain members of GM’s Board to present the Two Class Common Stock Proposal. Greenlight walked through its written presentation, which had many similarities to the presentations made to GM on September 15, 2016 and October 31, 2016 and ultimately to the public presentation released on March 28, 2017.</w:t>
      </w:r>
    </w:p>
    <w:p>
      <w:pPr>
        <w:spacing w:after="0" w:line="2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Greenlight communicated that it believed GM’s initial rejection of the Proposal was based on flawed assumptions and analysis.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Greenlight believed it had addressed all relevant governance, credit rating, tax, accounting and legal issues.</w:t>
      </w:r>
    </w:p>
    <w:p>
      <w:pPr>
        <w:spacing w:after="0" w:line="36" w:lineRule="exact"/>
        <w:rPr>
          <w:rFonts w:ascii="Arial" w:cs="Arial" w:eastAsia="Arial" w:hAnsi="Arial"/>
          <w:sz w:val="18"/>
          <w:szCs w:val="18"/>
          <w:color w:val="auto"/>
        </w:rPr>
      </w:pPr>
    </w:p>
    <w:p>
      <w:pPr>
        <w:ind w:left="660" w:right="80" w:hanging="328"/>
        <w:spacing w:after="0" w:line="28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Greenlight shared a copy of a red-line highlighting the substantial changes made to the Two Class Common Stock Proposal Dividend Share term sheet provided by Greenlight to GM on January 30, 2017, compared to the term sheet GM emailed to Greenlight on March 20, 2017, which GM said it shared with the rating agencies.</w:t>
      </w:r>
    </w:p>
    <w:p>
      <w:pPr>
        <w:spacing w:after="0" w:line="162" w:lineRule="exact"/>
        <w:rPr>
          <w:sz w:val="20"/>
          <w:szCs w:val="20"/>
          <w:color w:val="auto"/>
        </w:rPr>
      </w:pPr>
    </w:p>
    <w:p>
      <w:pPr>
        <w:ind w:left="1300" w:right="600" w:hanging="320"/>
        <w:spacing w:after="0" w:line="274"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walked through each change that had been made to the Two Class Common Stock Proposal term sheet and explained the important implications of these changes.</w:t>
      </w:r>
    </w:p>
    <w:p>
      <w:pPr>
        <w:spacing w:after="0" w:line="184" w:lineRule="exact"/>
        <w:rPr>
          <w:rFonts w:ascii="Courier New" w:cs="Courier New" w:eastAsia="Courier New" w:hAnsi="Courier New"/>
          <w:sz w:val="18"/>
          <w:szCs w:val="18"/>
          <w:color w:val="auto"/>
        </w:rPr>
      </w:pPr>
    </w:p>
    <w:p>
      <w:pPr>
        <w:ind w:left="1300" w:right="60" w:hanging="320"/>
        <w:spacing w:after="0" w:line="274"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communicated its surprise and dismay that rating agencies still had not had the opportunity to evaluate Greenlight’s Two Class Common Stock Proposal.</w:t>
      </w:r>
    </w:p>
    <w:p>
      <w:pPr>
        <w:spacing w:after="0" w:line="170" w:lineRule="exact"/>
        <w:rPr>
          <w:rFonts w:ascii="Courier New" w:cs="Courier New" w:eastAsia="Courier New" w:hAnsi="Courier New"/>
          <w:sz w:val="18"/>
          <w:szCs w:val="18"/>
          <w:color w:val="auto"/>
        </w:rPr>
      </w:pPr>
    </w:p>
    <w:p>
      <w:pPr>
        <w:jc w:val="both"/>
        <w:ind w:left="1300" w:right="240" w:hanging="320"/>
        <w:spacing w:after="0" w:line="276"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communicated that sharing the altered version of Greenlight’s Term Sheet alongside a Cumulative Preferred term sheet, inappropriately framed the Dividend Shares as a disguised Preferred security that warranted partial debt treatment by the rating agencies.</w:t>
      </w:r>
    </w:p>
    <w:p>
      <w:pPr>
        <w:spacing w:after="0" w:line="172" w:lineRule="exact"/>
        <w:rPr>
          <w:rFonts w:ascii="Courier New" w:cs="Courier New" w:eastAsia="Courier New" w:hAnsi="Courier New"/>
          <w:sz w:val="18"/>
          <w:szCs w:val="18"/>
          <w:color w:val="auto"/>
        </w:rPr>
      </w:pPr>
    </w:p>
    <w:p>
      <w:pPr>
        <w:jc w:val="both"/>
        <w:ind w:left="1300" w:right="80" w:hanging="320"/>
        <w:spacing w:after="0" w:line="269"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And furthermore, sharing it alongside a Collapsing Dual-Class, Non-Cumulative term sheet that was never part of Greenlight’s Proposal, served the purpose of implying the Two Class Common Stock Proposal was less “equity-like” than this structure and incorporated a cumulative dividend (which it does not).</w:t>
      </w:r>
    </w:p>
    <w:p>
      <w:pPr>
        <w:spacing w:after="0" w:line="15" w:lineRule="exact"/>
        <w:rPr>
          <w:rFonts w:ascii="Courier New" w:cs="Courier New" w:eastAsia="Courier New" w:hAnsi="Courier New"/>
          <w:sz w:val="18"/>
          <w:szCs w:val="18"/>
          <w:color w:val="auto"/>
        </w:rPr>
      </w:pPr>
    </w:p>
    <w:p>
      <w:pPr>
        <w:ind w:left="660" w:right="100" w:hanging="328"/>
        <w:spacing w:after="0" w:line="29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Greenlight communicated the importance of GM approaching the rating agencies regarding the Two Class Common Stock Proposal in a position of advocacy, consistent with normal corporate practices.</w:t>
      </w:r>
    </w:p>
    <w:p>
      <w:pPr>
        <w:spacing w:after="0" w:line="169" w:lineRule="exact"/>
        <w:rPr>
          <w:rFonts w:ascii="Arial" w:cs="Arial" w:eastAsia="Arial" w:hAnsi="Arial"/>
          <w:sz w:val="18"/>
          <w:szCs w:val="18"/>
          <w:color w:val="auto"/>
        </w:rPr>
      </w:pPr>
    </w:p>
    <w:p>
      <w:pPr>
        <w:ind w:left="1300" w:right="100" w:hanging="320"/>
        <w:spacing w:after="0" w:line="276"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This would include communicating that the Two Class Common Stock Proposal would not represent a material departure from GM’s existing financial policy, would not represent a change in how GM allocated operating cash flows and would have no impact on GM’s fundamental creditworthiness.</w:t>
      </w:r>
    </w:p>
    <w:p>
      <w:pPr>
        <w:spacing w:after="0" w:line="172" w:lineRule="exact"/>
        <w:rPr>
          <w:rFonts w:ascii="Courier New" w:cs="Courier New" w:eastAsia="Courier New" w:hAnsi="Courier New"/>
          <w:sz w:val="18"/>
          <w:szCs w:val="18"/>
          <w:color w:val="auto"/>
        </w:rPr>
      </w:pPr>
    </w:p>
    <w:p>
      <w:pPr>
        <w:ind w:left="1300" w:right="240" w:hanging="320"/>
        <w:spacing w:after="0" w:line="274" w:lineRule="auto"/>
        <w:tabs>
          <w:tab w:leader="none" w:pos="130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Furthermore, Greenlight emphasized the importance of rating agencies properly evaluating the Dividend Shares as common stock.</w:t>
      </w:r>
    </w:p>
    <w:p>
      <w:pPr>
        <w:spacing w:after="0" w:line="197" w:lineRule="exact"/>
        <w:rPr>
          <w:rFonts w:ascii="Courier New" w:cs="Courier New" w:eastAsia="Courier New" w:hAnsi="Courier New"/>
          <w:sz w:val="18"/>
          <w:szCs w:val="18"/>
          <w:color w:val="auto"/>
        </w:rPr>
      </w:pPr>
    </w:p>
    <w:p>
      <w:pPr>
        <w:ind w:left="660" w:right="160" w:hanging="328"/>
        <w:spacing w:after="0" w:line="29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Greenlight communicated its disappointment that it had been denied an ability to have substantive dialogue with rating agencies at its own expense for several months and that it did not understand why the Company had repeatedly denied this request.</w:t>
      </w:r>
    </w:p>
    <w:p>
      <w:pPr>
        <w:spacing w:after="0" w:line="183" w:lineRule="exact"/>
        <w:rPr>
          <w:rFonts w:ascii="Arial" w:cs="Arial" w:eastAsia="Arial" w:hAnsi="Arial"/>
          <w:sz w:val="18"/>
          <w:szCs w:val="18"/>
          <w:color w:val="auto"/>
        </w:rPr>
      </w:pPr>
    </w:p>
    <w:p>
      <w:pPr>
        <w:ind w:left="660" w:right="600" w:hanging="328"/>
        <w:spacing w:after="0" w:line="29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Separately, Greenlight reiterated its longstanding offer to assist in the preparation of a presentation to the rating agencies and to participate in such a presentation.</w:t>
      </w:r>
    </w:p>
    <w:p>
      <w:pPr>
        <w:spacing w:after="0" w:line="183" w:lineRule="exact"/>
        <w:rPr>
          <w:rFonts w:ascii="Arial" w:cs="Arial" w:eastAsia="Arial" w:hAnsi="Arial"/>
          <w:sz w:val="18"/>
          <w:szCs w:val="18"/>
          <w:color w:val="auto"/>
        </w:rPr>
      </w:pPr>
    </w:p>
    <w:p>
      <w:pPr>
        <w:ind w:left="660" w:right="40" w:hanging="328"/>
        <w:spacing w:after="0" w:line="28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Greenlight also discussed how many other investment grade companies had successfully taken the existing economic and governance rights of their current common equity and split it into two common equities, better aligned with investor objectives, without suffering negative credit rating consequences.</w:t>
      </w:r>
    </w:p>
    <w:p>
      <w:pPr>
        <w:spacing w:after="0" w:line="189" w:lineRule="exact"/>
        <w:rPr>
          <w:rFonts w:ascii="Arial" w:cs="Arial" w:eastAsia="Arial" w:hAnsi="Arial"/>
          <w:sz w:val="18"/>
          <w:szCs w:val="18"/>
          <w:color w:val="auto"/>
        </w:rPr>
      </w:pPr>
    </w:p>
    <w:p>
      <w:pPr>
        <w:ind w:left="660" w:right="160" w:hanging="328"/>
        <w:spacing w:after="0" w:line="28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discussing the obstacles GM had raised thus far, Greenlight emphasized the positive elements of the Two Class Common Stock Proposal. This included substantial value creation, with analysis similar to the +24% to +72% increase in GM’s equity value shown in Greenlight’s March 28, 2017 public presentation.</w:t>
      </w:r>
    </w:p>
    <w:p>
      <w:pPr>
        <w:spacing w:after="0" w:line="189" w:lineRule="exact"/>
        <w:rPr>
          <w:rFonts w:ascii="Arial" w:cs="Arial" w:eastAsia="Arial" w:hAnsi="Arial"/>
          <w:sz w:val="18"/>
          <w:szCs w:val="18"/>
          <w:color w:val="auto"/>
        </w:rPr>
      </w:pPr>
    </w:p>
    <w:p>
      <w:pPr>
        <w:ind w:left="660" w:right="280" w:hanging="328"/>
        <w:spacing w:after="0" w:line="29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analysis showed that Capital Appreciation Share P/E multiple expansion was likely because planned buybacks would buy more Capital Appreciation Shares than today’s common stock due to a reduced absolute share price.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13" w:name="page14"/>
    <w:bookmarkEnd w:id="13"/>
    <w:p>
      <w:pPr>
        <w:ind w:left="660" w:right="160" w:hanging="328"/>
        <w:spacing w:after="0" w:line="28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Greenlight communicated that GM’s financial flexibility would be unchanged and potentially enhanced as a lower cost of capital would improve GM’s access to capital and provide the Company additional strategic flexibility, without adding any incremental default, refinancing or balance sheet risk.</w:t>
      </w:r>
    </w:p>
    <w:p>
      <w:pPr>
        <w:spacing w:after="0" w:line="189"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Greenlight also discussed the Nominees for election to the Board that Greenlight had submitted on February 6, 2017. Greenlight stated that these nominees are outstanding candidates who will supplement the existing GM Board and merit inclusion regardless of the Two Class Common Stock Proposal.</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March 27, 2017, Mr. Einhorn, Ms. Barra and an additional representative of GM met telephonically to discuss the possibility of implementing the Two Class Common Stock Proposal and adding any of the Nominees to the Board, all of which were rejected by the Company. Ms. Barra explained that the Board had determined that the Two Class Common Stock Proposal was not in the best interests of the company and GM would not support the election of any of the Greenlight Director Nominees. Ms. Barra refused to elaborate on the Board’s reasoning beyond saying that it was due to concerns previously communicated to Greenlight.</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Mr. Einhorn expressed disappointment, and told Ms. Barra that Greenlight would consider putting this to the shareholders. Mr. Einhorn communicated that he would like to keep the lines of communication open between Greenlight and GM even if they have to “agree to disagree” on the value unlock proposed by Greenlight and the fact that it is a win-win, without disrupting any of GM’s strategic and operational goals.</w:t>
      </w:r>
    </w:p>
    <w:p>
      <w:pPr>
        <w:spacing w:after="0" w:line="18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On March 28, 2017, Greenlight issued a public statement and a presentation announcing the Two Class Common Stock Proposal, stating its belief that it would unlock substantial value for shareholders of the Company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54" w:right="23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2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According to public information, the Board currently consists of eleven directors, each of whose term as director is expiring at the Annual Meeting. We are soliciting proxies to elect our three Nominees — Mr. Leo Hindery, Jr., Mr. Vinit Sethi and Mr. William N. Thorndike, Jr. We are "rounding out" our slate of three Nominees by permitting shareholders to also vote for the Company's candidates for election at the Annual Meeting, other than the Excluded Company Nominees, by voting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8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Participants intend to vote all of their shares of Common Stock in favor of the three Nominees and each of the Company’s candidates other than the Excluded Company Nominees. Even if all three of the Nominees are elected, the Nominees will represent a minority of the members of the Board, and therefore there can be no assurance that they can implement the actions that they believe are necessary to enhance shareholder value.</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elected, each of the Nominees will serve a one-year term until the next annual meeting of shareholders and until his successor has been duly elected and qualified. There is no assurance that any incumbent director will serve as a director if one or more of the Nominees are elected to the Board. You should refer to the Company’s Proxy Statement for the names, background, qualifications and other information concerning the Company's nominees. The ages shown below are as of the date of the filing of this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LEO HINDERY,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69; c/o InterMedia Partners, 405 Lexington Avenue, 48th Floor, New York, NY 10174</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8"/>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Partner of InterMedia Partners, LLC</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Leo Hindery, Jr. is Managing Partner of InterMedia Partners, LLC, a series of media industry investment funds he founded in</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1988. Previously, he was President and CEO of Tele-Communications, Inc. (TCI) and Liberty Media, then the world’s largest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combined cable television system operator and programming entity. In 1999 TCI merged into AT&amp;T and he became President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CEO of AT&amp;T Broadband. In 1999 he was named Chairman and CEO of GlobalCenter Inc., a major Internet services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company which fourteen months later merged into Exodus Communications, Inc. Following this merger, until the fall of 2004, he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was the founding Chairman and CEO of The YES Network, the regional television home of the New York Yankees.</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 member of the Council on Foreign Relations, Mr. Hindery is co-chair of the Task Force on Jobs Creation and was the founder of</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Jobs First 2012. In 2008, he was an economic and trade advisor to presidential candidate Barack Obama, and in 2012 he served</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as an economic policy surrogate for President Obama. He is a Trustee of Emerson College and a Director of Common Cause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New York, Hemisphere Media Group, Inc., and the Jesuit School of Theology.</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formerly Chairman of the National Cable Television Association and of C-SPAN, has been recognized as one of the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cable industry’s “25 Most Influential Executives over the Past 25 Years” and one of the “30 Individuals with the Most Significant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Impact on Cable's Early History”. A member of the Cable Industry Hall of Fame and the Hall of Fame of the Minority Media &amp;</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Telecom Council, he is distinguished by his decades of commitment to diversity and, at Liberty and InterMedia, by his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commitment to the development of ethnically sensitive channels and programming for African Americans, Latinos and Puerto</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Ricans.</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is the author of “It Takes a CEO: It’s Time to Lead With Integrity (Free Press, 2005) and The Biggest Game of All”</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(Free Press, 2003).</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received an MBA from the Stanford Graduate School of Business, and received a bachelor's degree from Seattle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University. He has received an honorary Doctor of Humane Letters degree from Emerson College.</w:t>
            </w:r>
          </w:p>
        </w:tc>
      </w:tr>
      <w:tr>
        <w:trPr>
          <w:trHeight w:val="114"/>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Hindery's qualifications to serve as a director on the Board include his long tenure serving at the helm of some of the largest</w:t>
            </w:r>
          </w:p>
        </w:tc>
      </w:tr>
      <w:tr>
        <w:trPr>
          <w:trHeight w:val="195"/>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media companies in the country as well as his decades of investing in private equity.</w:t>
            </w: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VINIT SETHI</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4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880" w:type="dxa"/>
            <w:vAlign w:val="bottom"/>
          </w:tcPr>
          <w:p>
            <w:pPr>
              <w:ind w:left="540"/>
              <w:spacing w:after="0"/>
              <w:rPr>
                <w:sz w:val="20"/>
                <w:szCs w:val="20"/>
                <w:color w:val="auto"/>
              </w:rPr>
            </w:pPr>
            <w:r>
              <w:rPr>
                <w:rFonts w:ascii="Arial" w:cs="Arial" w:eastAsia="Arial" w:hAnsi="Arial"/>
                <w:sz w:val="16"/>
                <w:szCs w:val="16"/>
                <w:color w:val="auto"/>
              </w:rPr>
              <w:t>43; c/o Greenlight Capital, Inc., 2 Grand Central Tower, 24th Floor, New York, New York 10017</w:t>
            </w:r>
          </w:p>
        </w:tc>
      </w:tr>
      <w:tr>
        <w:trPr>
          <w:trHeight w:val="168"/>
        </w:trPr>
        <w:tc>
          <w:tcPr>
            <w:tcW w:w="1540" w:type="dxa"/>
            <w:vAlign w:val="bottom"/>
            <w:tcBorders>
              <w:bottom w:val="single" w:sz="8" w:color="BFBFBF"/>
            </w:tcBorders>
          </w:tcPr>
          <w:p>
            <w:pPr>
              <w:spacing w:after="0"/>
              <w:rPr>
                <w:sz w:val="14"/>
                <w:szCs w:val="14"/>
                <w:color w:val="auto"/>
              </w:rPr>
            </w:pPr>
          </w:p>
        </w:tc>
        <w:tc>
          <w:tcPr>
            <w:tcW w:w="9880" w:type="dxa"/>
            <w:vAlign w:val="bottom"/>
            <w:tcBorders>
              <w:bottom w:val="single" w:sz="8" w:color="BFBFBF"/>
            </w:tcBorders>
          </w:tcPr>
          <w:p>
            <w:pPr>
              <w:spacing w:after="0"/>
              <w:rPr>
                <w:sz w:val="14"/>
                <w:szCs w:val="14"/>
                <w:color w:val="auto"/>
              </w:rPr>
            </w:pPr>
          </w:p>
        </w:tc>
      </w:tr>
      <w:tr>
        <w:trPr>
          <w:trHeight w:val="258"/>
        </w:trPr>
        <w:tc>
          <w:tcPr>
            <w:tcW w:w="154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880" w:type="dxa"/>
            <w:vAlign w:val="bottom"/>
          </w:tcPr>
          <w:p>
            <w:pPr>
              <w:ind w:left="540"/>
              <w:spacing w:after="0"/>
              <w:rPr>
                <w:sz w:val="20"/>
                <w:szCs w:val="20"/>
                <w:color w:val="auto"/>
              </w:rPr>
            </w:pPr>
            <w:r>
              <w:rPr>
                <w:rFonts w:ascii="Arial" w:cs="Arial" w:eastAsia="Arial" w:hAnsi="Arial"/>
                <w:sz w:val="16"/>
                <w:szCs w:val="16"/>
                <w:color w:val="auto"/>
              </w:rPr>
              <w:t>Vice President and Director of Research at Greenlight Capital, Inc.</w:t>
            </w:r>
          </w:p>
        </w:tc>
      </w:tr>
      <w:tr>
        <w:trPr>
          <w:trHeight w:val="168"/>
        </w:trPr>
        <w:tc>
          <w:tcPr>
            <w:tcW w:w="1540" w:type="dxa"/>
            <w:vAlign w:val="bottom"/>
            <w:tcBorders>
              <w:bottom w:val="single" w:sz="8" w:color="BFBFBF"/>
            </w:tcBorders>
          </w:tcPr>
          <w:p>
            <w:pPr>
              <w:spacing w:after="0"/>
              <w:rPr>
                <w:sz w:val="14"/>
                <w:szCs w:val="14"/>
                <w:color w:val="auto"/>
              </w:rPr>
            </w:pPr>
          </w:p>
        </w:tc>
        <w:tc>
          <w:tcPr>
            <w:tcW w:w="9880" w:type="dxa"/>
            <w:vAlign w:val="bottom"/>
            <w:tcBorders>
              <w:bottom w:val="single" w:sz="8" w:color="BFBFBF"/>
            </w:tcBorders>
          </w:tcPr>
          <w:p>
            <w:pPr>
              <w:spacing w:after="0"/>
              <w:rPr>
                <w:sz w:val="14"/>
                <w:szCs w:val="14"/>
                <w:color w:val="auto"/>
              </w:rPr>
            </w:pPr>
          </w:p>
        </w:tc>
      </w:tr>
      <w:tr>
        <w:trPr>
          <w:trHeight w:val="318"/>
        </w:trPr>
        <w:tc>
          <w:tcPr>
            <w:tcW w:w="1540" w:type="dxa"/>
            <w:vAlign w:val="bottom"/>
          </w:tcPr>
          <w:p>
            <w:pPr>
              <w:spacing w:after="0"/>
              <w:rPr>
                <w:sz w:val="24"/>
                <w:szCs w:val="24"/>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806" w:right="2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Mr. Vinit Sethi is Vice President and Director of Research at Greenlight Capital, Inc. and has been a partner of Greenlight since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2000. Mr. Sethi began his career as a financial analyst in the mergers and acquisitions group at Lazard Frères &amp; Co. LLC, a</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financial advisory and asset management firm. At Lazard, he was involved in mergers, acquisitions, divestitures, spin-offs and</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leveraged recapitalizations. After leaving Lazard, Mr. Sethi joined Chartwell Investments, a leveraged buyout firm. Mr. Sethi</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joined Greenlight as a Research Analyst in 1998 and he became a Partner in 2000 and Director of Research in 2006.</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 xml:space="preserve">Mr. Sethi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University of Pennsylvania in 1995. He earned both a B.S.E. from the Wharton</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School and a B.A. from the College of Arts and Sciences. Mr. Sethi received an honors distinction from the Economics</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Department, which named him the top student in the graduating class.</w:t>
            </w:r>
          </w:p>
        </w:tc>
      </w:tr>
      <w:tr>
        <w:trPr>
          <w:trHeight w:val="114"/>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Sethi's qualifications to serve as a director on the Board include his broad and deep understanding of financial analytics and</w:t>
            </w:r>
          </w:p>
        </w:tc>
      </w:tr>
      <w:tr>
        <w:trPr>
          <w:trHeight w:val="189"/>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successful leadership at one of the leading value-oriented hedge funds, as well as his deep knowledge of investing and</w:t>
            </w:r>
          </w:p>
        </w:tc>
      </w:tr>
      <w:tr>
        <w:trPr>
          <w:trHeight w:val="195"/>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experience assessing businesses.</w:t>
            </w: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WILLIAM N. THORNDIKE,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52; c/o Housatonic Partners, 800 Boylston Street, Suite 2220, Boston, MA 02199</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8"/>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Director of Housatonic Partners</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William N. Thorndike, Jr. is the Managing Director of Housatonic Partners, a leading middle market private equity firm that 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founded in 1994 with offices in Boston and San Francisco. He is also Senior Advisor to Brahman Capital, a public market</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investment fund based in Manhattan with approximately $4 billion in assets under management.</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director of over 30 companies and currently serves as Chairman of CONSOL Energy Inc., where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has been a member of the Board since 2014. He is also currently a director of a number of privately held companies.</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Trustee of non-profit organizations including Groton School (where he was Chair of the Finance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Nominating Committees) and the Stanford Business School Trust (where he was Chair of the Private Equity Committee). Mr.</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Thorndike is currently a Trustee of WGBH in Boston and the Board Chair at College of the Atlantic in Bar Harbor, Maine.</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is the author of “The Outsiders: Eight Unconventional CEOs and Their Radically Rational Blueprint for Success” (Harvard</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Business Review Press, 2012), which has been translated into ten languages.</w:t>
            </w:r>
          </w:p>
        </w:tc>
      </w:tr>
      <w:tr>
        <w:trPr>
          <w:trHeight w:val="324"/>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received an MBA from the Stanford Graduate School of Business and is a graduate of Harvard College.</w:t>
            </w:r>
          </w:p>
        </w:tc>
      </w:tr>
      <w:tr>
        <w:trPr>
          <w:trHeight w:val="114"/>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Thorndike's qualifications to serve as a director on the Board include his extensive leadership experience as a private equity</w:t>
            </w:r>
          </w:p>
        </w:tc>
      </w:tr>
      <w:tr>
        <w:trPr>
          <w:trHeight w:val="195"/>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investor, his wide array of board experience and his study of successful leadership.</w:t>
            </w:r>
          </w:p>
        </w:tc>
      </w:tr>
    </w:tbl>
    <w:p>
      <w:pPr>
        <w:spacing w:after="0" w:line="346" w:lineRule="exact"/>
        <w:rPr>
          <w:sz w:val="20"/>
          <w:szCs w:val="20"/>
          <w:color w:val="auto"/>
        </w:rPr>
      </w:pPr>
    </w:p>
    <w:p>
      <w:pPr>
        <w:jc w:val="center"/>
        <w:spacing w:after="0" w:line="275" w:lineRule="auto"/>
        <w:rPr>
          <w:sz w:val="20"/>
          <w:szCs w:val="20"/>
          <w:color w:val="auto"/>
        </w:rPr>
      </w:pPr>
      <w:r>
        <w:rPr>
          <w:rFonts w:ascii="Arial" w:cs="Arial" w:eastAsia="Arial" w:hAnsi="Arial"/>
          <w:sz w:val="21"/>
          <w:szCs w:val="21"/>
          <w:color w:val="auto"/>
        </w:rPr>
        <w:t xml:space="preserve">We urge shareholders to vote </w:t>
      </w:r>
      <w:r>
        <w:rPr>
          <w:rFonts w:ascii="Arial" w:cs="Arial" w:eastAsia="Arial" w:hAnsi="Arial"/>
          <w:sz w:val="21"/>
          <w:szCs w:val="21"/>
          <w:b w:val="1"/>
          <w:bCs w:val="1"/>
          <w:u w:val="single" w:color="auto"/>
          <w:color w:val="auto"/>
        </w:rPr>
        <w:t>FOR ALL</w:t>
      </w:r>
      <w:r>
        <w:rPr>
          <w:rFonts w:ascii="Arial" w:cs="Arial" w:eastAsia="Arial" w:hAnsi="Arial"/>
          <w:sz w:val="21"/>
          <w:szCs w:val="21"/>
          <w:color w:val="auto"/>
        </w:rPr>
        <w:t xml:space="preserve"> of the Nominees and the candidates who have been nominated by the Company other than the Excluded Company Nominees on the </w:t>
      </w:r>
      <w:r>
        <w:rPr>
          <w:rFonts w:ascii="Arial" w:cs="Arial" w:eastAsia="Arial" w:hAnsi="Arial"/>
          <w:sz w:val="21"/>
          <w:szCs w:val="21"/>
          <w:b w:val="1"/>
          <w:bCs w:val="1"/>
          <w:u w:val="single" w:color="auto"/>
          <w:color w:val="auto"/>
        </w:rPr>
        <w:t>GREEN</w:t>
      </w:r>
      <w:r>
        <w:rPr>
          <w:rFonts w:ascii="Arial" w:cs="Arial" w:eastAsia="Arial" w:hAnsi="Arial"/>
          <w:sz w:val="21"/>
          <w:szCs w:val="21"/>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None of the organizations or corporations referenced above is a parent, subsidiary or other affiliate of the Company. We believe that, if elected, each of the Nominees will be considered an independent director of the Company under (i) the Company’s Corporate Governance Guidelines, last revised December 14, 2016, (ii) Section 303A of the New York Stock Exchange’s Listed Company Manual (the “NYSE Rules”), and (iii) paragraph (a)(1) of Item 407 of Regulation S-K. Under the NYSE Rules, however, a final determination as to the independence of the Nominees will not be made until after their election and appointment to the Board.</w:t>
      </w:r>
    </w:p>
    <w:p>
      <w:pPr>
        <w:spacing w:after="0" w:line="36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Each of the Nominees (with the exception of Mr. Sethi) has entered into a nominee agreement pursuant to which Greenlight Capital, Inc. (“Greenlight Capital”) has agreed to pay the costs of soliciting proxies in connection with the Annual Meeting and to defend and indemnify such Nominees against, and with respect to, any losses that may be incurred by them in connection with their nomination as candidates for election to the Board and the solicitation of proxies in support of their election. Each Nominee (with the exception of Mr. Sethi) received compensation under the Nominee Agreement in the amount of $50,000 upon Greenlight’s previous submission to the Company of Greenlight’s intent to</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9" w:right="239" w:bottom="1440" w:gutter="0" w:footer="0" w:header="0"/>
        </w:sectPr>
      </w:pPr>
    </w:p>
    <w:bookmarkStart w:id="16" w:name="page17"/>
    <w:bookmarkEnd w:id="16"/>
    <w:p>
      <w:pPr>
        <w:ind w:right="780"/>
        <w:spacing w:after="0" w:line="246" w:lineRule="auto"/>
        <w:rPr>
          <w:sz w:val="20"/>
          <w:szCs w:val="20"/>
          <w:color w:val="auto"/>
        </w:rPr>
      </w:pPr>
      <w:r>
        <w:rPr>
          <w:rFonts w:ascii="Arial" w:cs="Arial" w:eastAsia="Arial" w:hAnsi="Arial"/>
          <w:sz w:val="18"/>
          <w:szCs w:val="18"/>
          <w:color w:val="auto"/>
        </w:rPr>
        <w:t>nominate directors to stand for election at the Annual Meeting. If elected, the Nominees will be entitled to such compensation from the Company as is consistent with the Company’s practices for services of non-employee directors.</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Nominees has agreed to being named as a Nominee in this Proxy Statement and has confirmed his willingness to serve on the Board if elected. We do not expect that any of the Nominees will be unable to stand for election, but, in the event that a Nominee is unable to or for good cause will not serve, the shares of Common Stock represented by the GREEN proxy card will be voted for a substitute candidate selected by us. If we determine to add or substitute nominees, whether because the Company expands the size of the Board subsequent to the date of this Proxy Statement or for any other reason, we will file an amended proxy statement and proxy card that, as applicable, identifies the additional or substitute nominees, discloses that such nominees have consented to being named in the revised proxy statement and to serve if elected, and includes biographical and other information about such nominees required by the rules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According to the Company’s Amended and Restated Bylaws (the “Bylaws”), in contested elections such as this one, the affirmative vote of a plurality of the votes cast in person or represented by proxy and entitled to vote on the election of directors at the Annual Meeting is required for the election of each director nominee (meaning that the director nominees who receive the highest number of shares voted “FOR” their election by the common shareholders will be elected to the Board). A “WITHHELD” vote will have the same effect as a vote “AGAINST” the election of a director nominee. A shareholder cannot abstain in the election of directors and broker non-votes will not be counted.</w:t>
      </w:r>
    </w:p>
    <w:p>
      <w:pPr>
        <w:spacing w:after="0" w:line="16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We urge you to sign and return our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If you have already voted using the Company’s white proxy card, you have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Only the latest validly executed proxy that you submit will be counted; any proxy may be revoked at any time prior to its exercise at the Annual Meeting by following the instructions under “Can I change my vote or revoke my proxy?” If you have any questions or require any assistance with voting your shares, please contact our proxy solicitor, D.F. King &amp; Co. Inc., toll free at (800) 252-8173 or email at gm@dfking.com.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4" w:lineRule="exact"/>
        <w:rPr>
          <w:sz w:val="20"/>
          <w:szCs w:val="20"/>
          <w:color w:val="auto"/>
        </w:rPr>
      </w:pPr>
    </w:p>
    <w:p>
      <w:pPr>
        <w:ind w:right="340" w:firstLine="75"/>
        <w:spacing w:after="0" w:line="261" w:lineRule="auto"/>
        <w:rPr>
          <w:sz w:val="20"/>
          <w:szCs w:val="20"/>
          <w:color w:val="auto"/>
        </w:rPr>
      </w:pPr>
      <w:r>
        <w:rPr>
          <w:rFonts w:ascii="Arial" w:cs="Arial" w:eastAsia="Arial" w:hAnsi="Arial"/>
          <w:sz w:val="22"/>
          <w:szCs w:val="22"/>
          <w:b w:val="1"/>
          <w:bCs w:val="1"/>
          <w:color w:val="FFFFFF"/>
        </w:rPr>
        <w:t>We Recommend a Vote FOR ALL of the Nominees and the Company’s candidates for election at the Annual Meeting other than the Excluded Company Nominees on the GREEN proxy card.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65" w:right="239" w:bottom="1440" w:gutter="0" w:footer="0" w:header="0"/>
        </w:sectPr>
      </w:pPr>
    </w:p>
    <w:bookmarkStart w:id="17" w:name="page18"/>
    <w:bookmarkEnd w:id="17"/>
    <w:p>
      <w:pPr>
        <w:ind w:right="620"/>
        <w:spacing w:after="0" w:line="286" w:lineRule="auto"/>
        <w:rPr>
          <w:sz w:val="20"/>
          <w:szCs w:val="20"/>
          <w:color w:val="auto"/>
        </w:rPr>
      </w:pPr>
      <w:r>
        <w:rPr>
          <w:rFonts w:ascii="Arial" w:cs="Arial" w:eastAsia="Arial" w:hAnsi="Arial"/>
          <w:sz w:val="32"/>
          <w:szCs w:val="32"/>
          <w:b w:val="1"/>
          <w:bCs w:val="1"/>
          <w:color w:val="FFFFFF"/>
        </w:rPr>
        <w:t>PROPOSAL 2: ADVISORY VOTE ON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According to the Company’s Preliminary Proxy Statement, the Company will provide shareholders with the opportunity to cast a non-binding advisory vote on the compensation of the Company’s named executive officers. This vote is advisory, and therefore is not binding on the Company, the Compensation Committee or the Board. The Company’s Proxy Statement states that the Compensation Committee will take into account the outcome of this vote when considering future compensation arrangements.</w:t>
      </w:r>
    </w:p>
    <w:p>
      <w:pPr>
        <w:spacing w:after="0" w:line="2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believe stockholders should vote to approve the compensation of the Company’s named executive officers because we support the Company’s expressed policies of aligning pay to the achievement of both short-term and long-term goals while keeping in mind investor returns, executive performance, reducing executive incentives to take excessive risk, and allocating compensation components. Nevertheless, as disclosed in the Company’s Preliminary Proxy Statement, collectively, all directors and executive officers of the Company (24 persons in total), only beneficially own approximately 5 million shares, which constitutes less than 0.4% of the outstanding shares of Common Stock. In fact, non-employee directors beneficially own less than 310,000 shares or 0.02% of outstanding shares. While the Company has made efforts to replace restricted stock units with stock options, we believe the Compensation Committee should further consider its policies going forward in order to ensure that the Company’s executives and directors are invested in the Company’s success.</w:t>
      </w:r>
    </w:p>
    <w:p>
      <w:pPr>
        <w:spacing w:after="0" w:line="208"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According to the Company’s Preliminary Proxy Statement, the Company will request a non-binding, advisory vote on a resolution in the following form:</w:t>
      </w:r>
    </w:p>
    <w:p>
      <w:pPr>
        <w:spacing w:after="0" w:line="197" w:lineRule="exact"/>
        <w:rPr>
          <w:sz w:val="20"/>
          <w:szCs w:val="20"/>
          <w:color w:val="auto"/>
        </w:rPr>
      </w:pPr>
    </w:p>
    <w:p>
      <w:pPr>
        <w:jc w:val="both"/>
        <w:ind w:left="660" w:right="320" w:firstLine="648"/>
        <w:spacing w:after="0"/>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the related narrative discussion, is hereby APPROVED.</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Preliminary Proxy Statement in detail. According to the Company’s Proxy Statement, this vote will not be construed as overruling a decision by the Board, creating or implying any additional fiduciary duty by the Board, or restricting or limiting the ability of the Company’s shareholders to make proposals for inclusion in proxy materials related to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 to the Company’s Preliminary Proxy Statement, the approval of Proposal 2 requires the affirmative vote of a majority of the shares of Common Stock present or represented by proxy and entitled to vote at the Annual Meeting. Abstentions will be treated as shares that are present and entitled to vote and therefore will count as votes against Proposal 2. Broker non-votes will not be counted as votes present and entitled to vote and therefore will not be counted in determining the outcome of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2 on the GREEN proxy card.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49" w:right="239" w:bottom="1440" w:gutter="0" w:footer="0" w:header="0"/>
        </w:sectPr>
      </w:pPr>
    </w:p>
    <w:bookmarkStart w:id="18" w:name="page19"/>
    <w:bookmarkEnd w:id="18"/>
    <w:p>
      <w:pPr>
        <w:ind w:right="40"/>
        <w:spacing w:after="0" w:line="286" w:lineRule="auto"/>
        <w:rPr>
          <w:sz w:val="20"/>
          <w:szCs w:val="20"/>
          <w:color w:val="auto"/>
        </w:rPr>
      </w:pPr>
      <w:r>
        <w:rPr>
          <w:rFonts w:ascii="Arial" w:cs="Arial" w:eastAsia="Arial" w:hAnsi="Arial"/>
          <w:sz w:val="32"/>
          <w:szCs w:val="32"/>
          <w:b w:val="1"/>
          <w:bCs w:val="1"/>
          <w:color w:val="FFFFFF"/>
        </w:rPr>
        <w:t>PROPOSAL 3: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According to the Company’s Preliminary Proxy Statement, the Company will provide shareholders with the opportunity to approve the Company’s 2017 Short-Term Incentive Plan (the “2017 STIP”). The Company has stated that the 2017 STIP is a cash-based plan, and upon approval, will replace the Company’s 2014 Short-Term Incentive Plan.</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According to the Company, the 2017 STIP has been designed to permit the Compensation Committee to grant awards that are intended to meet the requirements of Section 162(m) of the Internal Revenue Code (the “IRC”) for qualified performance-based compensation so that the Compensation Committee has the ability to issue awards to the Company’s senior executives and preserve tax deductibility for the Company with respect to those awards. Section 162(m) requires shareholder approval of the material terms pursuant to which qualified performance-based compensation may be paid. Such material terms include the definitions of “Eligible Participants,” “Individual Limits,” and “Performance Measures.”</w:t>
      </w:r>
    </w:p>
    <w:p>
      <w:pPr>
        <w:spacing w:after="0" w:line="19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support the Company’s general policy of tying annual cash incentive awards to the achievement of Company performance measures and specified financial, operational, and individual goals, and thus we recommend shareholders vote for Proposal 3.</w:t>
      </w:r>
    </w:p>
    <w:p>
      <w:pPr>
        <w:spacing w:after="0" w:line="18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Preliminary Proxy Statement in detail. According to the Company’s Preliminary Proxy Statement, the 2017 STIP is being presented for shareholder approval in order to permit the Compensation Committee to make awards under the 2017 STIP that are intended to constitute qualified performance-based compensation under Section 162(m) of the IRC. If the 2017 STIP is not approved by shareholders, it will not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 to the Company’s Preliminary Proxy Statement, the approval of Proposal 3 requires the affirmative vote of a majority of the shares of Common Stock present or represented by proxy and entitled to vote at the Annual Meeting. Abstentions will be treated as shares that are present and entitled to vote and therefore will count as votes against Proposal 3. Broker non-votes will not be counted as votes present and entitled to vote and therefore will not be counted in determining the outcome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3 on the GREEN proxy card.</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49" w:right="239" w:bottom="1440" w:gutter="0" w:footer="0" w:header="0"/>
        </w:sectPr>
      </w:pPr>
    </w:p>
    <w:bookmarkStart w:id="19" w:name="page20"/>
    <w:bookmarkEnd w:id="19"/>
    <w:p>
      <w:pPr>
        <w:ind w:right="220"/>
        <w:spacing w:after="0" w:line="286" w:lineRule="auto"/>
        <w:rPr>
          <w:sz w:val="20"/>
          <w:szCs w:val="20"/>
          <w:color w:val="auto"/>
        </w:rPr>
      </w:pPr>
      <w:r>
        <w:rPr>
          <w:rFonts w:ascii="Arial" w:cs="Arial" w:eastAsia="Arial" w:hAnsi="Arial"/>
          <w:sz w:val="32"/>
          <w:szCs w:val="32"/>
          <w:b w:val="1"/>
          <w:bCs w:val="1"/>
          <w:color w:val="FFFFFF"/>
        </w:rPr>
        <w:t>PROPOSAL 4: VOTE ON THE COMPANY’S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According to the Company’s Preliminary Proxy Statement, the Company will provide shareholders with the opportunity to approve the Company’s 2017 Long-Term Incentive Plan (the “2017 STIP”). According to the Company, upon approval, the 2017 LTIP will apply to new awards granted after the Annual Meeting. The remaining shares available under the 2014 LTIP and 2016 Equity Incentive Plan will only be used to settle outstanding awards granted respectively under each plan prior to the Annual Meeting.</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According to the Company, all employees (approximately 225,000) of the Company and 10 non-employee directors are eligible to receive awards under the 2017 LTIP, as well as certain of the Company’s consultants and advisors (who have not yet been identified). The Company expects that awards will be made to approximately 1,700 employees. The terms of the 2017 LTIP permit the grant of awards to non-employee directors, however, such awards are not currently contemplated under the current terms of the non-employee director compensation program.</w:t>
      </w:r>
    </w:p>
    <w:p>
      <w:pPr>
        <w:spacing w:after="0" w:line="17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the 2017 LTIP the Company is also seeking approval of 42,000,000 shares of Common Stock to provide equity-based compensation as approved by the Compensation Committee.</w:t>
      </w:r>
    </w:p>
    <w:p>
      <w:pPr>
        <w:spacing w:after="0" w:line="183"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We support the Company’s policy towards aligning executive compensation with long-term, equity-based compensation, which we believe allows the Company to attract, motivate, and retain the critical talent necessary to deliver long-term results to shareholders, and thus we recommend shareholders vote for Proposal 4.</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Preliminary Proxy Statement in detail. According to the Company’s Preliminary Proxy Statement, the 2017 LTIP is being presented for shareholder approval in order to permit the Compensation Committee to make awards under the 2017 LTIP that are intended to constitute qualified performance-based compensation under Section 162(m) of the IRC. If the 2017 LTIP is not approved by shareholders, it will not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 to the Company’s Preliminary Proxy Statement, the approval of Proposal 4 requires the affirmative vote of a majority of the shares of Common Stock present or represented by proxy and entitled to vote at the Annual Meeting. Abstentions will be treated as shares that are present and entitled to vote and therefore will count as votes against Proposal 4. Broker non-votes will not be counted as votes present and entitled to vote and therefore will not be counted in determining the outcome of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4 on the GREEN proxy card.</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49" w:right="239" w:bottom="1440" w:gutter="0" w:footer="0" w:header="0"/>
        </w:sectPr>
      </w:pPr>
    </w:p>
    <w:bookmarkStart w:id="20" w:name="page21"/>
    <w:bookmarkEnd w:id="20"/>
    <w:p>
      <w:pPr>
        <w:ind w:right="1100"/>
        <w:spacing w:after="0" w:line="286" w:lineRule="auto"/>
        <w:rPr>
          <w:sz w:val="20"/>
          <w:szCs w:val="20"/>
          <w:color w:val="auto"/>
        </w:rPr>
      </w:pPr>
      <w:r>
        <w:rPr>
          <w:rFonts w:ascii="Arial" w:cs="Arial" w:eastAsia="Arial" w:hAnsi="Arial"/>
          <w:sz w:val="32"/>
          <w:szCs w:val="32"/>
          <w:b w:val="1"/>
          <w:bCs w:val="1"/>
          <w:color w:val="FFFFFF"/>
        </w:rPr>
        <w:t>PROPOSAL 5: RATIFICATION OF THE COMPANY’S SELECTION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According to the Company’s Proxy Statement, the Audit Committee of the Board (the “Audit Committee”) has selected Deloitte &amp; Touche LLP (“Deloitte”) as the Company’s independent registered public accounting firm to audit the Company’s consolidated financial statements for fiscal year 2017. Deloitte and its predecessor companies have served as the Company’s independent registered public accounting firm since 1918. It is anticipated that representatives of Deloitte will be present at the meeting and will have the opportunity to make a statement, if they desire to do so, and will be available to respond to appropriate questions from those attending the meeting.</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shareholders are being asked to ratify the appointment of Deloitte as the independent registered public accounting firm for 2017. According to the Company’s Proxy Statement,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5 requires the affirmative vote of a majority of the shares of Common Stock present or represented by proxy and entitled to vote at the Annual Meeting. Abstentions will be treated as shares that are present and entitled to vote and therefore will count as votes against Proposal 5. Broker non-votes will not be counted as votes present and entitled to vote and therefore will not be counted in determining the outcome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5 on the GREEN proxy card.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49" w:right="239" w:bottom="1440" w:gutter="0" w:footer="0" w:header="0"/>
        </w:sectPr>
      </w:pPr>
    </w:p>
    <w:bookmarkStart w:id="21" w:name="page22"/>
    <w:bookmarkEnd w:id="21"/>
    <w:p>
      <w:pPr>
        <w:ind w:right="1100"/>
        <w:spacing w:after="0" w:line="286" w:lineRule="auto"/>
        <w:rPr>
          <w:sz w:val="20"/>
          <w:szCs w:val="20"/>
          <w:color w:val="auto"/>
        </w:rPr>
      </w:pPr>
      <w:r>
        <w:rPr>
          <w:rFonts w:ascii="Arial" w:cs="Arial" w:eastAsia="Arial" w:hAnsi="Arial"/>
          <w:sz w:val="32"/>
          <w:szCs w:val="32"/>
          <w:b w:val="1"/>
          <w:bCs w:val="1"/>
          <w:color w:val="FFFFFF"/>
        </w:rPr>
        <w:t>PROPOSAL 6: VOTE ON SHAREHOLDER PROPOSAL REGARDING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According to the Company, two shareholders of the Company have given notice that they intend to present for action at the annual meeting the following advisory shareholder proposal:</w:t>
      </w:r>
    </w:p>
    <w:p>
      <w:pPr>
        <w:spacing w:after="0" w:line="183" w:lineRule="exact"/>
        <w:rPr>
          <w:sz w:val="20"/>
          <w:szCs w:val="20"/>
          <w:color w:val="auto"/>
        </w:rPr>
      </w:pPr>
    </w:p>
    <w:p>
      <w:pPr>
        <w:ind w:left="660" w:right="100" w:firstLine="648"/>
        <w:spacing w:after="0" w:line="237" w:lineRule="auto"/>
        <w:rPr>
          <w:sz w:val="20"/>
          <w:szCs w:val="20"/>
          <w:color w:val="auto"/>
        </w:rPr>
      </w:pPr>
      <w:r>
        <w:rPr>
          <w:rFonts w:ascii="Arial" w:cs="Arial" w:eastAsia="Arial" w:hAnsi="Arial"/>
          <w:sz w:val="18"/>
          <w:szCs w:val="18"/>
          <w:color w:val="auto"/>
        </w:rPr>
        <w:t>Shareholders request our Board of Directors to adopt as policy, and amend our governing documents as necessary, to require the Chair of the Board of Directors, whenever possible, to be an independent member of the Board. The Board would have the discretion to phase in this policy for the next CEO transition, implemented so it did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proposal requests that all the necessary steps be taken to accomplish the above.</w:t>
      </w:r>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Effectively, implementation of this proposal would require a separation of the roles of Chairman and CEO at the Company. The Company recommends against the adoption of this proposal because it states that the “policy advocated by this proposal would take away the Board’s discretion to evaluate and change its leadership structure.” We support the Company’s recommendation that shareholders vote against Proposal 6 because we believe it is in the best interests of the Company and its shareholders for the Board to have flexibility in determining the leadership structure of the Board.</w:t>
      </w:r>
    </w:p>
    <w:p>
      <w:pPr>
        <w:spacing w:after="0" w:line="18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addition, we agree with the Company’s determination in the Company’s Preliminary Proxy Statement that the Company’s current structure of having a combined Chairman and CEO along with a strong Independent Lead Director provides an efficient and effective leadership structure.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recommend a vote against Proposal 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 to the Company’s Preliminary Proxy Statement, the approval of Proposal 6 requires the affirmative vote of a majority of the shares of Common Stock present or represented by proxy and entitled to vote at the Annual Meeting. Abstentions will be treated as shares that are present and entitled to vote and therefore will count as votes against Proposal 6. Broker non-votes will not be counted as votes present and entitled to vote and therefore will not be counted in determining the outcome of this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AGAINST Proposal 6 on the GREEN proxy card.</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49" w:right="239" w:bottom="1440" w:gutter="0" w:footer="0" w:header="0"/>
        </w:sectPr>
      </w:pPr>
    </w:p>
    <w:bookmarkStart w:id="22" w:name="page23"/>
    <w:bookmarkEnd w:id="22"/>
    <w:p>
      <w:pPr>
        <w:ind w:right="220"/>
        <w:spacing w:after="0" w:line="286" w:lineRule="auto"/>
        <w:rPr>
          <w:sz w:val="20"/>
          <w:szCs w:val="20"/>
          <w:color w:val="auto"/>
        </w:rPr>
      </w:pPr>
      <w:r>
        <w:rPr>
          <w:rFonts w:ascii="Arial" w:cs="Arial" w:eastAsia="Arial" w:hAnsi="Arial"/>
          <w:sz w:val="32"/>
          <w:szCs w:val="32"/>
          <w:b w:val="1"/>
          <w:bCs w:val="1"/>
          <w:color w:val="FFFFFF"/>
        </w:rPr>
        <w:t>PROPOSAL 7: REQUEST THAT THE BOARD CREATE A SECOND CLASS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 the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 Given this discount in the price of the Company’s stock to its intrinsic value, we believe that the Board should take the steps necessary to create a second class of common stock (the “Dividend Shares”) and distribute these Dividend Shares to the Company’s existing shareholders at no cost to them.</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Dividend Shares would trade separately from the Company’s current common stock (the “Capital Appreciation Shares”). The Company would continue to pay quarterly dividends at the current annual rate of $1.52 per share, but to holders of the Dividend Shares instead of holders of the Capital Appreciation Shares. The Capital Appreciation Shares would continue to participate in all of the Company’s excess earnings, share buybacks and future growth.</w:t>
      </w:r>
    </w:p>
    <w:p>
      <w:pPr>
        <w:spacing w:after="0" w:line="188"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The Dividend Shares would offer yield-oriented investors the predictable income they want, while the Capital Appreciation Shares would participate in the continued growth of the Company, offer an exciting opportunity for more rapid earnings per share growth through the enhanced impact of share repurchases under the two class structure, and retain control of the Company.</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implementation of Proposal 7 would also allow the Company to retain complete strategic flexibility without adding any default, refinancing, credit rating or balance sheet risk, thus helping maximize value for all shareholders. We do not believe that the Company properly presented the Two Class Common Stock Proposal to the ratings agencies. In fact, we believe the Company modified our proposal before giving it to the rating agencies in an effort to defeat the Proposal. If our Proposal were properly presented to the rating agencies, and advocated for by the Company, we do not believe it would materially affect the Company’s credit ratings. As one of the Company’s largest shareholders, we obviously would not want the Company’s business prospects to be harmed by implementation of this Proposal.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Accordingly, shareholders are being asked to vote on the following resolution:</w:t>
      </w:r>
    </w:p>
    <w:p>
      <w:pPr>
        <w:spacing w:after="0" w:line="174" w:lineRule="exact"/>
        <w:rPr>
          <w:sz w:val="20"/>
          <w:szCs w:val="20"/>
          <w:color w:val="auto"/>
        </w:rPr>
      </w:pPr>
    </w:p>
    <w:p>
      <w:pPr>
        <w:jc w:val="both"/>
        <w:ind w:left="660" w:right="660" w:firstLine="648"/>
        <w:spacing w:after="0" w:line="253" w:lineRule="auto"/>
        <w:rPr>
          <w:sz w:val="20"/>
          <w:szCs w:val="20"/>
          <w:color w:val="auto"/>
        </w:rPr>
      </w:pPr>
      <w:r>
        <w:rPr>
          <w:rFonts w:ascii="Arial" w:cs="Arial" w:eastAsia="Arial" w:hAnsi="Arial"/>
          <w:sz w:val="16"/>
          <w:szCs w:val="16"/>
          <w:color w:val="auto"/>
        </w:rPr>
        <w:t>“WHEREAS, Greenlight Capital, Inc. (“Greenlight Capital”) is a long-term shareholder of the Company and believes that the Company’s existing common stock trades at a discount to its intrinsic value because the equity market is not appropriately assessing the Company’s dividend;</w:t>
      </w:r>
    </w:p>
    <w:p>
      <w:pPr>
        <w:spacing w:after="0" w:line="174" w:lineRule="exact"/>
        <w:rPr>
          <w:sz w:val="20"/>
          <w:szCs w:val="20"/>
          <w:color w:val="auto"/>
        </w:rPr>
      </w:pPr>
    </w:p>
    <w:p>
      <w:pPr>
        <w:jc w:val="both"/>
        <w:ind w:left="660" w:right="660" w:firstLine="648"/>
        <w:spacing w:after="0" w:line="260" w:lineRule="auto"/>
        <w:rPr>
          <w:sz w:val="20"/>
          <w:szCs w:val="20"/>
          <w:color w:val="auto"/>
        </w:rPr>
      </w:pPr>
      <w:r>
        <w:rPr>
          <w:rFonts w:ascii="Arial" w:cs="Arial" w:eastAsia="Arial" w:hAnsi="Arial"/>
          <w:sz w:val="16"/>
          <w:szCs w:val="16"/>
          <w:color w:val="auto"/>
        </w:rPr>
        <w:t>WHEREAS, Greenlight Capital has a proposal that would unlock substantial long-term shareholder value for all of the Company’s shareholders without changing the Company’s business strategy or capital allocation priorities, and without affecting other stakeholders;</w:t>
      </w:r>
    </w:p>
    <w:p>
      <w:pPr>
        <w:spacing w:after="0" w:line="169" w:lineRule="exact"/>
        <w:rPr>
          <w:sz w:val="20"/>
          <w:szCs w:val="20"/>
          <w:color w:val="auto"/>
        </w:rPr>
      </w:pPr>
    </w:p>
    <w:p>
      <w:pPr>
        <w:jc w:val="both"/>
        <w:ind w:left="660" w:right="660" w:firstLine="648"/>
        <w:spacing w:after="0" w:line="250" w:lineRule="auto"/>
        <w:rPr>
          <w:sz w:val="20"/>
          <w:szCs w:val="20"/>
          <w:color w:val="auto"/>
        </w:rPr>
      </w:pPr>
      <w:r>
        <w:rPr>
          <w:rFonts w:ascii="Arial" w:cs="Arial" w:eastAsia="Arial" w:hAnsi="Arial"/>
          <w:sz w:val="16"/>
          <w:szCs w:val="16"/>
          <w:color w:val="auto"/>
        </w:rPr>
        <w:t>WHEREAS, Greenlight Capital’s proposal involves the creation of a second class of common stock (the “Dividend Shares”) and a distribution of the Dividend Shares to the Company’s existing shareholders at no cost. The Dividend Shares would trade separately from the existing common stock (the “Capital Appreciation Shares”). The Company would continue to pay quarterly dividends at the current annual rate of $1.52 per share to holders of the Dividend Shares. The Capital Appreciation Shares would continue to participate in all of the Company’s residual earnings, share buybacks and future growth;</w:t>
      </w:r>
    </w:p>
    <w:p>
      <w:pPr>
        <w:spacing w:after="0" w:line="176" w:lineRule="exact"/>
        <w:rPr>
          <w:sz w:val="20"/>
          <w:szCs w:val="20"/>
          <w:color w:val="auto"/>
        </w:rPr>
      </w:pPr>
    </w:p>
    <w:p>
      <w:pPr>
        <w:jc w:val="both"/>
        <w:ind w:left="660" w:right="660" w:firstLine="648"/>
        <w:spacing w:after="0" w:line="251" w:lineRule="auto"/>
        <w:rPr>
          <w:sz w:val="20"/>
          <w:szCs w:val="20"/>
          <w:color w:val="auto"/>
        </w:rPr>
      </w:pPr>
      <w:r>
        <w:rPr>
          <w:rFonts w:ascii="Arial" w:cs="Arial" w:eastAsia="Arial" w:hAnsi="Arial"/>
          <w:sz w:val="16"/>
          <w:szCs w:val="16"/>
          <w:color w:val="auto"/>
        </w:rPr>
        <w:t>RESOLVED, that the shareholders of the Company request that the Board of Directors take the steps necessary (other than steps that must be taken by shareholders) to create and distribute a second class of common stock directly to the Company’s shareholders at no cost, which second class of common stock would trade separately from the existing common stock and continue to pay quarterly dividends at an annual rate of $1.52, in order to unlock significant shareholder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vote is advisory, and therefore is not binding on the Company or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According to the Company’s Bylaws, the approval of Proposal 7 requires the affirmative vote of a majority of the shares of Common Stock present or represented by proxy and entitled to vote at the Annual Meeting. Abstentions will be treated as shares that are present and entitled to vote and therefore will count as votes against Proposal 7. Broker non-votes will not be counted as votes present and entitled to vote and therefore will not be counted in determining the outcome of this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7 on the GREEN proxy card.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49" w:right="239" w:bottom="1440" w:gutter="0" w:footer="0" w:header="0"/>
        </w:sectPr>
      </w:pPr>
    </w:p>
    <w:bookmarkStart w:id="23" w:name="page24"/>
    <w:bookmarkEnd w:id="23"/>
    <w:p>
      <w:pPr>
        <w:ind w:right="280"/>
        <w:spacing w:after="0" w:line="286" w:lineRule="auto"/>
        <w:rPr>
          <w:sz w:val="20"/>
          <w:szCs w:val="20"/>
          <w:color w:val="auto"/>
        </w:rPr>
      </w:pPr>
      <w:r>
        <w:rPr>
          <w:rFonts w:ascii="Arial" w:cs="Arial" w:eastAsia="Arial" w:hAnsi="Arial"/>
          <w:sz w:val="32"/>
          <w:szCs w:val="32"/>
          <w:b w:val="1"/>
          <w:bCs w:val="1"/>
          <w:color w:val="FFFFFF"/>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we and why are we conducting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are conducting this Proxy Solicitation in order to help guide the Board towards realizing greater value for shareholders by considering taking the necessary steps to create two classes of common stock and to install new Board members who can provide a fresh perspective on how the Board and the Company as a whole can create greater value for all shareholders the Company.</w:t>
      </w:r>
    </w:p>
    <w:p>
      <w:pPr>
        <w:spacing w:after="0" w:line="1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became shareholders because we believed that the Company’s stock was significantly undervalued in the market relative to its prospects and that it trades at a large discount to its intrinsic value, despite good operating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Only holders of voting stock at the close of business on the Record Date, April 7, 2017, are entitled to notice of and to vote at the Annual Meeting. Shareholders who sold shares of Common Stock before the Record Date (or acquire them without voting rights after the Record Date) may not vote such shares of Common Stock. Shareholders of record on the Record Date will retain their voting rights in connection with the Annual Meeting even if they sell such shares of Common Stock after the Record Date (unless they also transfer their voting rights).</w:t>
      </w:r>
    </w:p>
    <w:p>
      <w:pPr>
        <w:spacing w:after="0" w:line="18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According to the Company’s Proxy Statement, holders of the Common Stock are entitled to vote at the Annual meeting for the election of eleven directors.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 xml:space="preserve">Shares held in record name. </w:t>
      </w:r>
      <w:r>
        <w:rPr>
          <w:rFonts w:ascii="Arial" w:cs="Arial" w:eastAsia="Arial" w:hAnsi="Arial"/>
          <w:sz w:val="18"/>
          <w:szCs w:val="18"/>
          <w:color w:val="auto"/>
        </w:rPr>
        <w:t>If your shares of Common Stock are registered in your own name, please vote today by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 -paid envelope provided. Execution and delivery of a proxy by a record holder of shares of Common Stock will be presumed to be a proxy with respect to all shares held by such record holder unless the proxy specifies otherwise.</w:t>
      </w:r>
    </w:p>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 xml:space="preserve">Shares beneficially owned or held in “street” name. </w:t>
      </w:r>
      <w:r>
        <w:rPr>
          <w:rFonts w:ascii="Arial" w:cs="Arial" w:eastAsia="Arial" w:hAnsi="Arial"/>
          <w:sz w:val="18"/>
          <w:szCs w:val="18"/>
          <w:color w:val="auto"/>
        </w:rPr>
        <w:t>If you hold your shares of Common Stock in “street” name with a broker, bank, dealer,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 company or other nominee, only that nominee can exercise the right to vote with respect to the shares of Common Stock that you beneficially own through such nominee and only upon receipt of your specific instructions. </w:t>
      </w:r>
      <w:r>
        <w:rPr>
          <w:rFonts w:ascii="Arial" w:cs="Arial" w:eastAsia="Arial" w:hAnsi="Arial"/>
          <w:sz w:val="18"/>
          <w:szCs w:val="18"/>
          <w:u w:val="single" w:color="auto"/>
          <w:color w:val="auto"/>
        </w:rPr>
        <w:t>Accordingly, it is critical that you promptly give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instructions to your broker, bank, dealer, trust company or other nominee to vote in favor of the election of the Nominees</w:t>
      </w:r>
      <w:r>
        <w:rPr>
          <w:rFonts w:ascii="Arial" w:cs="Arial" w:eastAsia="Arial" w:hAnsi="Arial"/>
          <w:sz w:val="18"/>
          <w:szCs w:val="18"/>
          <w:color w:val="auto"/>
        </w:rPr>
        <w:t xml:space="preserve">. Please follow the instructions to vote provided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If your broker, bank, dealer, trust company, or other nominee provides for proxy instructions to be delivered to them by telephone or Internet, instructions will be included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We urge you to confirm in writing your instructions to the person responsible for your account and provide a copy of those instructions by emailing them to gm@dfking.com or mailing them to Greenlight Capital, Inc., c/o D.F. King &amp; Co. Inc., 48 Wall Street, 2nd Floor, New York, New York 10015, so that we will be aware of all instructions given and can attempt to ensure that such instructions are followed.</w:t>
      </w:r>
    </w:p>
    <w:p>
      <w:pPr>
        <w:spacing w:after="0" w:line="171"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Shares of Common Stock represented by properly executed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cards will be voted at the Annual Meeting as marked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of specific instructions, “FOR ALL” of the Nominees listed in Proposal 1 and the Company’s candidates for election other than the Excluded Company Nominees, “FOR” Proposal 2, “FOR” Proposal 3, “FOR” Proposal 4, “FOR” Proposal 5, “AGAINST” Proposal 6, and “FOR” Proposal 7.</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How should I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recommend that you vote your shares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as follows:</w:t>
      </w:r>
    </w:p>
    <w:p>
      <w:pPr>
        <w:spacing w:after="0" w:line="171" w:lineRule="exact"/>
        <w:rPr>
          <w:sz w:val="20"/>
          <w:szCs w:val="20"/>
          <w:color w:val="auto"/>
        </w:rPr>
      </w:pPr>
    </w:p>
    <w:p>
      <w:pPr>
        <w:ind w:left="340" w:right="160"/>
        <w:spacing w:after="0" w:line="271" w:lineRule="auto"/>
        <w:rPr>
          <w:sz w:val="20"/>
          <w:szCs w:val="20"/>
          <w:color w:val="auto"/>
        </w:rPr>
      </w:pPr>
      <w:r>
        <w:rPr>
          <w:rFonts w:ascii="Arial" w:cs="Arial" w:eastAsia="Arial" w:hAnsi="Arial"/>
          <w:sz w:val="18"/>
          <w:szCs w:val="18"/>
          <w:b w:val="1"/>
          <w:bCs w:val="1"/>
          <w:color w:val="auto"/>
        </w:rPr>
        <w:t xml:space="preserve">“FOR ALL” </w:t>
      </w:r>
      <w:r>
        <w:rPr>
          <w:rFonts w:ascii="Arial" w:cs="Arial" w:eastAsia="Arial" w:hAnsi="Arial"/>
          <w:sz w:val="18"/>
          <w:szCs w:val="18"/>
          <w:color w:val="auto"/>
        </w:rPr>
        <w:t>Nominees standing for election to the Board named in this Proxy Statement and for the Company’s candidates for election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other than the Excluded Company Nominees (Proposal 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proposal to approve the compensation of the Company’s executive officers (Proposal 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Short-Term Incentive Plan (Proposal 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Long-Term Incentive Plan (Proposal 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Company’s selection of independent registered public accounting firm (Proposal 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approval of the shareholder proposal regarding establishing an independent Board Chairman (Proposal 6); and</w:t>
      </w:r>
    </w:p>
    <w:p>
      <w:pPr>
        <w:spacing w:after="0" w:line="171" w:lineRule="exact"/>
        <w:rPr>
          <w:sz w:val="20"/>
          <w:szCs w:val="20"/>
          <w:color w:val="auto"/>
        </w:rPr>
      </w:pPr>
    </w:p>
    <w:p>
      <w:pPr>
        <w:ind w:left="340" w:right="40"/>
        <w:spacing w:after="0" w:line="253"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request that the Board create a second class of common stock that would trade separately from the existing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Shares”) and continue to pay quarterly dividends at an annual rate of $1.52, and to authorize a distribution of the Dividend Shares to the Company’s existing shareholders at no cost (Proposal 7);</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According to the Bylaws, the presence in person or represented by proxy of holders entitled to cast at least a majority of all the votes generally entitled to be cast at the Annual Meeting shall constitute a quorum for the transaction of business at the Annual Meeting. According to the Company’s Proxy Statement, abstentions (shares of the Company’s capital stock for which proxies have been received but for which the holders have abstained from voting) and broker non-votes, which are described below, will be included in the calculation of the number of shares of the Company’s capital stock represented at the meeting for purposes of determining whether a quorum has been achieved. Broker shares that are not voted on any matter will not be included in determining whether a quorum is present. For more information on broker non-votes, see “</w:t>
      </w:r>
      <w:r>
        <w:rPr>
          <w:rFonts w:ascii="Arial" w:cs="Arial" w:eastAsia="Arial" w:hAnsi="Arial"/>
          <w:sz w:val="18"/>
          <w:szCs w:val="18"/>
          <w:i w:val="1"/>
          <w:iCs w:val="1"/>
          <w:color w:val="auto"/>
        </w:rPr>
        <w:t>What are “broker non-votes” and what effect do they have on the proposals?</w:t>
      </w:r>
      <w:r>
        <w:rPr>
          <w:rFonts w:ascii="Arial" w:cs="Arial" w:eastAsia="Arial" w:hAnsi="Arial"/>
          <w:sz w:val="18"/>
          <w:szCs w:val="18"/>
          <w:color w:val="auto"/>
        </w:rPr>
        <w:t>” below.</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needed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left="660" w:right="100" w:hanging="328"/>
        <w:spacing w:after="0" w:line="24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Proposal 1 – Election of Directors. </w:t>
      </w:r>
      <w:r>
        <w:rPr>
          <w:rFonts w:ascii="Arial" w:cs="Arial" w:eastAsia="Arial" w:hAnsi="Arial"/>
          <w:sz w:val="18"/>
          <w:szCs w:val="18"/>
          <w:color w:val="auto"/>
        </w:rPr>
        <w:t>According to the Company’s Bylaws, in contested elections such as this one, the affirmative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a plurality of the votes cast in person or represented by proxy and entitled to vote on the election of directors at the Annual Meeting is required for the election of each director nominee (meaning that the eleven director nominees who receive the highest number of shares voted “FOR” their election by the common shareholders will be elected to the Board). A “WITHHELD” vote will have the same effect as a vote “AGAINST” the election of a director nominee. You cannot abstain in the election of directors and broker non-votes will not be counted because shares that constitute broker non-votes are not considered votes present at the Annual Meeting.</w:t>
      </w:r>
    </w:p>
    <w:p>
      <w:pPr>
        <w:spacing w:after="0" w:line="273" w:lineRule="exact"/>
        <w:rPr>
          <w:rFonts w:ascii="Arial" w:cs="Arial" w:eastAsia="Arial" w:hAnsi="Arial"/>
          <w:sz w:val="18"/>
          <w:szCs w:val="18"/>
          <w:color w:val="auto"/>
        </w:rPr>
      </w:pPr>
    </w:p>
    <w:p>
      <w:pPr>
        <w:ind w:left="660" w:right="22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THE ONLY WAY TO SUPPORT ALL OF THE GREENLIGHT NOMINEES IS TO SUBMIT YOUR VOTING INSTRUCTIONS “FOR ALL” THE NOMINEES AND THE COMPANY’S CANDIDATES FOR ELECTION TO THE BOARD OTHER THAN THE EXCLUDED COMPANY NOMINEES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PLEASE DO NOT SIGN OR RETURN A WHITE PROXY CARD FROM THE COMPANY, EVEN IF YOU INSTRUCT TO “ABSTAIN” ON THEIR DIRECTOR NOMINEES. DOING SO WILL REVOKE ANY PREVIOUS VOTING INSTRUCTIONS YOU PROVIDED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Proposals 2 through 7. </w:t>
      </w:r>
      <w:r>
        <w:rPr>
          <w:rFonts w:ascii="Arial" w:cs="Arial" w:eastAsia="Arial" w:hAnsi="Arial"/>
          <w:sz w:val="18"/>
          <w:szCs w:val="18"/>
          <w:color w:val="auto"/>
        </w:rPr>
        <w:t>According to the Bylaws and the Company’s Preliminary Proxy Statement, the approval of each of Proposals</w:t>
      </w:r>
    </w:p>
    <w:p>
      <w:pPr>
        <w:spacing w:after="0" w:line="17" w:lineRule="exact"/>
        <w:rPr>
          <w:rFonts w:ascii="Arial" w:cs="Arial" w:eastAsia="Arial" w:hAnsi="Arial"/>
          <w:sz w:val="18"/>
          <w:szCs w:val="18"/>
          <w:color w:val="auto"/>
        </w:rPr>
      </w:pPr>
    </w:p>
    <w:p>
      <w:pPr>
        <w:ind w:left="660" w:right="20"/>
        <w:spacing w:after="0" w:line="238" w:lineRule="auto"/>
        <w:rPr>
          <w:rFonts w:ascii="Arial" w:cs="Arial" w:eastAsia="Arial" w:hAnsi="Arial"/>
          <w:sz w:val="18"/>
          <w:szCs w:val="18"/>
          <w:color w:val="auto"/>
        </w:rPr>
      </w:pPr>
      <w:r>
        <w:rPr>
          <w:rFonts w:ascii="Arial" w:cs="Arial" w:eastAsia="Arial" w:hAnsi="Arial"/>
          <w:sz w:val="18"/>
          <w:szCs w:val="18"/>
          <w:color w:val="auto"/>
        </w:rPr>
        <w:t>2 through 7 requires the affirmative vote of the holders of a majority of the votes of the Company’s shares of Common Stock present, in person or by proxy, at the Annual Meeting and entitled to vote thereon. Abstentions are considered votes that are present at the Annual Meeting and therefore will count as votes against Proposals 2 through 7. Shares that constitute broker non-votes are not considered votes that are present at the Annual Meeting and therefore will not affect the outcome of Proposals 2 through 7, assuming that a quorum is obtained.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13"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i w:val="1"/>
          <w:iCs w:val="1"/>
          <w:color w:val="auto"/>
        </w:rPr>
        <w:t>What are “broker non-votes” and what effect do they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Generally, broker non-votes occur when shares held by a broker, bank or other nominee in “street name” for a beneficial owner are not voted with respect to a particular proposal because the broker, bank or other nominee has not received voting instructions from the beneficial owner and lacks discretionary voting power to vote those shares with respect to that particular proposal. If your shares are held in the name of a brokerage firm, and the brokerage firm has not received voting instructions from the beneficial owner of the shares with respect to that proposal, the brokerage firm cannot vote the shares on that proposal unless it is a “routine” matter. Under the NYSE Rules, there are no “routine” proposals in a contested proxy solicitation such as this one. Because Greenlight has initiated a contested proxy solicitation, there will be no “routine” matters at the Annual Meeting.</w:t>
      </w:r>
    </w:p>
    <w:p>
      <w:pPr>
        <w:spacing w:after="0" w:line="19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Broker non-votes, if any, with respect to the proposals set forth in this Proxy Statement will not count as votes present and entitled to vote and therefore will not be counted in determining the outcome of any of Proposals 2 through 7.</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should I do if I receive a proxy card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You may receive proxy solicitation materials from GM, including an opposition proxy statement and white proxy card. We are not responsible for the accuracy of any information contained in any proxy solicitation materials used by the Company or any other statements that it may otherwise make.</w:t>
      </w:r>
    </w:p>
    <w:p>
      <w:pPr>
        <w:spacing w:after="0" w:line="16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We recommend that you disregard any proxy card or solicitation materials that may be sent to you by the Company. Voting “WITHHOLD” for any of the Company’s nominees on its proxy card is not the same as voting for our Nominees because a vote withheld for any of the Company’s nominees will not count as a vote “FOR” the Greenlight Nominees. If you have already voted using the Company’s white proxy card, you have every right to change your vote by completing and mailing the enclosed GREEN proxy card in the enclosed pre-paid envelope or by voting via Internet or by telephone by following the instructions on the GREEN proxy card. Only the latest validly executed proxy that you submit will be counted; any proxy may be revoked at any time prior to its exercise at the Annual Meeting by following the instructions below under “Can I change my vote or revoke my proxy?” If you have any questions or require any assistance with voting your shares, please contact our proxy solicitor, D.F. King &amp; Co. Inc. toll free at (800) 252-8173.</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If you are the shareholder of record, you may change your proxy instructions or revoke your proxy at any time before your proxy is voted at the</w:t>
      </w:r>
    </w:p>
    <w:p>
      <w:pPr>
        <w:spacing w:after="0"/>
        <w:rPr>
          <w:sz w:val="20"/>
          <w:szCs w:val="20"/>
          <w:color w:val="auto"/>
        </w:rPr>
      </w:pPr>
      <w:r>
        <w:rPr>
          <w:rFonts w:ascii="Arial" w:cs="Arial" w:eastAsia="Arial" w:hAnsi="Arial"/>
          <w:sz w:val="18"/>
          <w:szCs w:val="18"/>
          <w:color w:val="auto"/>
        </w:rPr>
        <w:t>Annual Meeting. Proxies may be revoked by any of the following actions:</w:t>
      </w:r>
    </w:p>
    <w:p>
      <w:pPr>
        <w:spacing w:after="0" w:line="9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(the latest dated proxy is the only one that counts);</w:t>
      </w:r>
    </w:p>
    <w:p>
      <w:pPr>
        <w:spacing w:after="0" w:line="166" w:lineRule="exact"/>
        <w:rPr>
          <w:rFonts w:ascii="Arial" w:cs="Arial" w:eastAsia="Arial" w:hAnsi="Arial"/>
          <w:sz w:val="18"/>
          <w:szCs w:val="18"/>
          <w:color w:val="auto"/>
        </w:rPr>
      </w:pPr>
    </w:p>
    <w:p>
      <w:pPr>
        <w:ind w:left="660" w:right="40" w:hanging="328"/>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delivering a written revocation or a later dated proxy for the Annual Meeting to Greenlight Capital, Inc., c/o D.F. King &amp; Co. Inc., 48 Wall Street, 2nd Floor, New York, New York 10015 or to the secretary of the Company;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will not, by itself, revoke a proxy).</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your shares are held in a brokerage account by a broker, bank or other nominee, you should follow the instructions provided by your broker, bank or other nominee. If you attend the Annual Meeting and you beneficially own shares of Common Stock but are not the record owner, your mere attendance at the Annual Meeting WILL NOT be sufficient to revoke your prior given proxy card. You must have written authority from the record owner to vote your shares held in its name at the meeting. Contact D.F. King &amp; Co. Inc. toll free at (800) 252-8173 for assistance or if you have any questions.</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WE URGE YOU TO REVOKE IT BY FOLLOWING THE INSTRUCTIONS ABOVE. </w:t>
      </w:r>
      <w:r>
        <w:rPr>
          <w:rFonts w:ascii="Arial" w:cs="Arial" w:eastAsia="Arial" w:hAnsi="Arial"/>
          <w:sz w:val="18"/>
          <w:szCs w:val="18"/>
          <w:color w:val="auto"/>
        </w:rPr>
        <w:t>Although a revocation is effective if delivered to the Company, we request that either the original or a copy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be mailed to Greenlight Capital, Inc., c/o D.F. King &amp; Co. Inc., 48 Wall Street, 21st Floor, New York, New York 10005, so that we will be aware of all revocations.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making this Proxy Solicitation and who is paying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solicitation of proxies pursuant to this Proxy Solicitation is being made by Greenlight and the Nominees. Proxies may be solicited by mail, facsimile, telephone, telegraph, Internet, in person and by advertisements. Greenlight will solicit proxies from individuals, brokers, banks, bank nominees and other institutional holders. Greenlight has requested banks,</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0" w:right="239" w:bottom="1440" w:gutter="0" w:footer="0" w:header="0"/>
        </w:sectPr>
      </w:pPr>
    </w:p>
    <w:bookmarkStart w:id="26" w:name="page27"/>
    <w:bookmarkEnd w:id="26"/>
    <w:p>
      <w:pPr>
        <w:ind w:right="40"/>
        <w:spacing w:after="0" w:line="239" w:lineRule="auto"/>
        <w:rPr>
          <w:sz w:val="20"/>
          <w:szCs w:val="20"/>
          <w:color w:val="auto"/>
        </w:rPr>
      </w:pPr>
      <w:r>
        <w:rPr>
          <w:rFonts w:ascii="Arial" w:cs="Arial" w:eastAsia="Arial" w:hAnsi="Arial"/>
          <w:sz w:val="18"/>
          <w:szCs w:val="18"/>
          <w:color w:val="auto"/>
        </w:rPr>
        <w:t>brokerage houses and other custodians, nominees and fiduciaries to forward all solicitation materials to the beneficial owners of the shares of Common Stock they hold of record. Greenlight will reimburse these record holders for their reasonable out-of-pocket expenses in so doing. It is anticipated that certain regular employees of Greenlight will also participate in the solicitation of proxies in support of the Nominees. Such employees will receive no additional consideration if they assist in the solicitation of proxies.</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Greenlight has retained D.F. King &amp; Co. Inc. (“D.F. King”) to provide solicitation and advisory services in connection with this solicitation. D.F. King will be paid a fee of $1,000,000 based upon the campaign services provided (of which half is a success fee on Proposals 1 and 7). In addition, Greenlight Capital will reimburse D.F. King for its reasonable out-of-pocket expenses and will indemnify D.F. King against certain liabilities and expenses, including certain liabilities under the federal securities laws. D.F. King will solicit proxies from individuals, brokers, banks, bank nominees and other institutional holders. It is anticipated that D.F. King will employ up to [●] persons to solicit the Company’s shareholders as part of this solicitation. D.F. King does not believe that any of its directors, officers, employees, affiliates or controlling persons, if any, is a “participant” in this Proxy Solicitation.</w:t>
      </w:r>
    </w:p>
    <w:p>
      <w:pPr>
        <w:spacing w:after="0" w:line="19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costs related to this Proxy Solicitation will be borne by Greenlight. Costs of this Proxy Solicitation are currently estimated to be approximately $[ ]. We estimate that through the date hereof, Greenlight’s expenses in connection with this Proxy Solicitation are approximately $[ ]. If successful, Greenlight may seek reimbursement of these costs from the Company. In the event that Greenlight decides to seek reimbursement of its expenses, Greenlight does not intend to submit the matter to a vote of the Company’s shareholders. The Board, which will consist of three of the Nominees, if all are elected, and eight of the incumbent Company directors, would be required to evaluate the requested reimbursement consistent with its fiduciary duties to the Company and its shareholders. Costs related to the solicitation of proxies include expenditures for attorneys, public relations and other advisors, solicitors, printing, advertising, postage, transportation and other costs incidental to the solicitation.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 can I find additional information concerning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Rule 14a-5(c) promulgated under the Securities Exchange Act of 1934 (the “Exchange Act”), we have omitted from this proxy statement certain disclosure required by applicable law to be included in the Company’s Preliminary Proxy Statement in connection with the Annual Meeting. Such disclosure includes information regarding securities of the Company beneficially owned by the Company’s directors, nominees and management; certain shareholders’ beneficial ownership of more than 5% of the Company’s voting securities; information concerning executive compensation; information concerning the Company’s 2017 Short-Term Incentive Plan and 2017 Long-Term Incentive Plan; information concerning the procedures for submitting shareholder proposals and director nominations intended for consideration at the 2018 annual meeting of shareholders and for consideration for inclusion in the proxy materials for that meeting. If the Company does not distribute the Company’s Proxy Statement to shareholders at least ten days prior to the Annual Meeting, we will distribute to the shareholders a supplement to this proxy statement containing such disclosures at least ten days prior to the Annual Meeting. We take no responsibility for the accuracy or completeness of information contained in the Company’s Proxy Statement. Except as otherwise noted herein, the information in this proxy statement concerning the Company has been taken from or is based upon documents and records on file with the SEC and other publicly available information.</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proxy statement and all other solicitation materials in connection with this Proxy Solicitation will be available on the internet, free of charge, on the SEC’s website at https://www.sec.gov.</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FFFFFF"/>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 xml:space="preserve">We urge you to carefully consider the information contained in this proxy statement and then support our efforts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126365</wp:posOffset>
            </wp:positionV>
            <wp:extent cx="2238375" cy="823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83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Capital, Inc.</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Greenlight Capital, L.P.</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DME Advisors, LP</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DME Capital Management, LP</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DME Advisors GP,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Qualified, LP</w:t>
            </w:r>
          </w:p>
        </w:tc>
        <w:tc>
          <w:tcPr>
            <w:tcW w:w="0" w:type="dxa"/>
            <w:vAlign w:val="bottom"/>
          </w:tcPr>
          <w:p>
            <w:pPr>
              <w:spacing w:after="0"/>
              <w:rPr>
                <w:sz w:val="1"/>
                <w:szCs w:val="1"/>
                <w:color w:val="auto"/>
              </w:rPr>
            </w:pPr>
          </w:p>
        </w:tc>
      </w:tr>
      <w:tr>
        <w:trPr>
          <w:trHeight w:val="380"/>
        </w:trPr>
        <w:tc>
          <w:tcPr>
            <w:tcW w:w="3000" w:type="dxa"/>
            <w:vAlign w:val="bottom"/>
            <w:vMerge w:val="restart"/>
          </w:tcPr>
          <w:p>
            <w:pPr>
              <w:jc w:val="center"/>
              <w:ind w:right="659"/>
              <w:spacing w:after="0"/>
              <w:rPr>
                <w:sz w:val="20"/>
                <w:szCs w:val="20"/>
                <w:color w:val="auto"/>
              </w:rPr>
            </w:pPr>
            <w:r>
              <w:rPr>
                <w:rFonts w:ascii="Arial" w:cs="Arial" w:eastAsia="Arial" w:hAnsi="Arial"/>
                <w:sz w:val="16"/>
                <w:szCs w:val="16"/>
                <w:b w:val="1"/>
                <w:bCs w:val="1"/>
                <w:color w:val="auto"/>
              </w:rPr>
              <w:t>Greenlight Capital (Gold), LP</w:t>
            </w:r>
          </w:p>
        </w:tc>
        <w:tc>
          <w:tcPr>
            <w:tcW w:w="400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Greenlight Capital Offshore Partners</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Offshore Master (Gold),</w:t>
            </w:r>
          </w:p>
        </w:tc>
        <w:tc>
          <w:tcPr>
            <w:tcW w:w="0" w:type="dxa"/>
            <w:vAlign w:val="bottom"/>
          </w:tcPr>
          <w:p>
            <w:pPr>
              <w:spacing w:after="0"/>
              <w:rPr>
                <w:sz w:val="1"/>
                <w:szCs w:val="1"/>
                <w:color w:val="auto"/>
              </w:rPr>
            </w:pPr>
          </w:p>
        </w:tc>
      </w:tr>
      <w:tr>
        <w:trPr>
          <w:trHeight w:val="120"/>
        </w:trPr>
        <w:tc>
          <w:tcPr>
            <w:tcW w:w="3000" w:type="dxa"/>
            <w:vAlign w:val="bottom"/>
            <w:vMerge w:val="continue"/>
          </w:tcPr>
          <w:p>
            <w:pPr>
              <w:spacing w:after="0"/>
              <w:rPr>
                <w:sz w:val="10"/>
                <w:szCs w:val="10"/>
                <w:color w:val="auto"/>
              </w:rPr>
            </w:pPr>
          </w:p>
        </w:tc>
        <w:tc>
          <w:tcPr>
            <w:tcW w:w="4000" w:type="dxa"/>
            <w:vAlign w:val="bottom"/>
            <w:vMerge w:val="continue"/>
          </w:tcPr>
          <w:p>
            <w:pPr>
              <w:spacing w:after="0"/>
              <w:rPr>
                <w:sz w:val="10"/>
                <w:szCs w:val="10"/>
                <w:color w:val="auto"/>
              </w:rPr>
            </w:pPr>
          </w:p>
        </w:tc>
        <w:tc>
          <w:tcPr>
            <w:tcW w:w="370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rPr>
              <w:t>Ltd.</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Masters Partners</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rPr>
              <w:t>Greenlight Masters,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David Einhorn</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w w:val="99"/>
              </w:rPr>
              <w:t>Leo Hindery, Jr.</w:t>
            </w:r>
          </w:p>
        </w:tc>
        <w:tc>
          <w:tcPr>
            <w:tcW w:w="400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Vinit Sethi</w:t>
            </w:r>
          </w:p>
        </w:tc>
        <w:tc>
          <w:tcPr>
            <w:tcW w:w="3700" w:type="dxa"/>
            <w:vAlign w:val="bottom"/>
          </w:tcPr>
          <w:p>
            <w:pPr>
              <w:jc w:val="center"/>
              <w:ind w:left="379"/>
              <w:spacing w:after="0"/>
              <w:rPr>
                <w:sz w:val="20"/>
                <w:szCs w:val="20"/>
                <w:color w:val="auto"/>
              </w:rPr>
            </w:pPr>
            <w:r>
              <w:rPr>
                <w:rFonts w:ascii="Arial" w:cs="Arial" w:eastAsia="Arial" w:hAnsi="Arial"/>
                <w:sz w:val="16"/>
                <w:szCs w:val="16"/>
                <w:b w:val="1"/>
                <w:bCs w:val="1"/>
                <w:color w:val="auto"/>
              </w:rPr>
              <w:t>William N. Thorndike, Jr.</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 2017</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6" w:right="2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FFFFFF"/>
        </w:rPr>
        <w:t>ANNEX I: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2005"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005" cy="266065"/>
                    </a:xfrm>
                    <a:prstGeom prst="rect">
                      <a:avLst/>
                    </a:prstGeom>
                    <a:noFill/>
                  </pic:spPr>
                </pic:pic>
              </a:graphicData>
            </a:graphic>
          </wp:anchor>
        </w:drawing>
      </w:r>
    </w:p>
    <w:p>
      <w:pPr>
        <w:spacing w:after="0" w:line="3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Proxy Solicitation is being made by: (i) Greenlight Capital, Inc. (“Greenlight Capital”), (ii) Greenlight Capital, L.P. (“Greenlight Fund”), (iii) DME Advisors, LP (“Advisors”), (iv) DME Capital Management, LP (“DME CM”), (v) DME Advisors GP, LLC (“Advisors GP”), (vi) Greenlight Capital Qualified, LP (“Qualified”), (vii) Greenlight Capital (Gold), LP (“Gold”), (viii) Greenlight Capital Offshore Partners (“Offshore”), (ix) Greenlight Capital Offshore Master (Gold), Ltd. (“Gold Offshore”), (x) Greenlight Masters Partners (“Masters Partners”), (xi) Greenlight Masters, LLC (“Masters LLC”), (xii) David Einhorn (“Mr. Einhorn,” and, together with Greenlight Capital, Greenlight Fund, Advisors, DME CM, Advisors GP, Qualified, Gold, Offshore, Gold Offshore, Masters Partners and Masters LLC, “Greenlight” or the “Greenlight Parties”), (xiii) Leo Hindery, Jr., (xiv) Vinit Sethi, and (xv) William N. Thorndike, Jr. (collectively, the “Nominees,” and together with Greenlight, the “Participants”).</w:t>
      </w:r>
    </w:p>
    <w:p>
      <w:pPr>
        <w:spacing w:after="0" w:line="19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the close of business on April 11, 2017, the Participants may be deemed to “beneficially own” (within the meaning of Rule 13d-3 under the Exchange Act) an aggregate of 74,400,000 shares of common stock, $0.01 par value per share (the “Common Stock”), of the Company (including 19,645,000 shares of Common Stock underlying call options (the “Options”)) representing approximately 4.97% of the Company’s outstanding Common Stock. The percentages used herein are based upon 1,497,964,557 shares of Common Stock outstanding as of January 31, 2017, as reported in the Corporation’s Annual Report on Form 10-K filed with the SEC on February 7, 2017.</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Greenlight may be deemed to beneficially own, in the aggregate, 74,400,000 shares of Common Stock. Of the 74,400,000 shares of Common Stock owned in the aggregate by Greenlight:</w:t>
      </w:r>
    </w:p>
    <w:p>
      <w:pPr>
        <w:spacing w:after="0" w:line="183" w:lineRule="exact"/>
        <w:rPr>
          <w:sz w:val="20"/>
          <w:szCs w:val="20"/>
          <w:color w:val="auto"/>
        </w:rPr>
      </w:pPr>
    </w:p>
    <w:p>
      <w:pPr>
        <w:ind w:left="660" w:right="40" w:hanging="328"/>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2,373,829 shares of Common Stock are held through Greenlight Fund (including 559,000 shares of Common Stock underlying Options and 1,000 shares of Common Stock held of record by Greenlight Fund);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26,579,601 shares of Common Stock are held through Offshore (including 6,316,000 shares of Common Stock underlying Options);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13,396,968 shares of Common Stock are held through Qualified (including 3,178,000 shares of Common Stock underlying Options);</w:t>
      </w:r>
    </w:p>
    <w:p>
      <w:pPr>
        <w:spacing w:after="0" w:line="103" w:lineRule="exact"/>
        <w:rPr>
          <w:rFonts w:ascii="Arial" w:cs="Arial" w:eastAsia="Arial" w:hAnsi="Arial"/>
          <w:sz w:val="18"/>
          <w:szCs w:val="18"/>
          <w:color w:val="auto"/>
        </w:rPr>
      </w:pPr>
    </w:p>
    <w:p>
      <w:pPr>
        <w:ind w:left="660" w:right="54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42,350,398 shares of Common Stock (including 10,053,000 shares of Common Stock underlying Options) may be deemed to be beneficially owned by Greenlight Capital by virtue of its beneficial ownership of shares held by Greenlight Fund, Offshore, and Qualified, to which Greenlight Capital serves as investment manager;</w:t>
      </w:r>
    </w:p>
    <w:p>
      <w:pPr>
        <w:spacing w:after="0" w:line="94" w:lineRule="exact"/>
        <w:rPr>
          <w:rFonts w:ascii="Arial" w:cs="Arial" w:eastAsia="Arial" w:hAnsi="Arial"/>
          <w:sz w:val="18"/>
          <w:szCs w:val="18"/>
          <w:color w:val="auto"/>
        </w:rPr>
      </w:pPr>
    </w:p>
    <w:p>
      <w:pPr>
        <w:ind w:left="660" w:right="380" w:hanging="328"/>
        <w:spacing w:after="0" w:line="27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10,451,700 shares of Common Stock (including 4,515,000 shares of Common Stock underlying Options) may be deemed to be beneficially owned by Advisors by virtue of its beneficial ownership of shares held in a managed account (the “Managed Account”);</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10,475,834 shares of Common Stock are held through Gold (including 2,496,000 shares of Common Stock underlying Options); and</w:t>
      </w:r>
    </w:p>
    <w:p>
      <w:pPr>
        <w:spacing w:after="0" w:line="103" w:lineRule="exact"/>
        <w:rPr>
          <w:rFonts w:ascii="Arial" w:cs="Arial" w:eastAsia="Arial" w:hAnsi="Arial"/>
          <w:sz w:val="18"/>
          <w:szCs w:val="18"/>
          <w:color w:val="auto"/>
        </w:rPr>
      </w:pPr>
    </w:p>
    <w:p>
      <w:pPr>
        <w:ind w:left="660" w:right="640" w:hanging="328"/>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10,851,868 shares of Common Stock are held through Gold Offshore (including 2,581,000 shares of Common Stock underlying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 addition:</w:t>
      </w:r>
    </w:p>
    <w:p>
      <w:pPr>
        <w:spacing w:after="0" w:line="198" w:lineRule="exact"/>
        <w:rPr>
          <w:sz w:val="20"/>
          <w:szCs w:val="20"/>
          <w:color w:val="auto"/>
        </w:rPr>
      </w:pPr>
    </w:p>
    <w:p>
      <w:pPr>
        <w:ind w:left="660" w:right="52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21,327,702 shares of Common Stock (including 5,077,000 shares of Common Stock underlying Options) may be deemed to be beneficially owned by DME CM by virtue of its beneficial ownership of shares held by Gold and Gold Offshore, to which DME CM serves as investment manager;</w:t>
      </w:r>
    </w:p>
    <w:p>
      <w:pPr>
        <w:spacing w:after="0" w:line="94" w:lineRule="exact"/>
        <w:rPr>
          <w:rFonts w:ascii="Arial" w:cs="Arial" w:eastAsia="Arial" w:hAnsi="Arial"/>
          <w:sz w:val="18"/>
          <w:szCs w:val="18"/>
          <w:color w:val="auto"/>
        </w:rPr>
      </w:pPr>
    </w:p>
    <w:p>
      <w:pPr>
        <w:ind w:left="660" w:right="640" w:hanging="328"/>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31,779,402 shares of Common Stock (including 9,592,000 shares of Common Stock underlying Options) may be deemed to be beneficially owned by Advisors GP by virtue of being the general partner of Advisors and DME CM;</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270,200 shares of Common Stock are held through Masters Partners;</w:t>
      </w:r>
    </w:p>
    <w:p>
      <w:pPr>
        <w:spacing w:after="0" w:line="103" w:lineRule="exact"/>
        <w:rPr>
          <w:rFonts w:ascii="Arial" w:cs="Arial" w:eastAsia="Arial" w:hAnsi="Arial"/>
          <w:sz w:val="18"/>
          <w:szCs w:val="18"/>
          <w:color w:val="auto"/>
        </w:rPr>
      </w:pPr>
    </w:p>
    <w:p>
      <w:pPr>
        <w:ind w:left="660" w:right="380" w:hanging="328"/>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270,200 shares of Common Stock may be deemed to be beneficially owned by Masters LLC by virtue of its beneficial ownership of shares held in Masters Partners, to which Masters LLC serves as investment manager; and</w:t>
      </w:r>
    </w:p>
    <w:p>
      <w:pPr>
        <w:spacing w:after="0" w:line="88" w:lineRule="exact"/>
        <w:rPr>
          <w:rFonts w:ascii="Arial" w:cs="Arial" w:eastAsia="Arial" w:hAnsi="Arial"/>
          <w:sz w:val="18"/>
          <w:szCs w:val="18"/>
          <w:color w:val="auto"/>
        </w:rPr>
      </w:pPr>
    </w:p>
    <w:p>
      <w:pPr>
        <w:ind w:left="660" w:right="54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74,400,000 shares of Common Stock (including 19,645,000 shares of Common Stock underlying Options) may be deemed to be beneficially owned by Mr. Einhorn by virtue of his status as principal of Greenlight Capital, Advisors, DME CM, Advisors GP and Masters LLC.</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6" w:right="239" w:bottom="1440" w:gutter="0" w:footer="0" w:header="0"/>
        </w:sectPr>
      </w:pPr>
    </w:p>
    <w:bookmarkStart w:id="29" w:name="page30"/>
    <w:bookmarkEnd w:id="29"/>
    <w:p>
      <w:pPr>
        <w:ind w:right="80"/>
        <w:spacing w:after="0" w:line="246" w:lineRule="auto"/>
        <w:rPr>
          <w:sz w:val="20"/>
          <w:szCs w:val="20"/>
          <w:color w:val="auto"/>
        </w:rPr>
      </w:pPr>
      <w:r>
        <w:rPr>
          <w:rFonts w:ascii="Arial" w:cs="Arial" w:eastAsia="Arial" w:hAnsi="Arial"/>
          <w:sz w:val="18"/>
          <w:szCs w:val="18"/>
          <w:color w:val="auto"/>
        </w:rPr>
        <w:t>The Options have exercise prices ranging from $30.00 to $39.00 per share of Common Stock and have expiration dates ranging from June 16, 2017 to January 19, 2018.</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principal business of each of Greenlight Fund, Offshore, Qualified, the Managed Account, Gold, Gold Offshore, and Masters Partners is acting as an investment fund and investing in securities. Each of Greenlight Fund, Offshore, and Qualified is managed by its investment manager, Greenlight Capital. As investment manager of each of Greenlight Fund, Offshore, and Qualified, Greenlight Capital makes investment decisions with respect to interests in GM held by Greenlight Fund, Offshore, and Qualified, and has voting and investment power over the Common Stock held by Greenlight Fund, Offshore and Qualified. As advisor to the Managed Account, Advisors makes investment decisions with respect to the Managed Account’s interest in GM and has voting and investment power over the Common Stock held by the Managed Account. In addition, as investment manager of each of Gold and Gold Offshore, DME CM makes investment decisions with respect to the Gold and Gold Offshore’s interests in GM and has voting and investment power over the Common Stock held by Gold and Gold Offshore. Finally, as investment manager of Masters Partners, Masters LLC makes investment decisions with respect to Masters Partners’ interests in GM and has voting and investment power over the Common Stock held by Masters Partners. The principal business of Advisors GP is to serve as general partner to Advisors and DME CM. Mr. Einhorn, a United States citizen, is the principal of each of Greenlight Capital, Advisors, DME CM, Advisors GP and Masters LLC. The principal business of each of the Nominees is disclosed in the section titled "PROPOSAL 1: ELECTION OF DIRECTORS" on page [13].</w:t>
      </w:r>
    </w:p>
    <w:p>
      <w:pPr>
        <w:spacing w:after="0" w:line="19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principal business address of each of Greenlight Parties is 140 East 45th Street, 24th Floor, New York, NY 10017. The principal business address of each of the Nominees is disclosed in the section titled "PROPOSAL 1: ELECTION OF DIRECTORS" on page [13].</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shares of Common Stock held by Greenlight Fund, Qualified, Gold, Offshore, Gold Offshore, Masters Partners, and the Managed Account may be held in commingled margin accounts, which may extend margin credit to such parties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Common Stock reported herein.</w:t>
      </w:r>
    </w:p>
    <w:p>
      <w:pPr>
        <w:spacing w:after="0" w:line="1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Except as set forth in this Proxy Statement (including the Annexes), (i) during the past ten years, no Participant has been convicted in a criminal proceeding (excluding traffic violations or similar misdemeanors); (ii) no Participant in this Proxy Solicitation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6" w:lineRule="exact"/>
        <w:rPr>
          <w:sz w:val="20"/>
          <w:szCs w:val="20"/>
          <w:color w:val="auto"/>
        </w:rPr>
      </w:pPr>
    </w:p>
    <w:p>
      <w:pPr>
        <w:ind w:firstLine="8"/>
        <w:spacing w:after="0" w:line="23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person, including any of the Participants, who is a party to an arrangement or understanding pursuant to which the Nominees are proposed to be elected, has a substantial interest, direct or indirect, by security holdings or otherwise in any matter to be acted on as set forth in this Proxy Statement. There are no material proceedings to which any Participant or any of his or its associates is a party adverse to the Company or any of its subsidiaries or has a material interest adverse to the Company or any of its subsidiaries. With respect to each of the Nominees, except as set forth in this Proxy Statement (including the Annexes), none of the events enumerated in Item 401(f)(1)-(8) of Regulation S-K of the Exchange Act occurred during the past ten years. Neither the Nominees nor any associate of a Nominee has served as a director or named executive officer of the Company at any point during the last three fiscal years of the Company.</w:t>
      </w:r>
    </w:p>
    <w:p>
      <w:pPr>
        <w:spacing w:after="0" w:line="200" w:lineRule="exact"/>
        <w:rPr>
          <w:sz w:val="20"/>
          <w:szCs w:val="20"/>
          <w:color w:val="auto"/>
        </w:rPr>
      </w:pPr>
    </w:p>
    <w:p>
      <w:pPr>
        <w:spacing w:after="0" w:line="2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841" w:right="239" w:bottom="1440" w:gutter="0" w:footer="0" w:header="0"/>
        </w:sectPr>
      </w:pPr>
    </w:p>
    <w:bookmarkStart w:id="30" w:name="page31"/>
    <w:bookmarkEnd w:id="30"/>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by the Participants with respect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following tables set forth all transactions effected during the past two years by the Participants with respect to securities of the Company. The shares of Common Stock reported herein are held in either cash accounts or margin accounts in the ordinary course of business. Unless otherwise indicated, all transactions were effected on the open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Greenlight Fund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26,200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(386,800)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(118,100)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18,300</w:t>
            </w:r>
          </w:p>
        </w:tc>
      </w:tr>
      <w:tr>
        <w:trPr>
          <w:trHeight w:val="757"/>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Qualified</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(85,242)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-8255</wp:posOffset>
            </wp:positionV>
            <wp:extent cx="889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0" w:orient="portrait"/>
          <w:cols w:equalWidth="0" w:num="1">
            <w:col w:w="11420"/>
          </w:cols>
          <w:pgMar w:left="240" w:top="570" w:right="239" w:bottom="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213,710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54,200</w:t>
            </w:r>
          </w:p>
        </w:tc>
      </w:tr>
    </w:tbl>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2" w:name="page33"/>
    <w:bookmarkEnd w:id="3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(2,169,800)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(153,900)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(135,750)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(404,000)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(681,400)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1,554,900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105,700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Offshore</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820,877</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(18,189)</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576,655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(231,100)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(257,600)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87,048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409,500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421,091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140,982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127,420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266,505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357,700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291,326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(268,350)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(799,136)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6,138,900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3,076,700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5,900,400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837,286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421,000</w:t>
            </w:r>
          </w:p>
        </w:tc>
      </w:tr>
      <w:tr>
        <w:trPr>
          <w:trHeight w:val="64"/>
        </w:trPr>
        <w:tc>
          <w:tcPr>
            <w:tcW w:w="5160" w:type="dxa"/>
            <w:vAlign w:val="bottom"/>
            <w:tcBorders>
              <w:left w:val="single" w:sz="8" w:color="auto"/>
              <w:right w:val="single" w:sz="8" w:color="auto"/>
            </w:tcBorders>
          </w:tcPr>
          <w:p>
            <w:pPr>
              <w:spacing w:after="0"/>
              <w:rPr>
                <w:sz w:val="5"/>
                <w:szCs w:val="5"/>
                <w:color w:val="auto"/>
              </w:rPr>
            </w:pPr>
          </w:p>
        </w:tc>
        <w:tc>
          <w:tcPr>
            <w:tcW w:w="62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822" w:right="239" w:bottom="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210,500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Advisors</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(427,200)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68,000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100,500</w:t>
            </w:r>
          </w:p>
        </w:tc>
      </w:tr>
    </w:tbl>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9/2/2016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(1,644,100)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(115,600)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(102,450)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2,339,800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(573,000)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645,800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559,050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Gold</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51,734</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(1,718,300)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(107,250)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(528,700)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348,050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81,800</w:t>
            </w:r>
          </w:p>
        </w:tc>
      </w:tr>
    </w:tbl>
    <w:p>
      <w:pPr>
        <w:sectPr>
          <w:pgSz w:w="11900" w:h="16838" w:orient="portrait"/>
          <w:cols w:equalWidth="0" w:num="1">
            <w:col w:w="11420"/>
          </w:cols>
          <w:pgMar w:left="240" w:top="822" w:right="239" w:bottom="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Gold Offshore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54,468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44,700</w:t>
            </w:r>
          </w:p>
        </w:tc>
      </w:tr>
    </w:tbl>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(111,800)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(333,000)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2,559,000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83,700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Masters Partners</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125,200</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2"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b w:val="1"/>
          <w:bCs w:val="1"/>
          <w:color w:val="auto"/>
        </w:rPr>
        <w:t>IMPORTANT</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Tell your Board what you think! YOUR VOTE IS VERY IMPORTANT, no matter how many or how few shares you own. Please give us your proxy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and for each of the Proposals by taking three steps:</w:t>
      </w:r>
    </w:p>
    <w:p>
      <w:pPr>
        <w:spacing w:after="0" w:line="161" w:lineRule="exact"/>
        <w:rPr>
          <w:sz w:val="20"/>
          <w:szCs w:val="20"/>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DATING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and</w:t>
      </w:r>
    </w:p>
    <w:p>
      <w:pPr>
        <w:spacing w:after="0" w:line="198"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 in the envelope provided (no postage is required if mailed in the United States).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If any of your shares are held in the name of a broker, bank, bank nominee, or other institution, only it can vote your shares and only upon receipt of your specific instructions. </w:t>
      </w:r>
      <w:r>
        <w:rPr>
          <w:rFonts w:ascii="Arial" w:cs="Arial" w:eastAsia="Arial" w:hAnsi="Arial"/>
          <w:sz w:val="18"/>
          <w:szCs w:val="18"/>
          <w:color w:val="auto"/>
        </w:rPr>
        <w:t>Depending upon your broker or custodian, you may be able to vote either by toll-free telephone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Internet. You may also vote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voting form in the postage-paid envelope provided, and to ensure that your shares are voted, you should also contact the person responsible for your account and give instructions for a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be issued representing your shares.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After 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DO NOT SIGN OR RETURN GM’S WHITE PROXY CARD UNLESS YOU INTEND TO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YOUR VOTE</w:t>
      </w:r>
      <w:r>
        <w:rPr>
          <w:rFonts w:ascii="Arial" w:cs="Arial" w:eastAsia="Arial" w:hAnsi="Arial"/>
          <w:sz w:val="18"/>
          <w:szCs w:val="18"/>
          <w:color w:val="auto"/>
        </w:rPr>
        <w:t>, because only your latest dated proxy card will be counted.</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If you have previously signed and returned a white proxy card to GM, you have every right to change your vote. Only your latest dated proxy card will count. You may revoke any proxy card already sent to GM by signing, dating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postage-paid envelope provided or by voting by telephone or Internet. Any proxy may be revoked at any time prior to the Annual Meeting by delivering a written notice of revocation or a later dated proxy for the Annual Meeting to D.F. King or by voting in person at the Annual Meeting. Attendance at the Annual Meeting will not in and of itself constitute a revocation.</w:t>
      </w:r>
    </w:p>
    <w:p>
      <w:pPr>
        <w:spacing w:after="0" w:line="347"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If you have any questions concerning this proxy statement, would like to request additional copies of this proxy statement, or need help voting your shares, please contact our proxy solicitor:</w:t>
      </w:r>
    </w:p>
    <w:p>
      <w:pPr>
        <w:spacing w:after="0" w:line="246"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D.F. King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7242175" cy="853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2175" cy="853440"/>
                    </a:xfrm>
                    <a:prstGeom prst="rect">
                      <a:avLst/>
                    </a:prstGeom>
                    <a:noFill/>
                  </pic:spPr>
                </pic:pic>
              </a:graphicData>
            </a:graphic>
          </wp:anchor>
        </w:drawing>
      </w:r>
    </w:p>
    <w:p>
      <w:pPr>
        <w:ind w:left="4540"/>
        <w:spacing w:after="0" w:line="236" w:lineRule="auto"/>
        <w:rPr>
          <w:sz w:val="20"/>
          <w:szCs w:val="20"/>
          <w:color w:val="auto"/>
        </w:rPr>
      </w:pPr>
      <w:r>
        <w:rPr>
          <w:rFonts w:ascii="Arial" w:cs="Arial" w:eastAsia="Arial" w:hAnsi="Arial"/>
          <w:sz w:val="20"/>
          <w:szCs w:val="20"/>
          <w:b w:val="1"/>
          <w:bCs w:val="1"/>
          <w:color w:val="auto"/>
        </w:rPr>
        <w:t>48 Wall Street, 21st Floor</w:t>
      </w:r>
    </w:p>
    <w:p>
      <w:pPr>
        <w:ind w:left="4500"/>
        <w:spacing w:after="0" w:line="225" w:lineRule="auto"/>
        <w:rPr>
          <w:sz w:val="20"/>
          <w:szCs w:val="20"/>
          <w:color w:val="auto"/>
        </w:rPr>
      </w:pPr>
      <w:r>
        <w:rPr>
          <w:rFonts w:ascii="Arial" w:cs="Arial" w:eastAsia="Arial" w:hAnsi="Arial"/>
          <w:sz w:val="20"/>
          <w:szCs w:val="20"/>
          <w:b w:val="1"/>
          <w:bCs w:val="1"/>
          <w:color w:val="auto"/>
        </w:rPr>
        <w:t>New York, New York 10005</w:t>
      </w:r>
    </w:p>
    <w:p>
      <w:pPr>
        <w:ind w:left="3880"/>
        <w:spacing w:after="0" w:line="226" w:lineRule="auto"/>
        <w:rPr>
          <w:sz w:val="20"/>
          <w:szCs w:val="20"/>
          <w:color w:val="auto"/>
        </w:rPr>
      </w:pPr>
      <w:r>
        <w:rPr>
          <w:rFonts w:ascii="Arial" w:cs="Arial" w:eastAsia="Arial" w:hAnsi="Arial"/>
          <w:sz w:val="20"/>
          <w:szCs w:val="20"/>
          <w:b w:val="1"/>
          <w:bCs w:val="1"/>
          <w:color w:val="auto"/>
        </w:rPr>
        <w:t>Banks and Brokers call: (212) 269-5550</w:t>
      </w:r>
    </w:p>
    <w:p>
      <w:pPr>
        <w:ind w:left="3880"/>
        <w:spacing w:after="0" w:line="225" w:lineRule="auto"/>
        <w:rPr>
          <w:sz w:val="20"/>
          <w:szCs w:val="20"/>
          <w:color w:val="auto"/>
        </w:rPr>
      </w:pPr>
      <w:r>
        <w:rPr>
          <w:rFonts w:ascii="Arial" w:cs="Arial" w:eastAsia="Arial" w:hAnsi="Arial"/>
          <w:sz w:val="20"/>
          <w:szCs w:val="20"/>
          <w:b w:val="1"/>
          <w:bCs w:val="1"/>
          <w:color w:val="auto"/>
        </w:rPr>
        <w:t>All others call Toll-Free: (800) 252-8173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E-mail: gm@dfking.com</w:t>
      </w:r>
    </w:p>
    <w:p>
      <w:pPr>
        <w:sectPr>
          <w:pgSz w:w="11900" w:h="16838" w:orient="portrait"/>
          <w:cols w:equalWidth="0" w:num="1">
            <w:col w:w="11420"/>
          </w:cols>
          <w:pgMar w:left="240" w:top="566"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0"/>
          <w:szCs w:val="20"/>
          <w:b w:val="1"/>
          <w:bCs w:val="1"/>
          <w:color w:val="auto"/>
        </w:rPr>
        <w:t>[Form of Green Proxy Card]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0000"/>
        </w:rPr>
        <w:t>PRELIMINARY COPY – SUBJECT TO COMPLETION</w:t>
      </w:r>
    </w:p>
    <w:p>
      <w:pPr>
        <w:spacing w:after="0" w:line="178"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GENERAL MOTORS COMPANY</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Proxy Card for 2017 Annual Meeting of Shareholders</w:t>
      </w:r>
    </w:p>
    <w:p>
      <w:pPr>
        <w:jc w:val="center"/>
        <w:ind w:right="-19"/>
        <w:spacing w:after="0"/>
        <w:rPr>
          <w:sz w:val="20"/>
          <w:szCs w:val="20"/>
          <w:color w:val="auto"/>
        </w:rPr>
      </w:pPr>
      <w:r>
        <w:rPr>
          <w:rFonts w:ascii="Arial" w:cs="Arial" w:eastAsia="Arial" w:hAnsi="Arial"/>
          <w:sz w:val="20"/>
          <w:szCs w:val="20"/>
          <w:b w:val="1"/>
          <w:bCs w:val="1"/>
          <w:color w:val="auto"/>
        </w:rPr>
        <w:t>Scheduled for June [●], 2017 (the “Annual Meeting”):</w:t>
      </w:r>
    </w:p>
    <w:p>
      <w:pPr>
        <w:spacing w:after="0" w:line="178" w:lineRule="exact"/>
        <w:rPr>
          <w:sz w:val="20"/>
          <w:szCs w:val="20"/>
          <w:color w:val="auto"/>
        </w:rPr>
      </w:pPr>
    </w:p>
    <w:p>
      <w:pPr>
        <w:jc w:val="center"/>
        <w:ind w:left="260" w:right="100"/>
        <w:spacing w:after="0" w:line="284" w:lineRule="auto"/>
        <w:rPr>
          <w:sz w:val="20"/>
          <w:szCs w:val="20"/>
          <w:color w:val="auto"/>
        </w:rPr>
      </w:pPr>
      <w:r>
        <w:rPr>
          <w:rFonts w:ascii="Arial" w:cs="Arial" w:eastAsia="Arial" w:hAnsi="Arial"/>
          <w:sz w:val="19"/>
          <w:szCs w:val="19"/>
          <w:b w:val="1"/>
          <w:bCs w:val="1"/>
          <w:color w:val="auto"/>
        </w:rPr>
        <w:t>THIS PROXY SOLICITATION IS BEING MADE BY GREENLIGHT CAPITAL, INC. AND CERTAIN OF ITS AFFILIATES (COLLECTIVELY, “GREENLIGHT,” “WE” OR “US”) AND THE INDIVIDUALS NAMED IN PROPOSAL 1 (THE “NOMINEES”)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BOARD OF DIRECTORS OF GENERAL MOTORS COMPANY IS NOT SOLICITING THIS PROXY</w:t>
      </w:r>
    </w:p>
    <w:p>
      <w:pPr>
        <w:spacing w:after="0" w:line="226"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The undersigned appoints [●], and each of them, attorneys and agents with full power of substitution to vote all shares of common stock of General Motors Company, a Delaware corporation (the “Company”), that the undersigned would be entitled to vote at the Annual Meeting of shareholders of the Company scheduled to be held on [●], June [●], 2017 at [●] A.M. Central Time at [[●], located at [●]], including at any adjournments or postponements thereof,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us a reasonable time before this solicitation.</w:t>
      </w:r>
    </w:p>
    <w:p>
      <w:pPr>
        <w:spacing w:after="0" w:line="199"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The undersigned hereby revokes any other proxy or proxies heretofore given to vote or act with respect to said shares, and hereby ratifies and confirms all action the herein named attorneys and proxies, their substitutes, or any of them may lawfully take by virtue hereof. This proxy will be valid until the sooner of one year from the date indicated on the reverse side and the completion of the Annual Meeting (including any adjournments or postponements thereof).</w:t>
      </w:r>
    </w:p>
    <w:p>
      <w:pPr>
        <w:spacing w:after="0" w:line="171"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b w:val="1"/>
          <w:bCs w:val="1"/>
          <w:color w:val="auto"/>
        </w:rPr>
        <w:t xml:space="preserve">If this proxy is signed and returned, it will be voted in accordance with your instructions. If you do not specify how the proxy should be voted, this proxy will be voted “FOR ALL” of the nominees listed in Proposal 1 and the Company’s candidates other than [●], [●] and [●], “FOR” Proposal 2, “FOR” Proposal 3, and “FOR” Proposal 4, “FOR” Proposal 5, “AGAINST” Proposal 6 and “FOR” Proposal 7. </w:t>
      </w:r>
      <w:r>
        <w:rPr>
          <w:rFonts w:ascii="Arial" w:cs="Arial" w:eastAsia="Arial" w:hAnsi="Arial"/>
          <w:sz w:val="20"/>
          <w:szCs w:val="20"/>
          <w:color w:val="auto"/>
        </w:rPr>
        <w:t>None of the matters currently intended to be acted upon pursuant to this proxy</w:t>
      </w:r>
      <w:r>
        <w:rPr>
          <w:rFonts w:ascii="Arial" w:cs="Arial" w:eastAsia="Arial" w:hAnsi="Arial"/>
          <w:sz w:val="20"/>
          <w:szCs w:val="20"/>
          <w:b w:val="1"/>
          <w:bCs w:val="1"/>
          <w:color w:val="auto"/>
        </w:rPr>
        <w:t xml:space="preserve"> </w:t>
      </w:r>
      <w:r>
        <w:rPr>
          <w:rFonts w:ascii="Arial" w:cs="Arial" w:eastAsia="Arial" w:hAnsi="Arial"/>
          <w:sz w:val="20"/>
          <w:szCs w:val="20"/>
          <w:color w:val="auto"/>
        </w:rPr>
        <w:t>are conditioned on the approval of other matters.</w:t>
      </w:r>
    </w:p>
    <w:p>
      <w:pPr>
        <w:spacing w:after="0" w:line="2" w:lineRule="exact"/>
        <w:rPr>
          <w:sz w:val="20"/>
          <w:szCs w:val="20"/>
          <w:color w:val="auto"/>
        </w:rPr>
      </w:pPr>
    </w:p>
    <w:p>
      <w:pPr>
        <w:ind w:right="2220"/>
        <w:spacing w:after="0" w:line="345" w:lineRule="auto"/>
        <w:rPr>
          <w:sz w:val="20"/>
          <w:szCs w:val="20"/>
          <w:color w:val="auto"/>
        </w:rPr>
      </w:pPr>
      <w:r>
        <w:rPr>
          <w:rFonts w:ascii="Arial" w:cs="Arial" w:eastAsia="Arial" w:hAnsi="Arial"/>
          <w:sz w:val="20"/>
          <w:szCs w:val="20"/>
          <w:color w:val="auto"/>
        </w:rPr>
        <w:t xml:space="preserve">– – – – – – – – – – – – – – – – – – – – – – – – – – – – – – – – – – – – – – – – – – – – – – – – – – – – – – – – </w:t>
      </w:r>
      <w:r>
        <w:rPr>
          <w:rFonts w:ascii="Arial" w:cs="Arial" w:eastAsia="Arial" w:hAnsi="Arial"/>
          <w:sz w:val="20"/>
          <w:szCs w:val="20"/>
          <w:b w:val="1"/>
          <w:bCs w:val="1"/>
          <w:color w:val="auto"/>
        </w:rPr>
        <w:t xml:space="preserve">INSTRUCTIONS: </w:t>
      </w:r>
      <w:r>
        <w:rPr>
          <w:rFonts w:ascii="Arial" w:cs="Arial" w:eastAsia="Arial" w:hAnsi="Arial"/>
          <w:sz w:val="20"/>
          <w:szCs w:val="20"/>
          <w:color w:val="auto"/>
        </w:rPr>
        <w:t>FILL IN VOTING BOXES “©“ IN BLACK OR BLUE INK)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recommend that you vote “</w:t>
      </w:r>
      <w:r>
        <w:rPr>
          <w:rFonts w:ascii="Arial" w:cs="Arial" w:eastAsia="Arial" w:hAnsi="Arial"/>
          <w:sz w:val="20"/>
          <w:szCs w:val="20"/>
          <w:b w:val="1"/>
          <w:bCs w:val="1"/>
          <w:u w:val="single" w:color="auto"/>
          <w:color w:val="auto"/>
        </w:rPr>
        <w:t>FOR ALL</w:t>
      </w:r>
      <w:r>
        <w:rPr>
          <w:rFonts w:ascii="Arial" w:cs="Arial" w:eastAsia="Arial" w:hAnsi="Arial"/>
          <w:sz w:val="20"/>
          <w:szCs w:val="20"/>
          <w:b w:val="1"/>
          <w:bCs w:val="1"/>
          <w:color w:val="auto"/>
        </w:rPr>
        <w:t>” of the Nominees below:</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color w:val="auto"/>
        </w:rPr>
        <w:t xml:space="preserve">Proposal 1 </w:t>
      </w:r>
      <w:r>
        <w:rPr>
          <w:rFonts w:ascii="Arial" w:cs="Arial" w:eastAsia="Arial" w:hAnsi="Arial"/>
          <w:sz w:val="20"/>
          <w:szCs w:val="20"/>
          <w:color w:val="auto"/>
        </w:rPr>
        <w:t>– Election at the Annual Meeting of the Nominees listed below and the Company’s candidates other than [●], [●] and</w:t>
      </w:r>
      <w:r>
        <w:rPr>
          <w:rFonts w:ascii="Arial" w:cs="Arial" w:eastAsia="Arial" w:hAnsi="Arial"/>
          <w:sz w:val="20"/>
          <w:szCs w:val="20"/>
          <w:b w:val="1"/>
          <w:bCs w:val="1"/>
          <w:color w:val="auto"/>
        </w:rPr>
        <w:t xml:space="preserve"> </w:t>
      </w:r>
      <w:r>
        <w:rPr>
          <w:rFonts w:ascii="Arial" w:cs="Arial" w:eastAsia="Arial" w:hAnsi="Arial"/>
          <w:sz w:val="20"/>
          <w:szCs w:val="20"/>
          <w:color w:val="auto"/>
        </w:rPr>
        <w:t>[●] to serve as directors.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396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140" w:type="dxa"/>
            <w:vAlign w:val="bottom"/>
          </w:tcPr>
          <w:p>
            <w:pPr>
              <w:jc w:val="center"/>
              <w:ind w:left="1425"/>
              <w:spacing w:after="0"/>
              <w:rPr>
                <w:sz w:val="20"/>
                <w:szCs w:val="20"/>
                <w:color w:val="auto"/>
              </w:rPr>
            </w:pPr>
            <w:r>
              <w:rPr>
                <w:rFonts w:ascii="Arial" w:cs="Arial" w:eastAsia="Arial" w:hAnsi="Arial"/>
                <w:sz w:val="18"/>
                <w:szCs w:val="18"/>
                <w:b w:val="1"/>
                <w:bCs w:val="1"/>
                <w:color w:val="auto"/>
                <w:w w:val="99"/>
              </w:rPr>
              <w:t>FOR ALL</w:t>
            </w:r>
          </w:p>
        </w:tc>
        <w:tc>
          <w:tcPr>
            <w:tcW w:w="2100" w:type="dxa"/>
            <w:vAlign w:val="bottom"/>
          </w:tcPr>
          <w:p>
            <w:pPr>
              <w:jc w:val="center"/>
              <w:ind w:left="45"/>
              <w:spacing w:after="0"/>
              <w:rPr>
                <w:sz w:val="20"/>
                <w:szCs w:val="20"/>
                <w:color w:val="auto"/>
              </w:rPr>
            </w:pPr>
            <w:r>
              <w:rPr>
                <w:rFonts w:ascii="Arial" w:cs="Arial" w:eastAsia="Arial" w:hAnsi="Arial"/>
                <w:sz w:val="18"/>
                <w:szCs w:val="18"/>
                <w:b w:val="1"/>
                <w:bCs w:val="1"/>
                <w:color w:val="auto"/>
                <w:w w:val="99"/>
              </w:rPr>
              <w:t>WITHHOLD ALL</w:t>
            </w:r>
          </w:p>
        </w:tc>
        <w:tc>
          <w:tcPr>
            <w:tcW w:w="1840" w:type="dxa"/>
            <w:vAlign w:val="bottom"/>
          </w:tcPr>
          <w:p>
            <w:pPr>
              <w:jc w:val="center"/>
              <w:ind w:left="205"/>
              <w:spacing w:after="0"/>
              <w:rPr>
                <w:sz w:val="20"/>
                <w:szCs w:val="20"/>
                <w:color w:val="auto"/>
              </w:rPr>
            </w:pPr>
            <w:r>
              <w:rPr>
                <w:rFonts w:ascii="Arial" w:cs="Arial" w:eastAsia="Arial" w:hAnsi="Arial"/>
                <w:sz w:val="18"/>
                <w:szCs w:val="18"/>
                <w:b w:val="1"/>
                <w:bCs w:val="1"/>
                <w:color w:val="auto"/>
                <w:w w:val="99"/>
              </w:rPr>
              <w:t>FOR ALL EXCEPT</w:t>
            </w:r>
          </w:p>
        </w:tc>
      </w:tr>
      <w:tr>
        <w:trPr>
          <w:trHeight w:val="248"/>
        </w:trPr>
        <w:tc>
          <w:tcPr>
            <w:tcW w:w="3960" w:type="dxa"/>
            <w:vAlign w:val="bottom"/>
          </w:tcPr>
          <w:p>
            <w:pPr>
              <w:ind w:left="80"/>
              <w:spacing w:after="0"/>
              <w:rPr>
                <w:sz w:val="20"/>
                <w:szCs w:val="20"/>
                <w:color w:val="auto"/>
              </w:rPr>
            </w:pPr>
            <w:r>
              <w:rPr>
                <w:rFonts w:ascii="Arial" w:cs="Arial" w:eastAsia="Arial" w:hAnsi="Arial"/>
                <w:sz w:val="18"/>
                <w:szCs w:val="18"/>
                <w:color w:val="auto"/>
              </w:rPr>
              <w:t>Leo Hindery, Jr.</w:t>
            </w:r>
          </w:p>
        </w:tc>
        <w:tc>
          <w:tcPr>
            <w:tcW w:w="3140" w:type="dxa"/>
            <w:vAlign w:val="bottom"/>
          </w:tcPr>
          <w:p>
            <w:pPr>
              <w:jc w:val="center"/>
              <w:ind w:left="1405"/>
              <w:spacing w:after="0"/>
              <w:rPr>
                <w:sz w:val="20"/>
                <w:szCs w:val="20"/>
                <w:color w:val="auto"/>
              </w:rPr>
            </w:pPr>
            <w:r>
              <w:rPr>
                <w:rFonts w:ascii="Arial" w:cs="Arial" w:eastAsia="Arial" w:hAnsi="Arial"/>
                <w:sz w:val="20"/>
                <w:szCs w:val="20"/>
                <w:color w:val="auto"/>
                <w:w w:val="98"/>
              </w:rPr>
              <w:t>□</w:t>
            </w:r>
          </w:p>
        </w:tc>
        <w:tc>
          <w:tcPr>
            <w:tcW w:w="2100" w:type="dxa"/>
            <w:vAlign w:val="bottom"/>
          </w:tcPr>
          <w:p>
            <w:pPr>
              <w:jc w:val="center"/>
              <w:ind w:left="45"/>
              <w:spacing w:after="0"/>
              <w:rPr>
                <w:sz w:val="20"/>
                <w:szCs w:val="20"/>
                <w:color w:val="auto"/>
              </w:rPr>
            </w:pPr>
            <w:r>
              <w:rPr>
                <w:rFonts w:ascii="Arial" w:cs="Arial" w:eastAsia="Arial" w:hAnsi="Arial"/>
                <w:sz w:val="20"/>
                <w:szCs w:val="20"/>
                <w:color w:val="auto"/>
                <w:w w:val="98"/>
              </w:rPr>
              <w:t>□</w:t>
            </w:r>
          </w:p>
        </w:tc>
        <w:tc>
          <w:tcPr>
            <w:tcW w:w="1840" w:type="dxa"/>
            <w:vAlign w:val="bottom"/>
          </w:tcPr>
          <w:p>
            <w:pPr>
              <w:jc w:val="center"/>
              <w:ind w:left="225"/>
              <w:spacing w:after="0"/>
              <w:rPr>
                <w:sz w:val="20"/>
                <w:szCs w:val="20"/>
                <w:color w:val="auto"/>
              </w:rPr>
            </w:pPr>
            <w:r>
              <w:rPr>
                <w:rFonts w:ascii="Arial" w:cs="Arial" w:eastAsia="Arial" w:hAnsi="Arial"/>
                <w:sz w:val="20"/>
                <w:szCs w:val="20"/>
                <w:color w:val="auto"/>
                <w:w w:val="98"/>
              </w:rPr>
              <w:t>□</w:t>
            </w:r>
          </w:p>
        </w:tc>
      </w:tr>
      <w:tr>
        <w:trPr>
          <w:trHeight w:val="226"/>
        </w:trPr>
        <w:tc>
          <w:tcPr>
            <w:tcW w:w="3960" w:type="dxa"/>
            <w:vAlign w:val="bottom"/>
          </w:tcPr>
          <w:p>
            <w:pPr>
              <w:ind w:left="80"/>
              <w:spacing w:after="0"/>
              <w:rPr>
                <w:sz w:val="20"/>
                <w:szCs w:val="20"/>
                <w:color w:val="auto"/>
              </w:rPr>
            </w:pPr>
            <w:r>
              <w:rPr>
                <w:rFonts w:ascii="Arial" w:cs="Arial" w:eastAsia="Arial" w:hAnsi="Arial"/>
                <w:sz w:val="18"/>
                <w:szCs w:val="18"/>
                <w:color w:val="auto"/>
              </w:rPr>
              <w:t>Vinit Sethi</w:t>
            </w:r>
          </w:p>
        </w:tc>
        <w:tc>
          <w:tcPr>
            <w:tcW w:w="3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8"/>
                <w:szCs w:val="18"/>
                <w:color w:val="auto"/>
              </w:rPr>
              <w:t>William N. Thorndike, Jr.</w:t>
            </w:r>
          </w:p>
        </w:tc>
        <w:tc>
          <w:tcPr>
            <w:tcW w:w="31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spacing w:after="0" w:line="256" w:lineRule="exact"/>
        <w:rPr>
          <w:sz w:val="20"/>
          <w:szCs w:val="20"/>
          <w:color w:val="auto"/>
        </w:rPr>
      </w:pPr>
    </w:p>
    <w:p>
      <w:pPr>
        <w:ind w:left="180" w:right="360"/>
        <w:spacing w:after="0" w:line="258" w:lineRule="auto"/>
        <w:rPr>
          <w:sz w:val="20"/>
          <w:szCs w:val="20"/>
          <w:color w:val="auto"/>
        </w:rPr>
      </w:pPr>
      <w:r>
        <w:rPr>
          <w:rFonts w:ascii="Arial" w:cs="Arial" w:eastAsia="Arial" w:hAnsi="Arial"/>
          <w:sz w:val="20"/>
          <w:szCs w:val="20"/>
          <w:b w:val="1"/>
          <w:bCs w:val="1"/>
          <w:color w:val="auto"/>
        </w:rPr>
        <w:t>(INSTRUCTIONS: To withhold authority to vote for any individual nominee, mark the “For All Except” box above and write the name of the nominee(s) from which you wish to withhold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2  –  </w:t>
            </w:r>
            <w:r>
              <w:rPr>
                <w:rFonts w:ascii="Arial" w:cs="Arial" w:eastAsia="Arial" w:hAnsi="Arial"/>
                <w:sz w:val="20"/>
                <w:szCs w:val="20"/>
                <w:color w:val="auto"/>
              </w:rPr>
              <w:t>To  vote  on  the  Company’s  advisory  resolution  on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spacing w:after="0" w:line="222" w:lineRule="exact"/>
              <w:rPr>
                <w:sz w:val="20"/>
                <w:szCs w:val="20"/>
                <w:color w:val="auto"/>
              </w:rPr>
            </w:pPr>
            <w:r>
              <w:rPr>
                <w:rFonts w:ascii="Arial" w:cs="Arial" w:eastAsia="Arial" w:hAnsi="Arial"/>
                <w:sz w:val="20"/>
                <w:szCs w:val="20"/>
                <w:color w:val="auto"/>
                <w:w w:val="82"/>
              </w:rPr>
              <w:t>□</w:t>
            </w: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compensation of its named executive officers.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3 – </w:t>
            </w:r>
            <w:r>
              <w:rPr>
                <w:rFonts w:ascii="Arial" w:cs="Arial" w:eastAsia="Arial" w:hAnsi="Arial"/>
                <w:sz w:val="20"/>
                <w:szCs w:val="20"/>
                <w:color w:val="auto"/>
              </w:rPr>
              <w:t>To approve the Company’s 2017 Short-Term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4"/>
            <w:vMerge w:val="continue"/>
          </w:tcPr>
          <w:p>
            <w:pPr>
              <w:spacing w:after="0"/>
              <w:rPr>
                <w:sz w:val="22"/>
                <w:szCs w:val="22"/>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4 – </w:t>
            </w:r>
            <w:r>
              <w:rPr>
                <w:rFonts w:ascii="Arial" w:cs="Arial" w:eastAsia="Arial" w:hAnsi="Arial"/>
                <w:sz w:val="20"/>
                <w:szCs w:val="20"/>
                <w:color w:val="auto"/>
              </w:rPr>
              <w:t>To approve the Company’s 2017 Long-Term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4"/>
            <w:vMerge w:val="continue"/>
          </w:tcPr>
          <w:p>
            <w:pPr>
              <w:spacing w:after="0"/>
              <w:rPr>
                <w:sz w:val="22"/>
                <w:szCs w:val="22"/>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5 – </w:t>
            </w:r>
            <w:r>
              <w:rPr>
                <w:rFonts w:ascii="Arial" w:cs="Arial" w:eastAsia="Arial" w:hAnsi="Arial"/>
                <w:sz w:val="20"/>
                <w:szCs w:val="20"/>
                <w:color w:val="auto"/>
              </w:rPr>
              <w:t>To ratify the appointment of Deloitte &amp; Touche LLP as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6"/>
        </w:trPr>
        <w:tc>
          <w:tcPr>
            <w:tcW w:w="7100" w:type="dxa"/>
            <w:vAlign w:val="bottom"/>
            <w:gridSpan w:val="4"/>
          </w:tcPr>
          <w:p>
            <w:pPr>
              <w:spacing w:after="0" w:line="216" w:lineRule="exact"/>
              <w:rPr>
                <w:sz w:val="20"/>
                <w:szCs w:val="20"/>
                <w:color w:val="auto"/>
              </w:rPr>
            </w:pPr>
            <w:r>
              <w:rPr>
                <w:rFonts w:ascii="Arial" w:cs="Arial" w:eastAsia="Arial" w:hAnsi="Arial"/>
                <w:sz w:val="20"/>
                <w:szCs w:val="20"/>
                <w:color w:val="auto"/>
              </w:rPr>
              <w:t>Company’s independent registered public accounting firm for the fiscal year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ending December 31, 2017.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“AGAINST” Proposal 6:</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6 – </w:t>
            </w:r>
            <w:r>
              <w:rPr>
                <w:rFonts w:ascii="Arial" w:cs="Arial" w:eastAsia="Arial" w:hAnsi="Arial"/>
                <w:sz w:val="20"/>
                <w:szCs w:val="20"/>
                <w:color w:val="auto"/>
              </w:rPr>
              <w:t>To vote on an advisory shareholder proposal requesting that the</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Board take the necessary steps to establish an independent Chairman.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7:</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7 – </w:t>
            </w:r>
            <w:r>
              <w:rPr>
                <w:rFonts w:ascii="Arial" w:cs="Arial" w:eastAsia="Arial" w:hAnsi="Arial"/>
                <w:sz w:val="20"/>
                <w:szCs w:val="20"/>
                <w:color w:val="auto"/>
              </w:rPr>
              <w:t>To request that the Board create a two class common equity</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6"/>
        </w:trPr>
        <w:tc>
          <w:tcPr>
            <w:tcW w:w="7100" w:type="dxa"/>
            <w:vAlign w:val="bottom"/>
            <w:gridSpan w:val="4"/>
          </w:tcPr>
          <w:p>
            <w:pPr>
              <w:spacing w:after="0" w:line="216" w:lineRule="exact"/>
              <w:rPr>
                <w:sz w:val="20"/>
                <w:szCs w:val="20"/>
                <w:color w:val="auto"/>
              </w:rPr>
            </w:pPr>
            <w:r>
              <w:rPr>
                <w:rFonts w:ascii="Arial" w:cs="Arial" w:eastAsia="Arial" w:hAnsi="Arial"/>
                <w:sz w:val="20"/>
                <w:szCs w:val="20"/>
                <w:color w:val="auto"/>
              </w:rPr>
              <w:t>structure that would trade separately from the existing common stock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continue to pay quarterly dividends at the current annual rate.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IN ORDER FOR YOUR PROXY TO BE VALID, IT MUST BE DATED.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00" w:type="dxa"/>
            <w:vAlign w:val="bottom"/>
            <w:gridSpan w:val="4"/>
          </w:tcPr>
          <w:p>
            <w:pPr>
              <w:spacing w:after="0"/>
              <w:rPr>
                <w:sz w:val="20"/>
                <w:szCs w:val="20"/>
                <w:color w:val="auto"/>
              </w:rPr>
            </w:pPr>
            <w:r>
              <w:rPr>
                <w:rFonts w:ascii="Arial" w:cs="Arial" w:eastAsia="Arial" w:hAnsi="Arial"/>
                <w:sz w:val="20"/>
                <w:szCs w:val="20"/>
                <w:color w:val="auto"/>
              </w:rPr>
              <w:t>Signature (Capacity)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0"/>
                <w:szCs w:val="20"/>
                <w:color w:val="auto"/>
              </w:rPr>
              <w:t>Signature (Joint Owner) (Capacity/Title)</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left="34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74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210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101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01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7900" w:space="220"/>
            <w:col w:w="3300"/>
          </w:cols>
          <w:pgMar w:left="240" w:top="747" w:right="239" w:bottom="1440" w:gutter="0" w:footer="0" w:header="0"/>
        </w:sectPr>
      </w:pP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Please sign exactly as your name(s) appear(s) on stock certificates or on the label affixed hereto. When signing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attorney, executor, administrator or other fiduciary, please give full title as such. Joint owners must each sign personally. </w:t>
      </w:r>
      <w:r>
        <w:rPr>
          <w:rFonts w:ascii="Arial" w:cs="Arial" w:eastAsia="Arial" w:hAnsi="Arial"/>
          <w:sz w:val="20"/>
          <w:szCs w:val="20"/>
          <w:b w:val="1"/>
          <w:bCs w:val="1"/>
          <w:color w:val="auto"/>
        </w:rPr>
        <w:t>ALL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HOLDERS MUST SIGN. </w:t>
      </w:r>
      <w:r>
        <w:rPr>
          <w:rFonts w:ascii="Arial" w:cs="Arial" w:eastAsia="Arial" w:hAnsi="Arial"/>
          <w:sz w:val="20"/>
          <w:szCs w:val="20"/>
          <w:color w:val="auto"/>
        </w:rPr>
        <w:t>If a corporation or partnership, please sign in full corporate or partnership name by an authorized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and give full title as such.</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PLEASE </w:t>
      </w:r>
      <w:r>
        <w:rPr>
          <w:rFonts w:ascii="Arial" w:cs="Arial" w:eastAsia="Arial" w:hAnsi="Arial"/>
          <w:sz w:val="20"/>
          <w:szCs w:val="20"/>
          <w:b w:val="1"/>
          <w:bCs w:val="1"/>
          <w:u w:val="single" w:color="auto"/>
          <w:color w:val="auto"/>
        </w:rPr>
        <w:t>SIGN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PROMPTLY RETURN</w:t>
      </w:r>
      <w:r>
        <w:rPr>
          <w:rFonts w:ascii="Arial" w:cs="Arial" w:eastAsia="Arial" w:hAnsi="Arial"/>
          <w:sz w:val="20"/>
          <w:szCs w:val="20"/>
          <w:b w:val="1"/>
          <w:bCs w:val="1"/>
          <w:color w:val="auto"/>
        </w:rPr>
        <w:t xml:space="preserve"> THIS PROXY IN THE ENCLOSED RETURN ENVELOPE THAT IS POSTAGE PREPAID IF MAILED IN THE UNITED STATES.</w:t>
      </w:r>
    </w:p>
    <w:sectPr>
      <w:pgSz w:w="11900" w:h="16838" w:orient="portrait"/>
      <w:cols w:equalWidth="0" w:num="1">
        <w:col w:w="11420"/>
      </w:cols>
      <w:pgMar w:left="240" w:top="7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lvl w:ilvl="1">
      <w:lvlJc w:val="left"/>
      <w:lvlText w:val="%2)"/>
      <w:numFmt w:val="decimal"/>
      <w:start w:val="2"/>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o"/>
      <w:numFmt w:val="bullet"/>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5"/>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o"/>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8"/>
    </w:lvl>
  </w:abstractNum>
  <w:abstractNum w:abstractNumId="22">
    <w:nsid w:val="6763845E"/>
    <w:multiLevelType w:val="hybridMultilevel"/>
    <w:lvl w:ilvl="0">
      <w:lvlJc w:val="left"/>
      <w:lvlText w:val="(%1)"/>
      <w:numFmt w:val="lowerRoman"/>
      <w:start w:val="7"/>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2019-12-16T08:36:41Z</dcterms:created>
  <dcterms:modified xsi:type="dcterms:W3CDTF">2019-12-16T08:36:41Z</dcterms:modified>
</cp:coreProperties>
</file>