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68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70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3"/>
        <w:spacing w:after="0"/>
        <w:rPr>
          <w:sz w:val="20"/>
          <w:szCs w:val="20"/>
          <w:color w:val="auto"/>
        </w:rPr>
      </w:pPr>
      <w:r>
        <w:rPr>
          <w:rFonts w:ascii="Arial" w:cs="Arial" w:eastAsia="Arial" w:hAnsi="Arial"/>
          <w:sz w:val="17"/>
          <w:szCs w:val="17"/>
          <w:color w:val="0000FF"/>
        </w:rPr>
        <w:t>Vice President &amp; Treasurer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5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91"/>
              </w:rPr>
              <w:t>03/31/2011</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20,788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20,788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91"/>
              </w:rPr>
              <w:t>03/31/2011</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7,858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31.28</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12,930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7"/>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9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16,385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center"/>
              <w:ind w:right="195"/>
              <w:spacing w:after="0"/>
              <w:rPr>
                <w:sz w:val="20"/>
                <w:szCs w:val="20"/>
                <w:color w:val="auto"/>
              </w:rPr>
            </w:pPr>
            <w:r>
              <w:rPr>
                <w:rFonts w:ascii="Arial" w:cs="Arial" w:eastAsia="Arial" w:hAnsi="Arial"/>
                <w:sz w:val="24"/>
                <w:szCs w:val="24"/>
                <w:color w:val="000000"/>
                <w:w w:val="93"/>
                <w:vertAlign w:val="subscript"/>
              </w:rPr>
              <w:t>$</w:t>
            </w:r>
            <w:r>
              <w:rPr>
                <w:rFonts w:ascii="Arial" w:cs="Arial" w:eastAsia="Arial" w:hAnsi="Arial"/>
                <w:sz w:val="26"/>
                <w:szCs w:val="26"/>
                <w:color w:val="0000FF"/>
                <w:w w:val="93"/>
                <w:vertAlign w:val="subscript"/>
              </w:rPr>
              <w:t>0</w:t>
            </w:r>
            <w:r>
              <w:rPr>
                <w:rFonts w:ascii="Arial" w:cs="Arial" w:eastAsia="Arial" w:hAnsi="Arial"/>
                <w:sz w:val="11"/>
                <w:szCs w:val="11"/>
                <w:color w:val="008000"/>
                <w:w w:val="93"/>
              </w:rPr>
              <w:t>(2)</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03/31/2011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16,385</w:t>
            </w:r>
          </w:p>
        </w:tc>
        <w:tc>
          <w:tcPr>
            <w:tcW w:w="34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right="75"/>
              <w:spacing w:after="0"/>
              <w:rPr>
                <w:sz w:val="20"/>
                <w:szCs w:val="20"/>
                <w:color w:val="auto"/>
              </w:rPr>
            </w:pPr>
            <w:r>
              <w:rPr>
                <w:rFonts w:ascii="Arial" w:cs="Arial" w:eastAsia="Arial" w:hAnsi="Arial"/>
                <w:sz w:val="11"/>
                <w:szCs w:val="11"/>
                <w:color w:val="008000"/>
                <w:w w:val="88"/>
              </w:rPr>
              <w:t>(2)</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0000FF"/>
              </w:rPr>
              <w:t>16,385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20,788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03/31/2011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20,788</w:t>
            </w:r>
          </w:p>
        </w:tc>
        <w:tc>
          <w:tcPr>
            <w:tcW w:w="340" w:type="dxa"/>
            <w:vAlign w:val="bottom"/>
          </w:tcPr>
          <w:p>
            <w:pPr>
              <w:spacing w:after="0"/>
              <w:rPr>
                <w:sz w:val="12"/>
                <w:szCs w:val="12"/>
                <w:color w:val="auto"/>
              </w:rPr>
            </w:pP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5"/>
              <w:spacing w:after="0"/>
              <w:rPr>
                <w:sz w:val="20"/>
                <w:szCs w:val="20"/>
                <w:color w:val="auto"/>
              </w:rPr>
            </w:pPr>
            <w:r>
              <w:rPr>
                <w:rFonts w:ascii="Arial" w:cs="Arial" w:eastAsia="Arial" w:hAnsi="Arial"/>
                <w:sz w:val="11"/>
                <w:szCs w:val="11"/>
                <w:color w:val="008000"/>
                <w:w w:val="88"/>
              </w:rPr>
              <w:t>(1)</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75"/>
              <w:spacing w:after="0"/>
              <w:rPr>
                <w:sz w:val="20"/>
                <w:szCs w:val="20"/>
                <w:color w:val="auto"/>
              </w:rPr>
            </w:pPr>
            <w:r>
              <w:rPr>
                <w:rFonts w:ascii="Arial" w:cs="Arial" w:eastAsia="Arial" w:hAnsi="Arial"/>
                <w:sz w:val="11"/>
                <w:szCs w:val="11"/>
                <w:color w:val="008000"/>
              </w:rPr>
              <w:t>(1)</w:t>
            </w:r>
          </w:p>
        </w:tc>
        <w:tc>
          <w:tcPr>
            <w:tcW w:w="640" w:type="dxa"/>
            <w:vAlign w:val="bottom"/>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 The Common Stock reported in this item was granted under the Company's 2009 Long-Term Incentive Plan (the "LTIP") on March 31, 2011. These shares were fully vested upon grant but are subject to restrictions on transfer until February 10, 2014. At the same time as this grant of restricted shares of Common Stock, the 20,788 restricted stock units (the "RSUs") granted to the employee on February 10, 2011 were cancelled. The RSUs did not have any conversion or exercise price or date.</w:t>
      </w:r>
    </w:p>
    <w:p>
      <w:pPr>
        <w:spacing w:after="0" w:line="22" w:lineRule="exact"/>
        <w:rPr>
          <w:rFonts w:ascii="Arial" w:cs="Arial" w:eastAsia="Arial" w:hAnsi="Arial"/>
          <w:sz w:val="13"/>
          <w:szCs w:val="13"/>
          <w:color w:val="008000"/>
        </w:rPr>
      </w:pPr>
    </w:p>
    <w:p>
      <w:pPr>
        <w:ind w:left="40" w:right="16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 The Salary Stock Units ("SSUs")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 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04/04/2011</w:t>
            </w: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2019-12-17T00:29:38Z</dcterms:created>
  <dcterms:modified xsi:type="dcterms:W3CDTF">2019-12-17T00:29:38Z</dcterms:modified>
</cp:coreProperties>
</file>