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Mullen Michael G</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482-C23-A68</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18"/>
          </w:tcPr>
          <w:p>
            <w:pPr>
              <w:ind w:left="6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8"/>
          </w:tcPr>
          <w:p>
            <w:pPr>
              <w:ind w:left="8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4,298</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9" w:lineRule="exact"/>
              <w:rPr>
                <w:sz w:val="20"/>
                <w:szCs w:val="20"/>
                <w:color w:val="auto"/>
              </w:rPr>
            </w:pPr>
            <w:r>
              <w:rPr>
                <w:rFonts w:ascii="Arial" w:cs="Arial" w:eastAsia="Arial" w:hAnsi="Arial"/>
                <w:sz w:val="14"/>
                <w:szCs w:val="14"/>
                <w:color w:val="0000FF"/>
              </w:rPr>
              <w:t>4,298</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24,153</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950</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950</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25,103</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2018, pursuant to the General Motors Company Deferred Compensation Plan (the "Plan") for Non-Employee Directors. Each non-employee director is required to defer one-half of the $285,000 annual retainer fee for service on the Board of Directors into DSUs and may elect to defer more. The deferred portion of the retainer fee is converted to DSUs based on the average closing price of the Company's Common Stock during the previous calendar year, which was $37.81 in 2018. Amounts credited as DSUs will be paid in cash after the director leaves the Board, valued at the average closing price of the Company's Common Stock during the quarter immediately preceding payment.</w:t>
      </w:r>
    </w:p>
    <w:p>
      <w:pPr>
        <w:spacing w:after="0" w:line="8"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dividends accrued on DSUs in 2018 that were credited as additional DSUs at the end of the year pursuant to the terms of the Plan. The dividends were converted to DSUs based on the average of the high and low trading price of the Company's Common Stock on the applicable quarterly dividend payment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01/03/2019</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Mullen</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79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2019-12-24T07:28:59Z</dcterms:created>
  <dcterms:modified xsi:type="dcterms:W3CDTF">2019-12-24T07:28:59Z</dcterms:modified>
</cp:coreProperties>
</file>