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General Motors Company</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37045V100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23"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94,222,494</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94,227,194</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94,227,194</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6.5%</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2 of 4</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General Motors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300 Renaissance Center</w:t>
      </w:r>
    </w:p>
    <w:p>
      <w:pPr>
        <w:ind w:left="740"/>
        <w:spacing w:after="0"/>
        <w:rPr>
          <w:sz w:val="20"/>
          <w:szCs w:val="20"/>
          <w:color w:val="auto"/>
        </w:rPr>
      </w:pPr>
      <w:r>
        <w:rPr>
          <w:rFonts w:ascii="Courier New" w:cs="Courier New" w:eastAsia="Courier New" w:hAnsi="Courier New"/>
          <w:sz w:val="18"/>
          <w:szCs w:val="18"/>
          <w:color w:val="auto"/>
        </w:rPr>
        <w:t>Detroit, Michigan 48265-3000</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37045V100</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divisions of CRMC and Capital International Limited collectively provide investment management services under the name Capital World Investors. Capital World Investors is deemed to be the beneficial owner of 94,227,194 shares or 6.5% of the 1,428,784,056 shares believed to be outstanding.</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3 of 4</w:t>
      </w:r>
    </w:p>
    <w:p>
      <w:pPr>
        <w:sectPr>
          <w:pgSz w:w="11900" w:h="16838" w:orient="portrait"/>
          <w:cols w:equalWidth="0" w:num="1">
            <w:col w:w="10219"/>
          </w:cols>
          <w:pgMar w:left="240" w:top="717" w:right="1440" w:bottom="1440" w:gutter="0" w:footer="0" w:header="0"/>
        </w:sectPr>
      </w:pPr>
    </w:p>
    <w:bookmarkStart w:id="3" w:name="page4"/>
    <w:bookmarkEnd w:id="3"/>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220"/>
              <w:spacing w:after="0"/>
              <w:rPr>
                <w:sz w:val="20"/>
                <w:szCs w:val="20"/>
                <w:color w:val="auto"/>
              </w:rPr>
            </w:pPr>
            <w:r>
              <w:rPr>
                <w:rFonts w:ascii="Courier New" w:cs="Courier New" w:eastAsia="Courier New" w:hAnsi="Courier New"/>
                <w:sz w:val="18"/>
                <w:szCs w:val="18"/>
                <w:color w:val="auto"/>
              </w:rPr>
              <w:t>February 12, 2020</w:t>
            </w:r>
          </w:p>
        </w:tc>
        <w:tc>
          <w:tcPr>
            <w:tcW w:w="1940" w:type="dxa"/>
            <w:vAlign w:val="bottom"/>
          </w:tcPr>
          <w:p>
            <w:pPr>
              <w:spacing w:after="0"/>
              <w:rPr>
                <w:sz w:val="17"/>
                <w:szCs w:val="17"/>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 Michael J. Triessl</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Michael J. Triessl -</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Senior Vice</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President and Senior</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Counsel, Fund</w:t>
            </w:r>
          </w:p>
        </w:tc>
      </w:tr>
      <w:tr>
        <w:trPr>
          <w:trHeight w:val="203"/>
        </w:trPr>
        <w:tc>
          <w:tcPr>
            <w:tcW w:w="1360" w:type="dxa"/>
            <w:vAlign w:val="bottom"/>
          </w:tcPr>
          <w:p>
            <w:pPr>
              <w:spacing w:after="0"/>
              <w:rPr>
                <w:sz w:val="17"/>
                <w:szCs w:val="17"/>
                <w:color w:val="auto"/>
              </w:rPr>
            </w:pPr>
          </w:p>
        </w:tc>
        <w:tc>
          <w:tcPr>
            <w:tcW w:w="4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Business Management Group</w:t>
            </w:r>
          </w:p>
        </w:tc>
      </w:tr>
      <w:tr>
        <w:trPr>
          <w:trHeight w:val="203"/>
        </w:trPr>
        <w:tc>
          <w:tcPr>
            <w:tcW w:w="1360" w:type="dxa"/>
            <w:vAlign w:val="bottom"/>
          </w:tcPr>
          <w:p>
            <w:pPr>
              <w:spacing w:after="0"/>
              <w:rPr>
                <w:sz w:val="17"/>
                <w:szCs w:val="17"/>
                <w:color w:val="auto"/>
              </w:rPr>
            </w:pPr>
          </w:p>
        </w:tc>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Capital Research and</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Management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37045V100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2020-02-14T05:10:35Z</dcterms:created>
  <dcterms:modified xsi:type="dcterms:W3CDTF">2020-02-14T05:10:35Z</dcterms:modified>
</cp:coreProperties>
</file>