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20"/>
        <w:spacing w:after="0"/>
        <w:rPr>
          <w:sz w:val="20"/>
          <w:szCs w:val="20"/>
          <w:color w:val="auto"/>
        </w:rPr>
      </w:pPr>
      <w:r>
        <w:rPr>
          <w:rFonts w:ascii="Arial" w:cs="Arial" w:eastAsia="Arial" w:hAnsi="Arial"/>
          <w:sz w:val="19"/>
          <w:szCs w:val="19"/>
          <w:b w:val="1"/>
          <w:bCs w:val="1"/>
          <w:color w:val="auto"/>
        </w:rPr>
        <w:t>Date of Report (Date of earliest event reported): September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179070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20" w:space="720"/>
            <w:col w:w="2860" w:space="720"/>
            <w:col w:w="1920"/>
          </w:cols>
          <w:pgMar w:left="440" w:top="368" w:right="719" w:bottom="1440" w:gutter="0" w:footer="0" w:header="0"/>
          <w:type w:val="continuous"/>
        </w:sectPr>
      </w:pPr>
    </w:p>
    <w:p>
      <w:pPr>
        <w:spacing w:after="0" w:line="11"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40"/>
          </w:cols>
          <w:pgMar w:left="440" w:top="368" w:right="719" w:bottom="1440" w:gutter="0" w:footer="0" w:header="0"/>
          <w:type w:val="continuous"/>
        </w:sectPr>
      </w:pPr>
    </w:p>
    <w:p>
      <w:pPr>
        <w:spacing w:after="0" w:line="33"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0" w:space="720"/>
            <w:col w:w="2840"/>
          </w:cols>
          <w:pgMar w:left="440" w:top="368" w:right="71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2740"/>
          </w:cols>
          <w:pgMar w:left="440" w:top="368" w:right="719" w:bottom="1440" w:gutter="0" w:footer="0" w:header="0"/>
          <w:type w:val="continuous"/>
        </w:sectPr>
      </w:pPr>
    </w:p>
    <w:p>
      <w:pPr>
        <w:jc w:val="center"/>
        <w:ind w:right="-29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September 5, 2018, General Motors Company (the “Company”) entered into an Underwriting Agreement (the “Underwriting Agreement”) with Barclays Capital Inc., Deutsche Bank Securities Inc. and SG Americas Securities, LLC, for themselves and as representatives of the several other underwriters named therein (collectively, the “Underwriters”), pursuant to which the Company agreed to sell to the Underwriters, and the Underwriters agreed to purchase from the Company, $2.1 billion aggregate principal amount of the Company’s senior notes, consisting of $450 million aggregate principal amount of Floating Rate Senior Notes due 2021 (the “Floating Rate Notes”), $750 million aggregate principal amount of 5.000% Senior Notes due 2028 (the “2028 Notes”) and $900 million aggregate principal amount of 5.950% Senior Notes due 2049 (the “2049 Notes” and, together with the Floating Rate Notes and the 2028 Notes, the “Notes”).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September 10, 2018, the Company closed the offering of the Notes. The Floating Rate Notes, the 2028 Notes and the 2049 Notes were each issued as a separate series of debt securities pursuant to the indenture, dated as of September 27, 2013 (the “Base Indenture”), between the Company and The Bank of New York Mellon, as trustee (the “Trustee”), as supplemented by a fifth supplemental indenture, dated as of September 10, 2018 (the “Fifth Supplemental Indenture”), between the Company and the Trustee. The Base Indenture, as supplemented by the Fifth Supplemental Indenture (the “Indenture”), governs the terms of the Notes. In connection with the closing of the offering of the Floating Rate Notes, the Company also entered into a calculation agency agreement in respect of the Floating Rate Notes, dated as of September 10, 2018, with The Bank of New York Mellon, as calculation agent (the “Calculation Agency Agreement”).</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Indenture contains covenants that will limit (i) the ability of the Company and certain of its subsidiaries to incur indebtedness secured by certain principal domestic manufacturing properties or by any shares of stock or indebtedness of certain manufacturing subsidiaries and to enter into certain sale and leaseback transactions with respect to certain principal domestic manufacturing properties and (ii) the ability of the Company to enter into certain mergers or certain conveyances, transfers or leases of all or substantially all of its properties and assets.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intends to use the net proceeds from this offering to repay $1.5 billion aggregate principal amount outstanding of its 3.500% senior notes due October 2, 2018, to pre-fund certain mandatory contributions for its U.K. and Canada pension plans due in 2019 through 2021, and for other general corporate purposes.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offering and sale of the Notes was made pursuant to the Company’s effective shelf registration statement on Form S-3 (File No. 333-215924) filed with the Securities and Exchange Commission.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foregoing description of the Underwriting Agreement, Base Indenture, Fifth Supplemental Indenture and Calculation Agency Agreement does not constitute a complete summary of these documents and is qualified by reference in its entirety to the full text of the Underwriting Agreement, Base Indenture, Fifth Supplemental Indenture and Calculation Agency Agreement, which are filed herewith as Exhibit 1.1, Exhibit 4.1, Exhibit 4.2 and Exhibit 4.3, respectively, and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15240</wp:posOffset>
            </wp:positionV>
            <wp:extent cx="6157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97" w:lineRule="exact"/>
        <w:rPr>
          <w:sz w:val="20"/>
          <w:szCs w:val="20"/>
          <w:color w:val="auto"/>
        </w:rPr>
      </w:pPr>
    </w:p>
    <w:p>
      <w:pPr>
        <w:jc w:val="both"/>
        <w:ind w:left="1320" w:right="280" w:hanging="1323"/>
        <w:spacing w:after="0" w:line="264"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Exhibit 1.1</w:t>
      </w:r>
      <w:r>
        <w:rPr>
          <w:sz w:val="20"/>
          <w:szCs w:val="20"/>
          <w:color w:val="auto"/>
        </w:rPr>
        <w:tab/>
      </w:r>
      <w:hyperlink w:anchor="page5">
        <w:r>
          <w:rPr>
            <w:rFonts w:ascii="Arial" w:cs="Arial" w:eastAsia="Arial" w:hAnsi="Arial"/>
            <w:sz w:val="18"/>
            <w:szCs w:val="18"/>
            <w:u w:val="single" w:color="auto"/>
            <w:color w:val="0000EE"/>
          </w:rPr>
          <w:t>Underwriting Agreement, dated September 5, 2018, by and among General Motors Company, as issuer, and Barclays Capital Inc.,</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Deutsche Bank Securities Inc. and SG Americas Securities, LLC, for themselves and as representatives of the several underwriters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named therein</w:t>
        </w:r>
      </w:hyperlink>
    </w:p>
    <w:p>
      <w:pPr>
        <w:spacing w:after="0" w:line="73" w:lineRule="exact"/>
        <w:rPr>
          <w:rFonts w:ascii="Arial" w:cs="Arial" w:eastAsia="Arial" w:hAnsi="Arial"/>
          <w:sz w:val="18"/>
          <w:szCs w:val="18"/>
          <w:u w:val="single" w:color="auto"/>
          <w:color w:val="0000EE"/>
        </w:rPr>
      </w:pPr>
    </w:p>
    <w:p>
      <w:pPr>
        <w:ind w:left="1320" w:right="40" w:hanging="1323"/>
        <w:spacing w:after="0" w:line="264"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Exhibit 4.1</w:t>
      </w:r>
      <w:r>
        <w:rPr>
          <w:sz w:val="20"/>
          <w:szCs w:val="20"/>
          <w:color w:val="auto"/>
        </w:rPr>
        <w:tab/>
      </w:r>
      <w:hyperlink r:id="rId19">
        <w:r>
          <w:rPr>
            <w:rFonts w:ascii="Arial" w:cs="Arial" w:eastAsia="Arial" w:hAnsi="Arial"/>
            <w:sz w:val="18"/>
            <w:szCs w:val="18"/>
            <w:u w:val="single" w:color="auto"/>
            <w:color w:val="0000EE"/>
          </w:rPr>
          <w:t>Indenture dated as of September 27, 2013, between General Motors Company and The Bank of New York Mellon, as Trustee,</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incorporated herein by reference to Exhibit 4.2 to the Registration Statement on Form S-3 of General Motors Company filed April 30,</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2014</w:t>
        </w:r>
      </w:hyperlink>
    </w:p>
    <w:p>
      <w:pPr>
        <w:spacing w:after="0" w:line="73" w:lineRule="exact"/>
        <w:rPr>
          <w:rFonts w:ascii="Arial" w:cs="Arial" w:eastAsia="Arial" w:hAnsi="Arial"/>
          <w:sz w:val="18"/>
          <w:szCs w:val="18"/>
          <w:u w:val="single" w:color="auto"/>
          <w:color w:val="0000EE"/>
        </w:rPr>
      </w:pPr>
    </w:p>
    <w:p>
      <w:pPr>
        <w:ind w:left="1320" w:right="280" w:hanging="1323"/>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Exhibit 4.2</w:t>
      </w:r>
      <w:r>
        <w:rPr>
          <w:sz w:val="20"/>
          <w:szCs w:val="20"/>
          <w:color w:val="auto"/>
        </w:rPr>
        <w:tab/>
      </w:r>
      <w:hyperlink w:anchor="page61">
        <w:r>
          <w:rPr>
            <w:rFonts w:ascii="Arial" w:cs="Arial" w:eastAsia="Arial" w:hAnsi="Arial"/>
            <w:sz w:val="18"/>
            <w:szCs w:val="18"/>
            <w:u w:val="single" w:color="auto"/>
            <w:color w:val="0000EE"/>
          </w:rPr>
          <w:t>Fifth Supplemental Indenture, dated as of September 10, 2018, to the Indenture, dated as of September 27, 2013, between General</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Motors Company, as issuer, and The Bank of New York Mellon, as Trustee</w:t>
        </w:r>
      </w:hyperlink>
    </w:p>
    <w:p>
      <w:pPr>
        <w:spacing w:after="0" w:line="62" w:lineRule="exact"/>
        <w:rPr>
          <w:sz w:val="20"/>
          <w:szCs w:val="20"/>
          <w:color w:val="auto"/>
        </w:rPr>
      </w:pPr>
    </w:p>
    <w:p>
      <w:pPr>
        <w:ind w:left="1320" w:right="400" w:hanging="1323"/>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Exhibit 4.3</w:t>
      </w:r>
      <w:r>
        <w:rPr>
          <w:sz w:val="20"/>
          <w:szCs w:val="20"/>
          <w:color w:val="auto"/>
        </w:rPr>
        <w:tab/>
      </w:r>
      <w:hyperlink w:anchor="page113">
        <w:r>
          <w:rPr>
            <w:rFonts w:ascii="Arial" w:cs="Arial" w:eastAsia="Arial" w:hAnsi="Arial"/>
            <w:sz w:val="18"/>
            <w:szCs w:val="18"/>
            <w:u w:val="single" w:color="auto"/>
            <w:color w:val="0000EE"/>
          </w:rPr>
          <w:t>Calculation Agency Agreement, dated as of September 10, 2018, between General Motors Company and The Bank of New York</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Mellon, as calculation agent</w:t>
        </w:r>
      </w:hyperlink>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4.4</w:t>
      </w:r>
      <w:r>
        <w:rPr>
          <w:sz w:val="20"/>
          <w:szCs w:val="20"/>
          <w:color w:val="auto"/>
        </w:rPr>
        <w:tab/>
      </w:r>
      <w:hyperlink w:anchor="page61">
        <w:r>
          <w:rPr>
            <w:rFonts w:ascii="Arial" w:cs="Arial" w:eastAsia="Arial" w:hAnsi="Arial"/>
            <w:sz w:val="16"/>
            <w:szCs w:val="16"/>
            <w:u w:val="single" w:color="auto"/>
            <w:color w:val="0000EE"/>
          </w:rPr>
          <w:t>Form of General Motors Company Floating Rate Senior Notes due 2021 (included in Exhibit 4.2)</w:t>
        </w:r>
      </w:hyperlink>
    </w:p>
    <w:p>
      <w:pPr>
        <w:spacing w:after="0" w:line="117" w:lineRule="exact"/>
        <w:rPr>
          <w:sz w:val="20"/>
          <w:szCs w:val="20"/>
          <w:color w:val="auto"/>
        </w:rPr>
      </w:pPr>
    </w:p>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Exhibit 4.5</w:t>
      </w:r>
      <w:r>
        <w:rPr>
          <w:sz w:val="20"/>
          <w:szCs w:val="20"/>
          <w:color w:val="auto"/>
        </w:rPr>
        <w:tab/>
      </w:r>
      <w:hyperlink w:anchor="page61">
        <w:r>
          <w:rPr>
            <w:rFonts w:ascii="Arial" w:cs="Arial" w:eastAsia="Arial" w:hAnsi="Arial"/>
            <w:sz w:val="16"/>
            <w:szCs w:val="16"/>
            <w:u w:val="single" w:color="auto"/>
            <w:color w:val="0000EE"/>
          </w:rPr>
          <w:t>Form of General Motors Company 5.000% Senior Notes due 2028 (included in Exhibit 4.2)</w:t>
        </w:r>
      </w:hyperlink>
    </w:p>
    <w:p>
      <w:pPr>
        <w:spacing w:after="0" w:line="117" w:lineRule="exact"/>
        <w:rPr>
          <w:sz w:val="20"/>
          <w:szCs w:val="20"/>
          <w:color w:val="auto"/>
        </w:rPr>
      </w:pPr>
    </w:p>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Exhibit 4.6</w:t>
      </w:r>
      <w:r>
        <w:rPr>
          <w:sz w:val="20"/>
          <w:szCs w:val="20"/>
          <w:color w:val="auto"/>
        </w:rPr>
        <w:tab/>
      </w:r>
      <w:hyperlink w:anchor="page61">
        <w:r>
          <w:rPr>
            <w:rFonts w:ascii="Arial" w:cs="Arial" w:eastAsia="Arial" w:hAnsi="Arial"/>
            <w:sz w:val="16"/>
            <w:szCs w:val="16"/>
            <w:u w:val="single" w:color="auto"/>
            <w:color w:val="0000EE"/>
          </w:rPr>
          <w:t>Form of General Motors Company 5.950% Senior Notes due 2049 (included in Exhibit 4.2)</w:t>
        </w:r>
      </w:hyperlink>
    </w:p>
    <w:p>
      <w:pPr>
        <w:spacing w:after="0" w:line="117" w:lineRule="exact"/>
        <w:rPr>
          <w:sz w:val="20"/>
          <w:szCs w:val="20"/>
          <w:color w:val="auto"/>
        </w:rPr>
      </w:pPr>
    </w:p>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Exhibit 5.1</w:t>
      </w:r>
      <w:r>
        <w:rPr>
          <w:sz w:val="20"/>
          <w:szCs w:val="20"/>
          <w:color w:val="auto"/>
        </w:rPr>
        <w:tab/>
      </w:r>
      <w:hyperlink w:anchor="page122">
        <w:r>
          <w:rPr>
            <w:rFonts w:ascii="Arial" w:cs="Arial" w:eastAsia="Arial" w:hAnsi="Arial"/>
            <w:sz w:val="16"/>
            <w:szCs w:val="16"/>
            <w:u w:val="single" w:color="auto"/>
            <w:color w:val="0000EE"/>
          </w:rPr>
          <w:t>Opinion of Skadden, Arps, Slate, Meagher &amp; Flom LLP</w:t>
        </w:r>
      </w:hyperlink>
    </w:p>
    <w:p>
      <w:pPr>
        <w:spacing w:after="0" w:line="117" w:lineRule="exact"/>
        <w:rPr>
          <w:sz w:val="20"/>
          <w:szCs w:val="20"/>
          <w:color w:val="auto"/>
        </w:rPr>
      </w:pPr>
    </w:p>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Exhibit 23.1</w:t>
      </w:r>
      <w:r>
        <w:rPr>
          <w:sz w:val="20"/>
          <w:szCs w:val="20"/>
          <w:color w:val="auto"/>
        </w:rPr>
        <w:tab/>
      </w:r>
      <w:hyperlink w:anchor="page122">
        <w:r>
          <w:rPr>
            <w:rFonts w:ascii="Arial" w:cs="Arial" w:eastAsia="Arial" w:hAnsi="Arial"/>
            <w:sz w:val="16"/>
            <w:szCs w:val="16"/>
            <w:u w:val="single" w:color="auto"/>
            <w:color w:val="0000EE"/>
          </w:rPr>
          <w:t>Consent of Skadden, Arps, Slate, Meagher &amp; Flom LLP (included in Exhibit 5.1)</w:t>
        </w:r>
      </w:hyperlink>
    </w:p>
    <w:p>
      <w:pPr>
        <w:sectPr>
          <w:pgSz w:w="11900" w:h="16838" w:orient="portrait"/>
          <w:cols w:equalWidth="0" w:num="1">
            <w:col w:w="10019"/>
          </w:cols>
          <w:pgMar w:left="440" w:top="382"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Rick E. Hansen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Assistant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2018</w:t>
      </w:r>
    </w:p>
    <w:p>
      <w:pPr>
        <w:sectPr>
          <w:pgSz w:w="11900" w:h="16838" w:orient="portrait"/>
          <w:cols w:equalWidth="0" w:num="1">
            <w:col w:w="10780"/>
          </w:cols>
          <w:pgMar w:left="440" w:top="270"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Floating Rate Senior Notes due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Senior Notes due 2028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5.950% Senior Notes due 2049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10019</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SG Americas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10167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ind w:right="160" w:firstLine="441"/>
        <w:spacing w:after="0" w:line="298" w:lineRule="auto"/>
        <w:rPr>
          <w:sz w:val="20"/>
          <w:szCs w:val="20"/>
          <w:color w:val="auto"/>
        </w:rPr>
      </w:pPr>
      <w:r>
        <w:rPr>
          <w:rFonts w:ascii="Arial" w:cs="Arial" w:eastAsia="Arial" w:hAnsi="Arial"/>
          <w:sz w:val="16"/>
          <w:szCs w:val="16"/>
          <w:color w:val="auto"/>
        </w:rPr>
        <w:t>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 hereto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Barclays Capital Inc., Deutsche Bank Securities Inc. and SG Americas Securities, LLC are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$450,000,000 aggregate principal amount of its Floating Rate Senior Notes due 2021 (the “</w:t>
      </w:r>
      <w:r>
        <w:rPr>
          <w:rFonts w:ascii="Arial" w:cs="Arial" w:eastAsia="Arial" w:hAnsi="Arial"/>
          <w:sz w:val="16"/>
          <w:szCs w:val="16"/>
          <w:b w:val="1"/>
          <w:bCs w:val="1"/>
          <w:color w:val="auto"/>
        </w:rPr>
        <w:t>Floating Rate</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$750,000,000 aggregate principal amount of its 5.000% Senior Notes due 2028 (the “</w:t>
      </w:r>
      <w:r>
        <w:rPr>
          <w:rFonts w:ascii="Arial" w:cs="Arial" w:eastAsia="Arial" w:hAnsi="Arial"/>
          <w:sz w:val="16"/>
          <w:szCs w:val="16"/>
          <w:b w:val="1"/>
          <w:bCs w:val="1"/>
          <w:color w:val="auto"/>
        </w:rPr>
        <w:t>2028 Notes</w:t>
      </w:r>
      <w:r>
        <w:rPr>
          <w:rFonts w:ascii="Arial" w:cs="Arial" w:eastAsia="Arial" w:hAnsi="Arial"/>
          <w:sz w:val="16"/>
          <w:szCs w:val="16"/>
          <w:color w:val="auto"/>
        </w:rPr>
        <w:t>”) and $900,000,000 aggregate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its 5.950% Senior Notes due 2049 (the “</w:t>
      </w:r>
      <w:r>
        <w:rPr>
          <w:rFonts w:ascii="Arial" w:cs="Arial" w:eastAsia="Arial" w:hAnsi="Arial"/>
          <w:sz w:val="16"/>
          <w:szCs w:val="16"/>
          <w:b w:val="1"/>
          <w:bCs w:val="1"/>
          <w:color w:val="auto"/>
        </w:rPr>
        <w:t>2049 Notes</w:t>
      </w:r>
      <w:r>
        <w:rPr>
          <w:rFonts w:ascii="Arial" w:cs="Arial" w:eastAsia="Arial" w:hAnsi="Arial"/>
          <w:sz w:val="16"/>
          <w:szCs w:val="16"/>
          <w:color w:val="auto"/>
        </w:rPr>
        <w:t>” and, together with the Floating Rate Notes and the 2028 Notes, the</w:t>
      </w:r>
    </w:p>
    <w:p>
      <w:pPr>
        <w:sectPr>
          <w:pgSz w:w="11900" w:h="16838" w:orient="portrait"/>
          <w:cols w:equalWidth="0" w:num="1">
            <w:col w:w="11020"/>
          </w:cols>
          <w:pgMar w:left="440" w:top="121" w:right="439" w:bottom="1440" w:gutter="0" w:footer="0" w:header="0"/>
        </w:sectPr>
      </w:pPr>
    </w:p>
    <w:bookmarkStart w:id="5" w:name="page6"/>
    <w:bookmarkEnd w:id="5"/>
    <w:p>
      <w:pPr>
        <w:ind w:right="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Securities</w:t>
      </w:r>
      <w:r>
        <w:rPr>
          <w:rFonts w:ascii="Arial" w:cs="Arial" w:eastAsia="Arial" w:hAnsi="Arial"/>
          <w:sz w:val="16"/>
          <w:szCs w:val="16"/>
          <w:color w:val="auto"/>
        </w:rPr>
        <w:t>”) all to be issued pursuant to the provisions of an Indenture dated as of September 27, 2013 (as defined below)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a supplemental indenture to be dated as of the Closing Date (the “</w:t>
      </w:r>
      <w:r>
        <w:rPr>
          <w:rFonts w:ascii="Arial" w:cs="Arial" w:eastAsia="Arial" w:hAnsi="Arial"/>
          <w:sz w:val="16"/>
          <w:szCs w:val="16"/>
          <w:b w:val="1"/>
          <w:bCs w:val="1"/>
          <w:color w:val="auto"/>
        </w:rPr>
        <w:t>Fifth 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Trustee.</w:t>
      </w:r>
    </w:p>
    <w:p>
      <w:pPr>
        <w:spacing w:after="0" w:line="142"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(File No. 333-215924) on Form S-3, relating to certain securities of the Company (the “</w:t>
      </w:r>
      <w:r>
        <w:rPr>
          <w:rFonts w:ascii="Arial" w:cs="Arial" w:eastAsia="Arial" w:hAnsi="Arial"/>
          <w:sz w:val="17"/>
          <w:szCs w:val="17"/>
          <w:b w:val="1"/>
          <w:bCs w:val="1"/>
          <w:color w:val="auto"/>
        </w:rPr>
        <w:t>Shelf Securities</w:t>
      </w:r>
      <w:r>
        <w:rPr>
          <w:rFonts w:ascii="Arial" w:cs="Arial" w:eastAsia="Arial" w:hAnsi="Arial"/>
          <w:sz w:val="17"/>
          <w:szCs w:val="17"/>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covering the Shelf Securities dated February 7, 2017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and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 (including any preliminary prospectus supplement and the Basic Prospectus attached thereto) filed with the Commission pursuant to Rule 424(b) under the Securities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as used herein means the documents identified as such in Schedule II hereto and any other “</w:t>
      </w:r>
      <w:r>
        <w:rPr>
          <w:rFonts w:ascii="Arial" w:cs="Arial" w:eastAsia="Arial" w:hAnsi="Arial"/>
          <w:sz w:val="16"/>
          <w:szCs w:val="16"/>
          <w:b w:val="1"/>
          <w:bCs w:val="1"/>
          <w:color w:val="auto"/>
        </w:rPr>
        <w:t>free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writing prospectus</w:t>
      </w:r>
      <w:r>
        <w:rPr>
          <w:rFonts w:ascii="Arial" w:cs="Arial" w:eastAsia="Arial" w:hAnsi="Arial"/>
          <w:sz w:val="16"/>
          <w:szCs w:val="16"/>
          <w:color w:val="auto"/>
        </w:rPr>
        <w:t>” (as defined in Rule 405 under the Securities Act) that the Representatives and the Company shall hereafter agree in writing to treat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Disclosure Package.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as used herein means the Preliminary Prospectus dated September 5, 2018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term sheet set forth in Annex II-A hereto and any other Permitted Free Writing Prospectuses. “</w:t>
      </w:r>
      <w:r>
        <w:rPr>
          <w:rFonts w:ascii="Arial" w:cs="Arial" w:eastAsia="Arial" w:hAnsi="Arial"/>
          <w:sz w:val="16"/>
          <w:szCs w:val="16"/>
          <w:b w:val="1"/>
          <w:bCs w:val="1"/>
          <w:color w:val="auto"/>
        </w:rPr>
        <w:t>Initial Sale Time</w:t>
      </w:r>
      <w:r>
        <w:rPr>
          <w:rFonts w:ascii="Arial" w:cs="Arial" w:eastAsia="Arial" w:hAnsi="Arial"/>
          <w:sz w:val="16"/>
          <w:szCs w:val="16"/>
          <w:color w:val="auto"/>
        </w:rPr>
        <w:t>” shall mean 4:45 P.M. Eastern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Standard Time on the date of this Agreement. As used herein, the terms “Registration Statement,” “Basic Prospectus,” “Preliminary Prospectus,”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“Disclosure Package” and “Prospectus” shall include the documents, if any, incorporated by reference therein as of the date hereof. The terms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Preliminary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Disclosure Package or the Prospectus shall include all documents subsequently filed by the Company with the Commission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in Schedule I hereto opposite its name at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price of 99.750% of the principal amount thereof in the case of the Floating Rate Notes, 99.515% of the principal amount thereof in the case of the 2028 Notes and 99.091% of the principal amount thereof in the case of the 2049 Notes (in respect of each series of Notes, the “</w:t>
      </w:r>
      <w:r>
        <w:rPr>
          <w:rFonts w:ascii="Arial" w:cs="Arial" w:eastAsia="Arial" w:hAnsi="Arial"/>
          <w:sz w:val="16"/>
          <w:szCs w:val="16"/>
          <w:b w:val="1"/>
          <w:bCs w:val="1"/>
          <w:color w:val="auto"/>
        </w:rPr>
        <w:t>Purchase Price</w:t>
      </w:r>
      <w:r>
        <w:rPr>
          <w:rFonts w:ascii="Arial" w:cs="Arial" w:eastAsia="Arial" w:hAnsi="Arial"/>
          <w:sz w:val="16"/>
          <w:szCs w:val="16"/>
          <w:color w:val="auto"/>
        </w:rPr>
        <w:t>”) plus accrued interest, if any, from September 10, 2018, if settlement occurs after that date, to the Closing Date (as defined below).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The Company is advised by the Representatives that the Underwriters propose to make a public offering of their respective portions of the Securities as soon as practicable after this Agreement is entered into as in the Representatives’ judgment is advisable upon the basis of the terms and conditions set forth in this Agreement and the Disclosure Package and to be set forth in the Prospectus.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will deliver the Securities, against payment of the Purchase Price therefor plus accrued interest, if any, from September 10, 2018, if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settlement occurs after that date, to the Closing Date (as defined below) in the form of one or more permanent global securities (the “</w:t>
      </w:r>
      <w:r>
        <w:rPr>
          <w:rFonts w:ascii="Arial" w:cs="Arial" w:eastAsia="Arial" w:hAnsi="Arial"/>
          <w:sz w:val="17"/>
          <w:szCs w:val="17"/>
          <w:b w:val="1"/>
          <w:bCs w:val="1"/>
          <w:color w:val="auto"/>
        </w:rPr>
        <w:t>Global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 deposited with the Trustee as custodian for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Cede &amp; Co. as nominee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DTC. Interests in any permanent Global Securities will be held only in book-entry form through DTC, except in the limited circumstances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Registration Statement, the Disclosure Package and the Prospectus. Payment for the Securities shall be made by the several Underwriters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Representatives by wire transfer in immediately available funds to an account specified by the Company at 10:00 A.M. (New York time)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10, 2018, which date and time may be postponed by agreement between the Representatives and the Company or as provided in Article XV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date and time of delivery and payment for the Securities being herein called the “</w:t>
      </w:r>
      <w:r>
        <w:rPr>
          <w:rFonts w:ascii="Arial" w:cs="Arial" w:eastAsia="Arial" w:hAnsi="Arial"/>
          <w:sz w:val="16"/>
          <w:szCs w:val="16"/>
          <w:b w:val="1"/>
          <w:bCs w:val="1"/>
          <w:color w:val="auto"/>
        </w:rPr>
        <w:t>Closing Date</w:t>
      </w:r>
      <w:r>
        <w:rPr>
          <w:rFonts w:ascii="Arial" w:cs="Arial" w:eastAsia="Arial" w:hAnsi="Arial"/>
          <w:sz w:val="16"/>
          <w:szCs w:val="16"/>
          <w:color w:val="auto"/>
        </w:rPr>
        <w:t>”), against delivery to the Trustee as custodian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DTC of the Global Securities representing all of the Securities.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firstLine="444"/>
        <w:spacing w:after="0" w:line="291" w:lineRule="auto"/>
        <w:tabs>
          <w:tab w:leader="none" w:pos="685" w:val="left"/>
        </w:tabs>
        <w:numPr>
          <w:ilvl w:val="0"/>
          <w:numId w:val="2"/>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 (iii) 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 warranties of the Company in this Agreement that are not subject to any limitation as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7" w:name="page8"/>
    <w:bookmarkEnd w:id="7"/>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80" w:lineRule="exact"/>
        <w:rPr>
          <w:sz w:val="20"/>
          <w:szCs w:val="20"/>
          <w:color w:val="auto"/>
        </w:rPr>
      </w:pPr>
    </w:p>
    <w:p>
      <w:pPr>
        <w:ind w:firstLine="444"/>
        <w:spacing w:after="0" w:line="283" w:lineRule="auto"/>
        <w:tabs>
          <w:tab w:leader="none" w:pos="696"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Third Amended and Restated 3-Year Revolving Credit Agreement, dated as of April 18, 2018, among the Company, General Motors Financial Company, Inc., General Motors do Brasil Ltda., GM Global Treasury Centre Limited, the other subsidiary borrowers from time to time parties thereto, the several lenders from time to time party thereto, JPMorgan Chase Bank, N.A., as administrative agent, and Citibank, N.A., as syndication agent, the Third Amended and Restated 5-Year Revolving Credit Agreement, dated as of April 18, 2018, among the Company, General Motors Financial Company, Inc., General Motors do Brasil Ltda., GM Global Treasury Centre Limited, the other subsidiary borrowers from time to time parties thereto, the several lenders from time to time party thereto, JPMorgan Chase Bank, N.A., as administrative agent, and Citibank, N.A., as syndication agent, and the 364-Day Revolving Credit Agreement, dated as of April 18, 2018, among the Company, General Motors Financial Company, Inc., GM Global Treasury Centre Limited, the other subsidiary borrowers from time to time parties thereto, the several lenders from time to time party thereto, JPMorgan Chase Bank, N.A., as administrative agent, and Citibank, N.A., as syndication agent, shall not be considered outstanding debt for purposes of this clause</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w:t>
      </w:r>
    </w:p>
    <w:p>
      <w:pPr>
        <w:spacing w:after="0" w:line="102" w:lineRule="exact"/>
        <w:rPr>
          <w:rFonts w:ascii="Arial" w:cs="Arial" w:eastAsia="Arial" w:hAnsi="Arial"/>
          <w:sz w:val="16"/>
          <w:szCs w:val="16"/>
          <w:color w:val="auto"/>
        </w:rPr>
      </w:pPr>
    </w:p>
    <w:p>
      <w:pPr>
        <w:ind w:right="140" w:firstLine="444"/>
        <w:spacing w:after="0" w:line="259"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78" w:lineRule="exact"/>
        <w:rPr>
          <w:rFonts w:ascii="Arial" w:cs="Arial" w:eastAsia="Arial" w:hAnsi="Arial"/>
          <w:sz w:val="18"/>
          <w:szCs w:val="18"/>
          <w:color w:val="auto"/>
        </w:rPr>
      </w:pPr>
    </w:p>
    <w:p>
      <w:pPr>
        <w:ind w:firstLine="444"/>
        <w:spacing w:after="0" w:line="264" w:lineRule="auto"/>
        <w:tabs>
          <w:tab w:leader="none" w:pos="6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an opinion of an attorney on the Legal Staff of the Company, dated the Closing Date, to the effect set forth in Exhibit A-1, and (ii) a Rule 10b-5 statement of an attorney on the Legal Staff of the Company, dated the Closing Date, to the effect set forth in Exhibit A-2.</w:t>
      </w:r>
    </w:p>
    <w:p>
      <w:pPr>
        <w:spacing w:after="0" w:line="73" w:lineRule="exact"/>
        <w:rPr>
          <w:rFonts w:ascii="Arial" w:cs="Arial" w:eastAsia="Arial" w:hAnsi="Arial"/>
          <w:sz w:val="18"/>
          <w:szCs w:val="18"/>
          <w:color w:val="auto"/>
        </w:rPr>
      </w:pPr>
    </w:p>
    <w:p>
      <w:pPr>
        <w:ind w:right="220" w:firstLine="444"/>
        <w:spacing w:after="0" w:line="308" w:lineRule="auto"/>
        <w:tabs>
          <w:tab w:leader="none" w:pos="68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Representatives shall have received on the Closing Date (i) an opinion of counsel for the Company, dated the Closing Date, to the effect set forth in Exhibit A-3 and (ii) a tax opinion of counsel for the Company, dated the Closing Date, to the effect set forth in Exhibit A-4.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 w:name="page9"/>
    <w:bookmarkEnd w:id="8"/>
    <w:p>
      <w:pPr>
        <w:ind w:left="-40" w:right="160" w:firstLine="444"/>
        <w:spacing w:after="0" w:line="264" w:lineRule="auto"/>
        <w:tabs>
          <w:tab w:leader="none" w:pos="625"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73" w:lineRule="exact"/>
        <w:rPr>
          <w:rFonts w:ascii="Arial" w:cs="Arial" w:eastAsia="Arial" w:hAnsi="Arial"/>
          <w:sz w:val="18"/>
          <w:szCs w:val="18"/>
          <w:color w:val="auto"/>
        </w:rPr>
      </w:pPr>
    </w:p>
    <w:p>
      <w:pPr>
        <w:ind w:left="-40" w:right="100" w:firstLine="444"/>
        <w:spacing w:after="0" w:line="264"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shall have received on each of the date hereof and the Closing Date customary “comfort letters,” dated the date hereof or the Closing Date, as the case may be, in form and substance reasonably satisfactory to the Representatives, from each of Deloitte &amp; Touche LLP and Ernst &amp; Young LLP.</w:t>
      </w:r>
    </w:p>
    <w:p>
      <w:pPr>
        <w:spacing w:after="0" w:line="73" w:lineRule="exact"/>
        <w:rPr>
          <w:rFonts w:ascii="Arial" w:cs="Arial" w:eastAsia="Arial" w:hAnsi="Arial"/>
          <w:sz w:val="18"/>
          <w:szCs w:val="18"/>
          <w:color w:val="auto"/>
        </w:rPr>
      </w:pPr>
    </w:p>
    <w:p>
      <w:pPr>
        <w:ind w:left="-40" w:right="220" w:firstLine="444"/>
        <w:spacing w:after="0" w:line="277"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duly executed copies of the Indenture and (ii) specimen copies of the global notes representing the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0" w:right="20" w:firstLine="444"/>
        <w:spacing w:after="0" w:line="291" w:lineRule="auto"/>
        <w:tabs>
          <w:tab w:leader="none" w:pos="64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furnish the Representatives,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Securities (including in circumstances where such requirement may be satisfied pursuant to Rule 172)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as many copies of the Disclosure Package, the Prospectus, any Permitted Free Writing Prospectuses, any documents incorporated by reference therein and any supplements and amendments thereto, as applicable, in all cases as the Representatives may reasonably request.</w:t>
      </w:r>
    </w:p>
    <w:p>
      <w:pPr>
        <w:spacing w:after="0" w:line="59" w:lineRule="exact"/>
        <w:rPr>
          <w:rFonts w:ascii="Arial" w:cs="Arial" w:eastAsia="Arial" w:hAnsi="Arial"/>
          <w:sz w:val="16"/>
          <w:szCs w:val="16"/>
          <w:color w:val="auto"/>
        </w:rPr>
      </w:pPr>
    </w:p>
    <w:p>
      <w:pPr>
        <w:ind w:left="-40" w:firstLine="444"/>
        <w:spacing w:after="0" w:line="279" w:lineRule="auto"/>
        <w:tabs>
          <w:tab w:leader="none" w:pos="656"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Representatives a copy of each such proposed amendment or supplement, and (y) to notify the Representatives as promptly as practicable of the filing with the Commission of any such amendment or supplement to the Registration Statement, the Disclosure Package or the Prospectus.</w:t>
      </w:r>
    </w:p>
    <w:p>
      <w:pPr>
        <w:spacing w:after="0" w:line="63" w:lineRule="exact"/>
        <w:rPr>
          <w:rFonts w:ascii="Arial" w:cs="Arial" w:eastAsia="Arial" w:hAnsi="Arial"/>
          <w:sz w:val="17"/>
          <w:szCs w:val="17"/>
          <w:color w:val="auto"/>
        </w:rPr>
      </w:pPr>
    </w:p>
    <w:p>
      <w:pPr>
        <w:ind w:left="-40" w:right="20" w:firstLine="444"/>
        <w:spacing w:after="0" w:line="273" w:lineRule="auto"/>
        <w:tabs>
          <w:tab w:leader="none" w:pos="64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furnish to the Representatives, upon written request, copies of each amendment and supplement to the Registration Statement, the Disclosure Package or the Prospectus (including by way of filing with the Commission any documents incorporated by reference therein), in such quantities as the Representatives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light of the circumstances under which they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4" w:right="459" w:bottom="1440" w:gutter="0" w:footer="0" w:header="0"/>
        </w:sectPr>
      </w:pPr>
    </w:p>
    <w:bookmarkStart w:id="9" w:name="page10"/>
    <w:bookmarkEnd w:id="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70" w:lineRule="exact"/>
        <w:rPr>
          <w:sz w:val="20"/>
          <w:szCs w:val="20"/>
          <w:color w:val="auto"/>
        </w:rPr>
      </w:pPr>
    </w:p>
    <w:p>
      <w:pPr>
        <w:ind w:right="120" w:firstLine="444"/>
        <w:spacing w:after="0" w:line="308" w:lineRule="auto"/>
        <w:tabs>
          <w:tab w:leader="none" w:pos="696"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38" w:lineRule="exact"/>
        <w:rPr>
          <w:rFonts w:ascii="Arial" w:cs="Arial" w:eastAsia="Arial" w:hAnsi="Arial"/>
          <w:sz w:val="17"/>
          <w:szCs w:val="17"/>
          <w:color w:val="auto"/>
        </w:rPr>
      </w:pPr>
    </w:p>
    <w:p>
      <w:pPr>
        <w:ind w:firstLine="444"/>
        <w:spacing w:after="0" w:line="255"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use its reasonable best efforts to cooperate with the Underwriters and their counsel in connection with the qualification or registration of the Securities for offer and sale under the securities or “Blue Sky” laws of such jurisdictions as the Representatives may reasonably request and to maintain such qualification in effect for as long as may be necessary to complete the sale of the Securities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connection therewith the Company shall not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85" w:lineRule="exact"/>
        <w:rPr>
          <w:rFonts w:ascii="Arial" w:cs="Arial" w:eastAsia="Arial" w:hAnsi="Arial"/>
          <w:sz w:val="18"/>
          <w:szCs w:val="18"/>
          <w:color w:val="auto"/>
        </w:rPr>
      </w:pPr>
    </w:p>
    <w:p>
      <w:pPr>
        <w:ind w:right="100" w:firstLine="444"/>
        <w:spacing w:after="0" w:line="270" w:lineRule="auto"/>
        <w:tabs>
          <w:tab w:leader="none" w:pos="6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will as promptly as practicable notify the Representatives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Securities, or having the effect of ceasing or suspending trading in the Securities, and, if any such order is issued, will use its reasonable best efforts as soon as practicable to obtain the withdrawal thereof.</w:t>
      </w:r>
    </w:p>
    <w:p>
      <w:pPr>
        <w:spacing w:after="0" w:line="73" w:lineRule="exact"/>
        <w:rPr>
          <w:rFonts w:ascii="Arial" w:cs="Arial" w:eastAsia="Arial" w:hAnsi="Arial"/>
          <w:sz w:val="17"/>
          <w:szCs w:val="17"/>
          <w:color w:val="auto"/>
        </w:rPr>
      </w:pPr>
    </w:p>
    <w:p>
      <w:pPr>
        <w:jc w:val="both"/>
        <w:ind w:right="580" w:firstLine="444"/>
        <w:spacing w:after="0" w:line="264" w:lineRule="auto"/>
        <w:tabs>
          <w:tab w:leader="none" w:pos="6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jc w:val="both"/>
        <w:ind w:firstLine="444"/>
        <w:spacing w:after="0" w:line="312" w:lineRule="auto"/>
        <w:tabs>
          <w:tab w:leader="none" w:pos="69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prior written consent of the Representatives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38" w:lineRule="exact"/>
        <w:rPr>
          <w:rFonts w:ascii="Arial" w:cs="Arial" w:eastAsia="Arial" w:hAnsi="Arial"/>
          <w:sz w:val="16"/>
          <w:szCs w:val="16"/>
          <w:color w:val="auto"/>
        </w:rPr>
      </w:pPr>
    </w:p>
    <w:p>
      <w:pPr>
        <w:ind w:right="40" w:firstLine="444"/>
        <w:spacing w:after="0" w:line="279" w:lineRule="auto"/>
        <w:tabs>
          <w:tab w:leader="none" w:pos="6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25" w:lineRule="exact"/>
        <w:rPr>
          <w:sz w:val="20"/>
          <w:szCs w:val="20"/>
          <w:color w:val="auto"/>
        </w:rPr>
      </w:pPr>
    </w:p>
    <w:p>
      <w:pPr>
        <w:ind w:left="680" w:hanging="23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200" w:firstLine="428"/>
        <w:spacing w:after="0" w:line="257" w:lineRule="auto"/>
        <w:tabs>
          <w:tab w:leader="none" w:pos="1128" w:val="left"/>
        </w:tabs>
        <w:numPr>
          <w:ilvl w:val="1"/>
          <w:numId w:val="8"/>
        </w:numPr>
        <w:rPr>
          <w:rFonts w:ascii="Arial" w:cs="Arial" w:eastAsia="Arial" w:hAnsi="Arial"/>
          <w:sz w:val="18"/>
          <w:szCs w:val="18"/>
          <w:color w:val="auto"/>
        </w:rPr>
      </w:pPr>
      <w:r>
        <w:rPr>
          <w:rFonts w:ascii="Arial" w:cs="Arial" w:eastAsia="Arial" w:hAnsi="Arial"/>
          <w:sz w:val="18"/>
          <w:szCs w:val="18"/>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b w:val="1"/>
          <w:bCs w:val="1"/>
          <w:color w:val="auto"/>
        </w:rPr>
        <w:t>FSMA</w:t>
      </w:r>
      <w:r>
        <w:rPr>
          <w:rFonts w:ascii="Arial" w:cs="Arial" w:eastAsia="Arial" w:hAnsi="Arial"/>
          <w:sz w:val="18"/>
          <w:szCs w:val="18"/>
          <w:color w:val="auto"/>
        </w:rPr>
        <w:t>”)) received by it in connection with the issue or sale of any Securities in circumstances in which Section 21(1) of the FSMA does not apply to the Company; and (B) it has complied and will comply with all applicable provisions of the FSMA with respect to anything done by it in relation to any Securities in, from or otherwise involving the United Kingdom;</w:t>
      </w:r>
    </w:p>
    <w:p>
      <w:pPr>
        <w:spacing w:after="0" w:line="80" w:lineRule="exact"/>
        <w:rPr>
          <w:rFonts w:ascii="Arial" w:cs="Arial" w:eastAsia="Arial" w:hAnsi="Arial"/>
          <w:sz w:val="18"/>
          <w:szCs w:val="18"/>
          <w:color w:val="auto"/>
        </w:rPr>
      </w:pPr>
    </w:p>
    <w:p>
      <w:pPr>
        <w:ind w:left="1180" w:hanging="312"/>
        <w:spacing w:after="0"/>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it has not offered or sold and will not offer or sell in Hong Kong, by means of any document, any Securities other than (i) to</w:t>
      </w:r>
    </w:p>
    <w:p>
      <w:pPr>
        <w:spacing w:after="0" w:line="35" w:lineRule="exact"/>
        <w:rPr>
          <w:sz w:val="20"/>
          <w:szCs w:val="20"/>
          <w:color w:val="auto"/>
        </w:rPr>
      </w:pPr>
    </w:p>
    <w:p>
      <w:pPr>
        <w:ind w:left="440" w:right="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professional investors</w:t>
      </w:r>
      <w:r>
        <w:rPr>
          <w:rFonts w:ascii="Arial" w:cs="Arial" w:eastAsia="Arial" w:hAnsi="Arial"/>
          <w:sz w:val="17"/>
          <w:szCs w:val="17"/>
          <w:color w:val="auto"/>
        </w:rPr>
        <w:t>” as defined in the Securities and Futures Ordinance (Cap. 571) of Hong Kong and any rules made under that Ordinance, or (ii) in other circumstances which do not result in the document being a “</w:t>
      </w:r>
      <w:r>
        <w:rPr>
          <w:rFonts w:ascii="Arial" w:cs="Arial" w:eastAsia="Arial" w:hAnsi="Arial"/>
          <w:sz w:val="17"/>
          <w:szCs w:val="17"/>
          <w:b w:val="1"/>
          <w:bCs w:val="1"/>
          <w:color w:val="auto"/>
        </w:rPr>
        <w:t>prospectus</w:t>
      </w:r>
      <w:r>
        <w:rPr>
          <w:rFonts w:ascii="Arial" w:cs="Arial" w:eastAsia="Arial" w:hAnsi="Arial"/>
          <w:sz w:val="17"/>
          <w:szCs w:val="17"/>
          <w:color w:val="auto"/>
        </w:rPr>
        <w:t>”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 w:name="page12"/>
    <w:bookmarkEnd w:id="11"/>
    <w:p>
      <w:pPr>
        <w:ind w:right="120" w:firstLine="428"/>
        <w:spacing w:after="0" w:line="274" w:lineRule="auto"/>
        <w:tabs>
          <w:tab w:leader="none" w:pos="728"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have not been and will not be registered under the Financial Instruments and Exchange Law of Japan (the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Instruments and Exchange Law</w:t>
      </w:r>
      <w:r>
        <w:rPr>
          <w:rFonts w:ascii="Arial" w:cs="Arial" w:eastAsia="Arial" w:hAnsi="Arial"/>
          <w:sz w:val="17"/>
          <w:szCs w:val="17"/>
          <w:color w:val="auto"/>
        </w:rPr>
        <w:t>”) and each Underwriter has agreed that it will not offer or sell any Securities, directly or indirectly, in Japan or</w:t>
      </w:r>
      <w:r>
        <w:rPr>
          <w:rFonts w:ascii="Arial" w:cs="Arial" w:eastAsia="Arial" w:hAnsi="Arial"/>
          <w:sz w:val="17"/>
          <w:szCs w:val="17"/>
          <w:b w:val="1"/>
          <w:bCs w:val="1"/>
          <w:color w:val="auto"/>
        </w:rPr>
        <w:t xml:space="preserve"> </w:t>
      </w:r>
      <w:r>
        <w:rPr>
          <w:rFonts w:ascii="Arial" w:cs="Arial" w:eastAsia="Arial" w:hAnsi="Arial"/>
          <w:sz w:val="17"/>
          <w:szCs w:val="17"/>
          <w:color w:val="auto"/>
        </w:rPr>
        <w:t>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69" w:lineRule="exact"/>
        <w:rPr>
          <w:rFonts w:ascii="Arial" w:cs="Arial" w:eastAsia="Arial" w:hAnsi="Arial"/>
          <w:sz w:val="17"/>
          <w:szCs w:val="17"/>
          <w:color w:val="auto"/>
        </w:rPr>
      </w:pPr>
    </w:p>
    <w:p>
      <w:pPr>
        <w:ind w:firstLine="428"/>
        <w:spacing w:after="0" w:line="268" w:lineRule="auto"/>
        <w:tabs>
          <w:tab w:leader="none" w:pos="678"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(B) to a relevant person,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Securities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77" w:lineRule="exact"/>
        <w:rPr>
          <w:rFonts w:ascii="Arial" w:cs="Arial" w:eastAsia="Arial" w:hAnsi="Arial"/>
          <w:sz w:val="17"/>
          <w:szCs w:val="17"/>
          <w:color w:val="auto"/>
        </w:rPr>
      </w:pPr>
    </w:p>
    <w:p>
      <w:pPr>
        <w:ind w:left="260" w:hanging="256"/>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firstLine="428"/>
        <w:spacing w:after="0" w:line="257" w:lineRule="auto"/>
        <w:tabs>
          <w:tab w:leader="none" w:pos="638" w:val="left"/>
        </w:tabs>
        <w:numPr>
          <w:ilvl w:val="1"/>
          <w:numId w:val="10"/>
        </w:numPr>
        <w:rPr>
          <w:rFonts w:ascii="Arial" w:cs="Arial" w:eastAsia="Arial" w:hAnsi="Arial"/>
          <w:sz w:val="18"/>
          <w:szCs w:val="18"/>
          <w:color w:val="auto"/>
        </w:rPr>
      </w:pPr>
      <w:r>
        <w:rPr>
          <w:rFonts w:ascii="Arial" w:cs="Arial" w:eastAsia="Arial" w:hAnsi="Arial"/>
          <w:sz w:val="18"/>
          <w:szCs w:val="18"/>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0" w:right="439" w:bottom="1440" w:gutter="0" w:footer="0" w:header="0"/>
        </w:sectPr>
      </w:pPr>
    </w:p>
    <w:bookmarkStart w:id="12" w:name="page13"/>
    <w:bookmarkEnd w:id="12"/>
    <w:p>
      <w:pPr>
        <w:ind w:left="420" w:firstLine="428"/>
        <w:spacing w:after="0" w:line="286" w:lineRule="auto"/>
        <w:tabs>
          <w:tab w:leader="none" w:pos="1108"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w:t>
      </w:r>
    </w:p>
    <w:p>
      <w:pPr>
        <w:spacing w:after="0" w:line="1" w:lineRule="exact"/>
        <w:rPr>
          <w:rFonts w:ascii="Arial" w:cs="Arial" w:eastAsia="Arial" w:hAnsi="Arial"/>
          <w:sz w:val="16"/>
          <w:szCs w:val="16"/>
          <w:color w:val="auto"/>
        </w:rPr>
      </w:pPr>
    </w:p>
    <w:p>
      <w:pPr>
        <w:ind w:left="420" w:right="40" w:firstLine="4"/>
        <w:spacing w:after="0" w:line="253"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83" w:lineRule="exact"/>
        <w:rPr>
          <w:rFonts w:ascii="Arial" w:cs="Arial" w:eastAsia="Arial" w:hAnsi="Arial"/>
          <w:sz w:val="18"/>
          <w:szCs w:val="18"/>
          <w:color w:val="auto"/>
        </w:rPr>
      </w:pPr>
    </w:p>
    <w:p>
      <w:pPr>
        <w:ind w:left="420" w:right="600" w:firstLine="428"/>
        <w:spacing w:after="0" w:line="342" w:lineRule="auto"/>
        <w:tabs>
          <w:tab w:leader="none" w:pos="1158"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none of the Company or any Underwriter shall have any responsibility for determining what compliance is necessary by any Underwriter or any other Underwriter or for the Underwriters or any other Underwriter obtaining such consents, approvals or permissions;</w:t>
      </w:r>
    </w:p>
    <w:p>
      <w:pPr>
        <w:spacing w:after="0" w:line="15" w:lineRule="exact"/>
        <w:rPr>
          <w:rFonts w:ascii="Arial" w:cs="Arial" w:eastAsia="Arial" w:hAnsi="Arial"/>
          <w:sz w:val="16"/>
          <w:szCs w:val="16"/>
          <w:color w:val="auto"/>
        </w:rPr>
      </w:pPr>
    </w:p>
    <w:p>
      <w:pPr>
        <w:ind w:left="1160" w:hanging="312"/>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 will take no action that will impose any obligations on the Company or the other Underwriters; and</w:t>
      </w:r>
    </w:p>
    <w:p>
      <w:pPr>
        <w:spacing w:after="0" w:line="117" w:lineRule="exact"/>
        <w:rPr>
          <w:rFonts w:ascii="Arial" w:cs="Arial" w:eastAsia="Arial" w:hAnsi="Arial"/>
          <w:sz w:val="18"/>
          <w:szCs w:val="18"/>
          <w:color w:val="auto"/>
        </w:rPr>
      </w:pPr>
    </w:p>
    <w:p>
      <w:pPr>
        <w:ind w:left="420" w:right="40" w:firstLine="428"/>
        <w:spacing w:after="0" w:line="259"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represents and warrants to each of the several Underwriters that:</w:t>
      </w:r>
    </w:p>
    <w:p>
      <w:pPr>
        <w:spacing w:after="0" w:line="117" w:lineRule="exact"/>
        <w:rPr>
          <w:sz w:val="20"/>
          <w:szCs w:val="20"/>
          <w:color w:val="auto"/>
        </w:rPr>
      </w:pPr>
    </w:p>
    <w:p>
      <w:pPr>
        <w:ind w:left="-20" w:right="20" w:firstLine="444"/>
        <w:spacing w:after="0" w:line="264" w:lineRule="auto"/>
        <w:tabs>
          <w:tab w:leader="none" w:pos="6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73" w:lineRule="exact"/>
        <w:rPr>
          <w:rFonts w:ascii="Arial" w:cs="Arial" w:eastAsia="Arial" w:hAnsi="Arial"/>
          <w:sz w:val="18"/>
          <w:szCs w:val="18"/>
          <w:color w:val="auto"/>
        </w:rPr>
      </w:pPr>
    </w:p>
    <w:p>
      <w:pPr>
        <w:ind w:left="-20" w:right="600" w:firstLine="444"/>
        <w:spacing w:after="0" w:line="277" w:lineRule="auto"/>
        <w:tabs>
          <w:tab w:leader="none" w:pos="6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left="-20" w:right="120" w:firstLine="444"/>
        <w:spacing w:after="0" w:line="264" w:lineRule="auto"/>
        <w:tabs>
          <w:tab w:leader="none" w:pos="6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13" w:name="page14"/>
    <w:bookmarkEnd w:id="13"/>
    <w:p>
      <w:pPr>
        <w:ind w:right="60" w:firstLine="444"/>
        <w:spacing w:after="0" w:line="279" w:lineRule="auto"/>
        <w:tabs>
          <w:tab w:leader="none" w:pos="696"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light of the circumstances under which they were made, not misleading.</w:t>
      </w:r>
    </w:p>
    <w:p>
      <w:pPr>
        <w:spacing w:after="0" w:line="63" w:lineRule="exact"/>
        <w:rPr>
          <w:rFonts w:ascii="Arial" w:cs="Arial" w:eastAsia="Arial" w:hAnsi="Arial"/>
          <w:sz w:val="17"/>
          <w:szCs w:val="17"/>
          <w:color w:val="auto"/>
        </w:rPr>
      </w:pPr>
    </w:p>
    <w:p>
      <w:pPr>
        <w:jc w:val="both"/>
        <w:ind w:right="180" w:firstLine="444"/>
        <w:spacing w:after="0" w:line="312"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Permitted Free Writing Prospectus, if any, when considered together with the Disclosure Package, and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right="40" w:firstLine="444"/>
        <w:spacing w:after="0" w:line="302" w:lineRule="auto"/>
        <w:tabs>
          <w:tab w:leader="none" w:pos="6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46" w:lineRule="exact"/>
        <w:rPr>
          <w:rFonts w:ascii="Arial" w:cs="Arial" w:eastAsia="Arial" w:hAnsi="Arial"/>
          <w:sz w:val="16"/>
          <w:szCs w:val="16"/>
          <w:color w:val="auto"/>
        </w:rPr>
      </w:pPr>
    </w:p>
    <w:p>
      <w:pPr>
        <w:ind w:firstLine="444"/>
        <w:spacing w:after="0" w:line="264"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8"/>
          <w:szCs w:val="18"/>
          <w:b w:val="1"/>
          <w:bCs w:val="1"/>
          <w:color w:val="auto"/>
        </w:rPr>
        <w:t>Trust Indenture Act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60" w:firstLine="444"/>
        <w:spacing w:after="0" w:line="264"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73" w:lineRule="exact"/>
        <w:rPr>
          <w:rFonts w:ascii="Arial" w:cs="Arial" w:eastAsia="Arial" w:hAnsi="Arial"/>
          <w:sz w:val="18"/>
          <w:szCs w:val="18"/>
          <w:color w:val="auto"/>
        </w:rPr>
      </w:pPr>
    </w:p>
    <w:p>
      <w:pPr>
        <w:ind w:right="40" w:firstLine="444"/>
        <w:spacing w:after="0" w:line="255"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for (i) any document not constituting a prospectus pursuant to Section 2(a)(10)(a) of the Securities Act or Rule 134 under the Securities Act, (ii) the Preliminary Prospectus, (iii) the Prospectus, (iv) the Permitted Free Writing Prospectuses identified in Schedule II hereto and (v) the electronic road show slides and accompanying audio recording, if any, furnished to you before first use (any such slides or audio recording,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Written Offering Communication</w:t>
      </w:r>
      <w:r>
        <w:rPr>
          <w:rFonts w:ascii="Arial" w:cs="Arial" w:eastAsia="Arial" w:hAnsi="Arial"/>
          <w:sz w:val="18"/>
          <w:szCs w:val="18"/>
          <w:color w:val="auto"/>
        </w:rPr>
        <w:t>”), the Company has not prepared, used or referred to, and will not, without your prior consent, prepare, use or refer</w:t>
      </w:r>
      <w:r>
        <w:rPr>
          <w:rFonts w:ascii="Arial" w:cs="Arial" w:eastAsia="Arial" w:hAnsi="Arial"/>
          <w:sz w:val="18"/>
          <w:szCs w:val="18"/>
          <w:b w:val="1"/>
          <w:bCs w:val="1"/>
          <w:color w:val="auto"/>
        </w:rPr>
        <w:t xml:space="preserve"> </w:t>
      </w:r>
      <w:r>
        <w:rPr>
          <w:rFonts w:ascii="Arial" w:cs="Arial" w:eastAsia="Arial" w:hAnsi="Arial"/>
          <w:sz w:val="18"/>
          <w:szCs w:val="18"/>
          <w:color w:val="auto"/>
        </w:rPr>
        <w:t>to, any “written communication” (as defined in Rule 405 under the Securities Act) that constitutes an offer to sell or solicitation of an offer to buy the Securities.</w:t>
      </w:r>
    </w:p>
    <w:p>
      <w:pPr>
        <w:spacing w:after="0" w:line="193" w:lineRule="exact"/>
        <w:rPr>
          <w:sz w:val="20"/>
          <w:szCs w:val="20"/>
          <w:color w:val="auto"/>
        </w:rPr>
      </w:pPr>
    </w:p>
    <w:p>
      <w:pPr>
        <w:jc w:val="both"/>
        <w:ind w:right="160" w:firstLine="441"/>
        <w:spacing w:after="0" w:line="259" w:lineRule="auto"/>
        <w:rPr>
          <w:sz w:val="20"/>
          <w:szCs w:val="20"/>
          <w:color w:val="auto"/>
        </w:rPr>
      </w:pPr>
      <w:r>
        <w:rPr>
          <w:rFonts w:ascii="Arial" w:cs="Arial" w:eastAsia="Arial" w:hAnsi="Arial"/>
          <w:sz w:val="18"/>
          <w:szCs w:val="18"/>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furnished to the Company in writing by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79" w:lineRule="exact"/>
        <w:rPr>
          <w:sz w:val="20"/>
          <w:szCs w:val="20"/>
          <w:color w:val="auto"/>
        </w:rPr>
      </w:pPr>
    </w:p>
    <w:p>
      <w:pPr>
        <w:ind w:right="40" w:firstLine="444"/>
        <w:spacing w:after="0" w:line="291" w:lineRule="auto"/>
        <w:tabs>
          <w:tab w:leader="none" w:pos="6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59" w:lineRule="exact"/>
        <w:rPr>
          <w:rFonts w:ascii="Arial" w:cs="Arial" w:eastAsia="Arial" w:hAnsi="Arial"/>
          <w:sz w:val="16"/>
          <w:szCs w:val="16"/>
          <w:color w:val="auto"/>
        </w:rPr>
      </w:pPr>
    </w:p>
    <w:p>
      <w:pPr>
        <w:ind w:firstLine="444"/>
        <w:spacing w:after="0" w:line="286" w:lineRule="auto"/>
        <w:tabs>
          <w:tab w:leader="none" w:pos="6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or the grant and/or exercise of options or other equity-based awards under existing equity incentive plans described in the Registration Statement, the Disclosure Package or the Prospectus), or long-term debt of the Company or any of the subsidiaries of the Company listed on Schedule III hereto (the “</w:t>
      </w:r>
      <w:r>
        <w:rPr>
          <w:rFonts w:ascii="Arial" w:cs="Arial" w:eastAsia="Arial" w:hAnsi="Arial"/>
          <w:sz w:val="16"/>
          <w:szCs w:val="16"/>
          <w:b w:val="1"/>
          <w:bCs w:val="1"/>
          <w:color w:val="auto"/>
        </w:rPr>
        <w:t>Subsidiaries</w:t>
      </w:r>
      <w:r>
        <w:rPr>
          <w:rFonts w:ascii="Arial" w:cs="Arial" w:eastAsia="Arial" w:hAnsi="Arial"/>
          <w:sz w:val="16"/>
          <w:szCs w:val="16"/>
          <w:color w:val="auto"/>
        </w:rPr>
        <w:t>”), or any dividend or distribution of any kind declared, set aside for payment, paid or made by the Company on any class of capital stock (other than regular quarterly dividends on the Company’s common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63" w:lineRule="exact"/>
        <w:rPr>
          <w:rFonts w:ascii="Arial" w:cs="Arial" w:eastAsia="Arial" w:hAnsi="Arial"/>
          <w:sz w:val="16"/>
          <w:szCs w:val="16"/>
          <w:color w:val="auto"/>
        </w:rPr>
      </w:pPr>
    </w:p>
    <w:p>
      <w:pPr>
        <w:ind w:right="20" w:firstLine="444"/>
        <w:spacing w:after="0" w:line="259" w:lineRule="auto"/>
        <w:tabs>
          <w:tab w:leader="none" w:pos="6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 w:name="page16"/>
    <w:bookmarkEnd w:id="15"/>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50" w:lineRule="exact"/>
        <w:rPr>
          <w:sz w:val="20"/>
          <w:szCs w:val="20"/>
          <w:color w:val="auto"/>
        </w:rPr>
      </w:pPr>
    </w:p>
    <w:p>
      <w:pPr>
        <w:ind w:firstLine="444"/>
        <w:spacing w:after="0" w:line="291" w:lineRule="auto"/>
        <w:tabs>
          <w:tab w:leader="none" w:pos="7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59" w:lineRule="exact"/>
        <w:rPr>
          <w:rFonts w:ascii="Arial" w:cs="Arial" w:eastAsia="Arial" w:hAnsi="Arial"/>
          <w:sz w:val="16"/>
          <w:szCs w:val="16"/>
          <w:color w:val="auto"/>
        </w:rPr>
      </w:pPr>
    </w:p>
    <w:p>
      <w:pPr>
        <w:ind w:firstLine="444"/>
        <w:spacing w:after="0" w:line="290" w:lineRule="auto"/>
        <w:tabs>
          <w:tab w:leader="none" w:pos="6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58" w:lineRule="exact"/>
        <w:rPr>
          <w:rFonts w:ascii="Arial" w:cs="Arial" w:eastAsia="Arial" w:hAnsi="Arial"/>
          <w:sz w:val="16"/>
          <w:szCs w:val="16"/>
          <w:color w:val="auto"/>
        </w:rPr>
      </w:pPr>
    </w:p>
    <w:p>
      <w:pPr>
        <w:ind w:right="60" w:firstLine="444"/>
        <w:spacing w:after="0" w:line="257" w:lineRule="auto"/>
        <w:tabs>
          <w:tab w:leader="none" w:pos="6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each of this Agreement, the Indenture and the Securities, do not and will not contravene or violate (i) any provision of applicable law, (ii) the certificate of incorporation or by-laws of the Company, (iii) any indenture, mortgage or other agreement or instrument binding upon the Company or any of its Subsidiaries that is material to the Company and its subsidiaries, taken as a whole, or (iv) any judgment, order or decree of any governmental body, agency or court having jurisdiction over the Company or any Subsidiary.</w:t>
      </w:r>
    </w:p>
    <w:p>
      <w:pPr>
        <w:spacing w:after="0" w:line="80" w:lineRule="exact"/>
        <w:rPr>
          <w:rFonts w:ascii="Arial" w:cs="Arial" w:eastAsia="Arial" w:hAnsi="Arial"/>
          <w:sz w:val="18"/>
          <w:szCs w:val="18"/>
          <w:color w:val="auto"/>
        </w:rPr>
      </w:pPr>
    </w:p>
    <w:p>
      <w:pPr>
        <w:ind w:right="60" w:firstLine="444"/>
        <w:spacing w:after="0" w:line="264" w:lineRule="auto"/>
        <w:tabs>
          <w:tab w:leader="none" w:pos="6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 Company of its obligations under this Agreement, the Indenture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other than (i) the registration of the Securities under the Securities Act, (ii) the qualification of the Indenture under the Trust Indenture Act,</w:t>
      </w:r>
    </w:p>
    <w:p>
      <w:pPr>
        <w:spacing w:after="0" w:line="46" w:lineRule="exact"/>
        <w:rPr>
          <w:sz w:val="20"/>
          <w:szCs w:val="20"/>
          <w:color w:val="auto"/>
        </w:rPr>
      </w:pPr>
    </w:p>
    <w:p>
      <w:pPr>
        <w:ind w:right="80" w:firstLine="4"/>
        <w:spacing w:after="0" w:line="261"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securities or “Blue Sky” laws of various jurisdictions, (iv) those required by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or (v) those that have already been obtained.</w:t>
      </w:r>
    </w:p>
    <w:p>
      <w:pPr>
        <w:spacing w:after="0" w:line="75" w:lineRule="exact"/>
        <w:rPr>
          <w:rFonts w:ascii="Arial" w:cs="Arial" w:eastAsia="Arial" w:hAnsi="Arial"/>
          <w:sz w:val="18"/>
          <w:szCs w:val="18"/>
          <w:color w:val="auto"/>
        </w:rPr>
      </w:pPr>
    </w:p>
    <w:p>
      <w:pPr>
        <w:ind w:firstLine="444"/>
        <w:spacing w:after="0" w:line="257" w:lineRule="auto"/>
        <w:tabs>
          <w:tab w:leader="none" w:pos="6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right="20" w:firstLine="444"/>
        <w:spacing w:after="0" w:line="257" w:lineRule="auto"/>
        <w:tabs>
          <w:tab w:leader="none" w:pos="6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Fifth Supplemental Indenture and the Securities, the actual execution and delivery of such documents).</w:t>
      </w:r>
    </w:p>
    <w:p>
      <w:pPr>
        <w:spacing w:after="0" w:line="80" w:lineRule="exact"/>
        <w:rPr>
          <w:rFonts w:ascii="Arial" w:cs="Arial" w:eastAsia="Arial" w:hAnsi="Arial"/>
          <w:sz w:val="18"/>
          <w:szCs w:val="18"/>
          <w:color w:val="auto"/>
        </w:rPr>
      </w:pPr>
    </w:p>
    <w:p>
      <w:pPr>
        <w:ind w:right="180" w:firstLine="444"/>
        <w:spacing w:after="0" w:line="277" w:lineRule="auto"/>
        <w:tabs>
          <w:tab w:leader="none" w:pos="6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each of the Registration Statement, the Disclosure Package and the Prospectus.</w:t>
      </w:r>
    </w:p>
    <w:p>
      <w:pPr>
        <w:spacing w:after="0" w:line="62" w:lineRule="exact"/>
        <w:rPr>
          <w:rFonts w:ascii="Arial" w:cs="Arial" w:eastAsia="Arial" w:hAnsi="Arial"/>
          <w:sz w:val="18"/>
          <w:szCs w:val="18"/>
          <w:color w:val="auto"/>
        </w:rPr>
      </w:pPr>
    </w:p>
    <w:p>
      <w:pPr>
        <w:ind w:firstLine="444"/>
        <w:spacing w:after="0" w:line="257" w:lineRule="auto"/>
        <w:tabs>
          <w:tab w:leader="none" w:pos="65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80" w:lineRule="exact"/>
        <w:rPr>
          <w:rFonts w:ascii="Arial" w:cs="Arial" w:eastAsia="Arial" w:hAnsi="Arial"/>
          <w:sz w:val="18"/>
          <w:szCs w:val="18"/>
          <w:color w:val="auto"/>
        </w:rPr>
      </w:pPr>
    </w:p>
    <w:p>
      <w:pPr>
        <w:ind w:right="40" w:firstLine="444"/>
        <w:spacing w:after="0" w:line="302" w:lineRule="auto"/>
        <w:tabs>
          <w:tab w:leader="none" w:pos="696"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right="40" w:firstLine="444"/>
        <w:spacing w:after="0" w:line="255" w:lineRule="auto"/>
        <w:tabs>
          <w:tab w:leader="none" w:pos="736"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Fifth Supplemental Indenture will be, when executed and delivered by the Company and each other party thereto, a valid and binding agreement of the Company, enforceable in accordance with its terms, subject to applicable bankruptcy, insolvency and similar laws affecting creditors’ rights generally and equitable principles of general applicability.</w:t>
      </w:r>
    </w:p>
    <w:p>
      <w:pPr>
        <w:spacing w:after="0" w:line="85" w:lineRule="exact"/>
        <w:rPr>
          <w:rFonts w:ascii="Arial" w:cs="Arial" w:eastAsia="Arial" w:hAnsi="Arial"/>
          <w:sz w:val="18"/>
          <w:szCs w:val="18"/>
          <w:color w:val="auto"/>
        </w:rPr>
      </w:pPr>
    </w:p>
    <w:p>
      <w:pPr>
        <w:ind w:right="120" w:firstLine="444"/>
        <w:spacing w:after="0" w:line="312" w:lineRule="auto"/>
        <w:tabs>
          <w:tab w:leader="none" w:pos="6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38" w:lineRule="exact"/>
        <w:rPr>
          <w:rFonts w:ascii="Arial" w:cs="Arial" w:eastAsia="Arial" w:hAnsi="Arial"/>
          <w:sz w:val="16"/>
          <w:szCs w:val="16"/>
          <w:color w:val="auto"/>
        </w:rPr>
      </w:pPr>
    </w:p>
    <w:p>
      <w:pPr>
        <w:ind w:right="360" w:firstLine="444"/>
        <w:spacing w:after="0" w:line="264" w:lineRule="auto"/>
        <w:tabs>
          <w:tab w:leader="none" w:pos="6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w:t>
      </w:r>
    </w:p>
    <w:p>
      <w:pPr>
        <w:spacing w:after="0" w:line="73" w:lineRule="exact"/>
        <w:rPr>
          <w:rFonts w:ascii="Arial" w:cs="Arial" w:eastAsia="Arial" w:hAnsi="Arial"/>
          <w:sz w:val="18"/>
          <w:szCs w:val="18"/>
          <w:color w:val="auto"/>
        </w:rPr>
      </w:pPr>
    </w:p>
    <w:p>
      <w:pPr>
        <w:ind w:right="160" w:firstLine="444"/>
        <w:spacing w:after="0" w:line="293"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57" w:lineRule="exact"/>
        <w:rPr>
          <w:sz w:val="20"/>
          <w:szCs w:val="20"/>
          <w:color w:val="auto"/>
        </w:rPr>
      </w:pPr>
    </w:p>
    <w:p>
      <w:pPr>
        <w:ind w:right="520" w:firstLine="444"/>
        <w:spacing w:after="0" w:line="264"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73" w:lineRule="exact"/>
        <w:rPr>
          <w:rFonts w:ascii="Arial" w:cs="Arial" w:eastAsia="Arial" w:hAnsi="Arial"/>
          <w:sz w:val="18"/>
          <w:szCs w:val="18"/>
          <w:color w:val="auto"/>
        </w:rPr>
      </w:pPr>
    </w:p>
    <w:p>
      <w:pPr>
        <w:ind w:firstLine="444"/>
        <w:spacing w:after="0" w:line="271" w:lineRule="auto"/>
        <w:tabs>
          <w:tab w:leader="none" w:pos="78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would not give rise to any material liabilities under Environmental Laws, the Company represents to the best of its knowledge and belief that: (i) the Company and its Subsidiaries are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 “</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7"/>
          <w:szCs w:val="17"/>
          <w:b w:val="1"/>
          <w:bCs w:val="1"/>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dispersing, or migrating in, into or through the environment.</w:t>
      </w:r>
    </w:p>
    <w:p>
      <w:pPr>
        <w:spacing w:after="0" w:line="70" w:lineRule="exact"/>
        <w:rPr>
          <w:sz w:val="20"/>
          <w:szCs w:val="20"/>
          <w:color w:val="auto"/>
        </w:rPr>
      </w:pPr>
    </w:p>
    <w:p>
      <w:pPr>
        <w:ind w:right="20" w:firstLine="444"/>
        <w:spacing w:after="0" w:line="267" w:lineRule="auto"/>
        <w:tabs>
          <w:tab w:leader="none" w:pos="7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any liability (other than a “multiemployer plan” within the meaning of Section 3(37) of ERISA)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 w:name="page20"/>
    <w:bookmarkEnd w:id="19"/>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73" w:lineRule="exact"/>
        <w:rPr>
          <w:sz w:val="20"/>
          <w:szCs w:val="20"/>
          <w:color w:val="auto"/>
        </w:rPr>
      </w:pPr>
    </w:p>
    <w:p>
      <w:pPr>
        <w:ind w:firstLine="444"/>
        <w:spacing w:after="0" w:line="284" w:lineRule="auto"/>
        <w:tabs>
          <w:tab w:leader="none" w:pos="7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0" w:name="page21"/>
    <w:bookmarkEnd w:id="20"/>
    <w:p>
      <w:pPr>
        <w:ind w:right="260" w:firstLine="444"/>
        <w:spacing w:after="0" w:line="264" w:lineRule="auto"/>
        <w:tabs>
          <w:tab w:leader="none" w:pos="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firstLine="444"/>
        <w:spacing w:after="0" w:line="253" w:lineRule="auto"/>
        <w:tabs>
          <w:tab w:leader="none" w:pos="7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89" w:lineRule="exact"/>
        <w:rPr>
          <w:rFonts w:ascii="Arial" w:cs="Arial" w:eastAsia="Arial" w:hAnsi="Arial"/>
          <w:sz w:val="18"/>
          <w:szCs w:val="18"/>
          <w:color w:val="auto"/>
        </w:rPr>
      </w:pPr>
    </w:p>
    <w:p>
      <w:pPr>
        <w:ind w:firstLine="444"/>
        <w:spacing w:after="0" w:line="291" w:lineRule="auto"/>
        <w:tabs>
          <w:tab w:leader="none" w:pos="7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with respect to the Anti-Money Laundering Laws is pending or, to the knowledge of the Company, threatened.</w:t>
      </w:r>
    </w:p>
    <w:p>
      <w:pPr>
        <w:spacing w:after="0" w:line="59" w:lineRule="exact"/>
        <w:rPr>
          <w:rFonts w:ascii="Arial" w:cs="Arial" w:eastAsia="Arial" w:hAnsi="Arial"/>
          <w:sz w:val="16"/>
          <w:szCs w:val="16"/>
          <w:color w:val="auto"/>
        </w:rPr>
      </w:pPr>
    </w:p>
    <w:p>
      <w:pPr>
        <w:ind w:right="40" w:firstLine="444"/>
        <w:spacing w:after="0" w:line="270" w:lineRule="auto"/>
        <w:tabs>
          <w:tab w:leader="none" w:pos="7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of any of its subsidiaries (i)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 the 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(ii) will, directly or indirectly, knowingly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 w:name="page22"/>
    <w:bookmarkEnd w:id="21"/>
    <w:p>
      <w:pPr>
        <w:ind w:right="20" w:firstLine="444"/>
        <w:spacing w:after="0" w:line="279" w:lineRule="auto"/>
        <w:tabs>
          <w:tab w:leader="none" w:pos="706"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7"/>
          <w:szCs w:val="17"/>
          <w:b w:val="1"/>
          <w:bCs w:val="1"/>
          <w:color w:val="auto"/>
        </w:rPr>
        <w:t>Sarbanes-Oxley Act</w:t>
      </w:r>
      <w:r>
        <w:rPr>
          <w:rFonts w:ascii="Arial" w:cs="Arial" w:eastAsia="Arial" w:hAnsi="Arial"/>
          <w:sz w:val="17"/>
          <w:szCs w:val="17"/>
          <w:color w:val="auto"/>
        </w:rPr>
        <w:t>”), including Section 402 related to loans and Sections 302 and 906 related to certifications.</w:t>
      </w:r>
    </w:p>
    <w:p>
      <w:pPr>
        <w:spacing w:after="0" w:line="63" w:lineRule="exact"/>
        <w:rPr>
          <w:rFonts w:ascii="Arial" w:cs="Arial" w:eastAsia="Arial" w:hAnsi="Arial"/>
          <w:sz w:val="17"/>
          <w:szCs w:val="17"/>
          <w:color w:val="auto"/>
        </w:rPr>
      </w:pPr>
    </w:p>
    <w:p>
      <w:pPr>
        <w:jc w:val="both"/>
        <w:ind w:firstLine="444"/>
        <w:spacing w:after="0" w:line="264"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1"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25" w:lineRule="exact"/>
        <w:rPr>
          <w:sz w:val="20"/>
          <w:szCs w:val="20"/>
          <w:color w:val="auto"/>
        </w:rPr>
      </w:pPr>
    </w:p>
    <w:p>
      <w:pPr>
        <w:ind w:right="140" w:firstLine="441"/>
        <w:spacing w:after="0" w:line="284" w:lineRule="auto"/>
        <w:rPr>
          <w:sz w:val="20"/>
          <w:szCs w:val="20"/>
          <w:color w:val="auto"/>
        </w:rPr>
      </w:pPr>
      <w:r>
        <w:rPr>
          <w:rFonts w:ascii="Arial" w:cs="Arial" w:eastAsia="Arial" w:hAnsi="Arial"/>
          <w:sz w:val="16"/>
          <w:szCs w:val="16"/>
          <w:color w:val="auto"/>
        </w:rPr>
        <w:t>Except as provided in Article XVI, 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subject to Article XVI hereof,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 the mailing and delivering of copies thereof to the Underwriters and dealers, in the quantities hereinabove specified,</w:t>
      </w:r>
    </w:p>
    <w:p>
      <w:pPr>
        <w:spacing w:after="0" w:line="1" w:lineRule="exact"/>
        <w:rPr>
          <w:sz w:val="20"/>
          <w:szCs w:val="20"/>
          <w:color w:val="auto"/>
        </w:rPr>
      </w:pPr>
    </w:p>
    <w:p>
      <w:pPr>
        <w:ind w:left="260" w:hanging="256"/>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costs and expenses related to the transfer and delivery of the Securities to the Underwriters, including any transfer or other taxes payable thereon,</w:t>
      </w:r>
    </w:p>
    <w:p>
      <w:pPr>
        <w:spacing w:after="0" w:line="32" w:lineRule="exact"/>
        <w:rPr>
          <w:rFonts w:ascii="Arial" w:cs="Arial" w:eastAsia="Arial" w:hAnsi="Arial"/>
          <w:sz w:val="16"/>
          <w:szCs w:val="16"/>
          <w:color w:val="auto"/>
        </w:rPr>
      </w:pPr>
    </w:p>
    <w:p>
      <w:pPr>
        <w:ind w:right="100" w:firstLine="4"/>
        <w:spacing w:after="0" w:line="287"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[RESERVED], (iv) [RESERVED], (v) any fees charged by rating agencies for the rating of the Securities, (vi) the cost of the preparation, issuance and delivery of the Securities, and the cost of printing certificates representing the Securities, (vii) 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any advertising expenses connected with any offers they may make and their own costs and expenses relating to investor presentations and road show presentations, including travel and lodging expenses of the Representatives and their cost of any shares transportation in connection with the road show.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w:t>
      </w:r>
    </w:p>
    <w:p>
      <w:pPr>
        <w:spacing w:after="0" w:line="17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3" w:name="page24"/>
    <w:bookmarkEnd w:id="2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 It is understood and agreed that for purposes of this Agreement, the only information expressly furnished to the Company by the Underwriters for use in the Registration Statement, the Disclosure Package (or any part thereof), the Prospectus or any Permitted Free Writing Prospectus (or any amendment or supplement to any of the foregoing) consists of (i) the names of the Underwriters set forth on the front and back cover of the Prospectus and the Preliminary Prospectus; (ii) the names of the Underwriters and respective principal amount of Floating Rate Notes, 2028 Notes and 2049 Notes set forth in the table of Underwriters immediately below the first paragraph of text under the caption “Underwriting” in the Prospectus and the Preliminary Prospectus; (iii) the paragraph of text under the caption “Underwriting” in the Prospectus and the Preliminary Prospectus that begins “The underwriting agreement provides” and ends “or the offering may be terminated”; (iv) the paragraph of text under the caption “Underwriting” in the Prospectus and the Preliminary Prospectus concerning the terms of the offering by the Underwriters, which begins “The underwriters initially propose to offer the Notes” and ends “the underwriters’ right to reject any order in whole or in part”; (v) the two paragraphs of text under the caption “Underwriting” in the Prospectus and the Preliminary Prospectus concerning stabilization, over allotments and penalty bids by the Underwriters, which begin “In connection with the offering, the underwriters may purchase” and end “may discontinue them at any time”; (vi) the sentence of text under the caption “Underwriting” in the Prospectus and the Preliminary Prospectus that begins “The underwriters are full service financial institutions” and ends “hedging, financing and brokerage activities” and (vii) the paragraph of text under the caption “Underwriting” in the Prospectus and the Preliminary Prospectus that begins “In the ordinary course of their various business activities” and ends “short positions in such securities and instruments.”</w:t>
      </w:r>
    </w:p>
    <w:p>
      <w:pPr>
        <w:spacing w:after="0" w:line="18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4" w:name="page25"/>
    <w:bookmarkEnd w:id="24"/>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83"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w:t>
      </w:r>
    </w:p>
    <w:p>
      <w:pPr>
        <w:jc w:val="both"/>
        <w:ind w:firstLine="4"/>
        <w:spacing w:after="0" w:line="281"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indemnifying party is the Company, in such proportion as is appropriate to reflect the relative benefit received by the Company on the one hand and the Underwriters on the other from the offering of the 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w:t>
      </w:r>
    </w:p>
    <w:p>
      <w:pPr>
        <w:spacing w:after="0" w:line="2" w:lineRule="exact"/>
        <w:rPr>
          <w:rFonts w:ascii="Arial" w:cs="Arial" w:eastAsia="Arial" w:hAnsi="Arial"/>
          <w:sz w:val="16"/>
          <w:szCs w:val="16"/>
          <w:color w:val="auto"/>
        </w:rPr>
      </w:pPr>
    </w:p>
    <w:p>
      <w:pPr>
        <w:ind w:right="20" w:firstLine="4"/>
        <w:spacing w:after="0" w:line="287"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5" w:name="page26"/>
    <w:bookmarkEnd w:id="25"/>
    <w:p>
      <w:pPr>
        <w:ind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81" w:lineRule="exact"/>
        <w:rPr>
          <w:sz w:val="20"/>
          <w:szCs w:val="20"/>
          <w:color w:val="auto"/>
        </w:rPr>
      </w:pPr>
    </w:p>
    <w:p>
      <w:pPr>
        <w:ind w:right="680" w:firstLine="441"/>
        <w:spacing w:after="0" w:line="257" w:lineRule="auto"/>
        <w:rPr>
          <w:sz w:val="20"/>
          <w:szCs w:val="20"/>
          <w:color w:val="auto"/>
        </w:rPr>
      </w:pPr>
      <w:r>
        <w:rPr>
          <w:rFonts w:ascii="Arial" w:cs="Arial" w:eastAsia="Arial" w:hAnsi="Arial"/>
          <w:sz w:val="18"/>
          <w:szCs w:val="18"/>
          <w:color w:val="auto"/>
        </w:rPr>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Representatives on behalf of the Underwriters may terminate this Agreement (upon consultation with the Company) at any time prior to the time on the Closing Date at which payment would otherwise be due under this Agreement to the Company if (i) in the opinion of the Representatives, a material disruption in securities settlement, payment or clearance services in the United States shall have occurred or there shall have been a change in national financial, political or economic conditions which in their view will have a material adverse effect on the success of the offering and distribution of the Securities or (ii) trading in securities generally 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6" w:name="page27"/>
    <w:bookmarkEnd w:id="26"/>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XII.</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XIII.</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XIV.</w:t>
      </w:r>
    </w:p>
    <w:p>
      <w:pPr>
        <w:spacing w:after="0" w:line="225"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each Representative at its address or facsimile number below and if to the Company shall be sufficient in all respects if delivered by registered mail to the Company at 300 Renaissance Center, Detroit, Michigan 48265, marked for the attention of the Secretary, with a copy to Skadden, Arps, Slate, Meagher &amp; Flom LLP, at Four Times Square, New York, NY 10036, Attention: Gregory Fernicola, Esq. (facsimile: 212-735-2918). Notices shall be provided to Barclays Capital Inc., at 745 Seventh Avenue, New York, NY 10019, Attention: Syndicate Registration (facsimile: 646-834-8133), to Deutsche Bank Securities Inc., at 60 Wall Street, New York, New York 10005, Attention: Debt Capital Markets Syndicate, facsimile number 212-469-</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4877 with a copy to General Counsel, facsimile number 646-374-1071 and to SG Americas Securities, LLC, at 245 Park Avenue, New York, NY 10167, Attention: High Grade Bond Syndicate, facsimile number 212-278-7532, with copies to Davis Polk &amp; Wardwell LLP, 450 Lexington Avenue, New York, New York, 10017, Attention: Joseph Hall, Esq. (facsimile: 212-701-5565) and Sophia Hudson, Esq. (facsimile: 212-701-5762). All notices hereunder shall be effective on receipt.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w:t>
      </w:r>
    </w:p>
    <w:p>
      <w:pPr>
        <w:spacing w:after="0" w:line="225"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Representatives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 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8" w:name="page29"/>
    <w:bookmarkEnd w:id="28"/>
    <w:p>
      <w:pPr>
        <w:ind w:right="4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in this Agreement, unless this Agreement has been validly terminated pursuant to the immediately preceding paragraph or pursuant to Article XI, the Representatives shall reimburse the Company for all of the Company’s reasonable outside counsel fees, disbursements and expenses incurred in connection with the offering.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XVII.</w:t>
      </w:r>
    </w:p>
    <w:p>
      <w:pPr>
        <w:spacing w:after="0" w:line="225"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XVIII.</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XIX.</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Agreement may be signed in any number of counterparts, each of which so executed shall be deemed to be an original, with the same effect as if the signatures thereto and hereto were upon the same instrument. The exchanges of copies of this Agreement and of signature pages hereto by electronic format (i.e., “pdf” or “tif”) transmission shall constitute effective execution and delivery of this Agreement as to the parties hereto and may be used in lieu of the exchange of the original Agreement for all purposes. Signatures of the parties hereto transmitted by electronic format (i.e., “pdf” or “tif”) shall be deemed to be their original signatures for all purposes.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XX.</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Manish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2581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Manish Gulati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Assistant Treasurer</w:t>
      </w:r>
    </w:p>
    <w:p>
      <w:pPr>
        <w:sectPr>
          <w:pgSz w:w="11900" w:h="16838" w:orient="portrait"/>
          <w:cols w:equalWidth="0" w:num="1">
            <w:col w:w="9019"/>
          </w:cols>
          <w:pgMar w:left="144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Underwriters named in Schedule 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Kenneth Chang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Ritu Ketkar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Matthew J. Siracuse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Director/Debt Syndicate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SG AMERICAS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Michael Shapiro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019"/>
          </w:cols>
          <w:pgMar w:left="440" w:top="274"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4"/>
              </w:rPr>
              <w:t>Principal</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Floating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Notes to be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2028 Notes to</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2049 Notes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Purchased</w:t>
            </w:r>
          </w:p>
        </w:tc>
        <w:tc>
          <w:tcPr>
            <w:tcW w:w="2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be Purchased</w:t>
            </w:r>
          </w:p>
        </w:tc>
        <w:tc>
          <w:tcPr>
            <w:tcW w:w="2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52,848,000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88,082,000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105,698,000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52,848,000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88,082,000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105,697,000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52,848,000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88,081,000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105,697,000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80" w:type="dxa"/>
            <w:vAlign w:val="bottom"/>
          </w:tcPr>
          <w:p>
            <w:pPr>
              <w:ind w:left="1460"/>
              <w:spacing w:after="0"/>
              <w:rPr>
                <w:sz w:val="20"/>
                <w:szCs w:val="20"/>
                <w:color w:val="auto"/>
              </w:rPr>
            </w:pPr>
            <w:r>
              <w:rPr>
                <w:rFonts w:ascii="Arial" w:cs="Arial" w:eastAsia="Arial" w:hAnsi="Arial"/>
                <w:sz w:val="18"/>
                <w:szCs w:val="18"/>
                <w:color w:val="auto"/>
              </w:rPr>
              <w:t>Incorporated</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Commerz Markets LLC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Lloyds Securities Inc.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22,230,000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37,050,000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11,802,000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19,669,000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23,603,000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UniCredit Capital Markets LLC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11,802,000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19,669,000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23,603,000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11,802,000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19,669,000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23,603,000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NatWest Markets Securities Inc.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11,802,000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19,669,000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23,603,000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11,801,000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19,668,000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23,602,000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11,801,000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19,668,000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23,602,000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11,801,000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19,668,000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23,602,000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Academy Securities, Inc.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Siebert Cisneros Shank &amp; Co., L.L.C.</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340" w:type="dxa"/>
            <w:vAlign w:val="bottom"/>
            <w:vMerge w:val="restart"/>
          </w:tcPr>
          <w:p>
            <w:pPr>
              <w:jc w:val="right"/>
              <w:ind w:right="171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ind w:left="3724"/>
        <w:spacing w:after="0"/>
        <w:rPr>
          <w:sz w:val="20"/>
          <w:szCs w:val="20"/>
          <w:color w:val="auto"/>
        </w:rPr>
      </w:pPr>
      <w:r>
        <w:rPr>
          <w:rFonts w:ascii="Arial" w:cs="Arial" w:eastAsia="Arial" w:hAnsi="Arial"/>
          <w:sz w:val="18"/>
          <w:szCs w:val="18"/>
          <w:b w:val="1"/>
          <w:bCs w:val="1"/>
          <w:color w:val="auto"/>
        </w:rPr>
        <w:t>Permitted Free Writing Prospectus</w:t>
      </w:r>
    </w:p>
    <w:p>
      <w:pPr>
        <w:spacing w:after="0" w:line="135"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term sheet, in the form attached as Annex II-A hereto.</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584"/>
          </w:cols>
          <w:pgMar w:left="876" w:top="270"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September 5, 2018 to the Prospectus dated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7, 2017. Registration Statement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333-215924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as of September 5,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Floating Rate Senior Notes due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 Senior Notes due 2028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5.950% Senior Notes due 2049</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information in this pricing term sheet relates only to the offering of the Notes and should be read together with the preliminary prospectus supplement of General Motors Company dated September 5, 2018 (the “Preliminary Prospectus Supplement”) to its prospectus dated February 7, 2017,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Applicable to the Notes</w:t>
      </w:r>
    </w:p>
    <w:p>
      <w:pPr>
        <w:spacing w:after="0" w:line="360"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General Motors Company</w:t>
      </w:r>
    </w:p>
    <w:p>
      <w:pPr>
        <w:spacing w:after="0" w:line="11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Trade Date:</w:t>
      </w:r>
      <w:r>
        <w:rPr>
          <w:sz w:val="20"/>
          <w:szCs w:val="20"/>
          <w:color w:val="auto"/>
        </w:rPr>
        <w:tab/>
      </w:r>
      <w:r>
        <w:rPr>
          <w:rFonts w:ascii="Arial" w:cs="Arial" w:eastAsia="Arial" w:hAnsi="Arial"/>
          <w:sz w:val="15"/>
          <w:szCs w:val="15"/>
          <w:color w:val="auto"/>
        </w:rPr>
        <w:t>September 5, 2018</w:t>
      </w:r>
    </w:p>
    <w:p>
      <w:pPr>
        <w:spacing w:after="0" w:line="11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Settlement Date:</w:t>
      </w:r>
      <w:r>
        <w:rPr>
          <w:sz w:val="20"/>
          <w:szCs w:val="20"/>
          <w:color w:val="auto"/>
        </w:rPr>
        <w:tab/>
      </w:r>
      <w:r>
        <w:rPr>
          <w:rFonts w:ascii="Arial" w:cs="Arial" w:eastAsia="Arial" w:hAnsi="Arial"/>
          <w:sz w:val="16"/>
          <w:szCs w:val="16"/>
          <w:color w:val="auto"/>
        </w:rPr>
        <w:t>September 10, 2018 (T+3)*</w:t>
      </w:r>
    </w:p>
    <w:p>
      <w:pPr>
        <w:spacing w:after="0" w:line="11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Joint Book-Running</w:t>
      </w:r>
      <w:r>
        <w:rPr>
          <w:sz w:val="20"/>
          <w:szCs w:val="20"/>
          <w:color w:val="auto"/>
        </w:rPr>
        <w:tab/>
      </w:r>
      <w:r>
        <w:rPr>
          <w:rFonts w:ascii="Arial" w:cs="Arial" w:eastAsia="Arial" w:hAnsi="Arial"/>
          <w:sz w:val="16"/>
          <w:szCs w:val="16"/>
          <w:color w:val="auto"/>
        </w:rPr>
        <w:t>Barclays Capital Inc.</w:t>
      </w:r>
    </w:p>
    <w:p>
      <w:pPr>
        <w:spacing w:after="0" w:line="2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Managers:</w:t>
      </w:r>
      <w:r>
        <w:rPr>
          <w:sz w:val="20"/>
          <w:szCs w:val="20"/>
          <w:color w:val="auto"/>
        </w:rPr>
        <w:tab/>
      </w:r>
      <w:r>
        <w:rPr>
          <w:rFonts w:ascii="Arial" w:cs="Arial" w:eastAsia="Arial" w:hAnsi="Arial"/>
          <w:sz w:val="18"/>
          <w:szCs w:val="18"/>
          <w:color w:val="auto"/>
        </w:rPr>
        <w:t>Deutsche Bank Securities Inc.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SG Americas Securities, LLC</w:t>
      </w:r>
    </w:p>
    <w:p>
      <w:pPr>
        <w:spacing w:after="0" w:line="112"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Joint Lead Managers:</w:t>
      </w:r>
      <w:r>
        <w:rPr>
          <w:sz w:val="20"/>
          <w:szCs w:val="20"/>
          <w:color w:val="auto"/>
        </w:rPr>
        <w:tab/>
      </w:r>
      <w:r>
        <w:rPr>
          <w:rFonts w:ascii="Arial" w:cs="Arial" w:eastAsia="Arial" w:hAnsi="Arial"/>
          <w:sz w:val="16"/>
          <w:szCs w:val="16"/>
          <w:color w:val="auto"/>
        </w:rPr>
        <w:t>Citigroup Global Markets Inc.</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Morgan Stanley &amp; Co. LLC</w:t>
      </w:r>
    </w:p>
    <w:p>
      <w:pPr>
        <w:spacing w:after="0" w:line="112"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Co-Managers:</w:t>
      </w:r>
      <w:r>
        <w:rPr>
          <w:sz w:val="20"/>
          <w:szCs w:val="20"/>
          <w:color w:val="auto"/>
        </w:rPr>
        <w:tab/>
      </w:r>
      <w:r>
        <w:rPr>
          <w:rFonts w:ascii="Arial" w:cs="Arial" w:eastAsia="Arial" w:hAnsi="Arial"/>
          <w:sz w:val="16"/>
          <w:szCs w:val="16"/>
          <w:color w:val="auto"/>
        </w:rPr>
        <w:t>BBVA Securities Inc.</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NatWest Markets Securities Inc.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UniCredit Capital Markets LLC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Santander Investment Securities Inc.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Guzman &amp; Company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Siebert Cisneros Shank &amp; Co., L.L.C.</w:t>
      </w:r>
    </w:p>
    <w:p>
      <w:pPr>
        <w:sectPr>
          <w:pgSz w:w="11900" w:h="16838" w:orient="portrait"/>
          <w:cols w:equalWidth="0" w:num="1">
            <w:col w:w="11020"/>
          </w:cols>
          <w:pgMar w:left="440" w:top="270" w:right="4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II-A-1</w:t>
      </w:r>
    </w:p>
    <w:p>
      <w:pPr>
        <w:sectPr>
          <w:pgSz w:w="11900" w:h="16838" w:orient="portrait"/>
          <w:cols w:equalWidth="0" w:num="1">
            <w:col w:w="11020"/>
          </w:cols>
          <w:pgMar w:left="440" w:top="270" w:right="4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2440" w:type="dxa"/>
            <w:vAlign w:val="bottom"/>
          </w:tcPr>
          <w:p>
            <w:pPr>
              <w:spacing w:after="0"/>
              <w:rPr>
                <w:sz w:val="20"/>
                <w:szCs w:val="20"/>
                <w:color w:val="auto"/>
              </w:rPr>
            </w:pPr>
          </w:p>
        </w:tc>
        <w:tc>
          <w:tcPr>
            <w:tcW w:w="59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Floating Rate Senior Notes due 2021</w:t>
            </w:r>
          </w:p>
        </w:tc>
      </w:tr>
      <w:tr>
        <w:trPr>
          <w:trHeight w:val="567"/>
        </w:trPr>
        <w:tc>
          <w:tcPr>
            <w:tcW w:w="244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Floating Rate Senior Notes due 2021</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Senior Unsecured Notes</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920" w:type="dxa"/>
            <w:vAlign w:val="bottom"/>
          </w:tcPr>
          <w:p>
            <w:pPr>
              <w:ind w:left="220"/>
              <w:spacing w:after="0"/>
              <w:rPr>
                <w:sz w:val="20"/>
                <w:szCs w:val="20"/>
                <w:color w:val="auto"/>
              </w:rPr>
            </w:pPr>
            <w:r>
              <w:rPr>
                <w:rFonts w:ascii="Arial" w:cs="Arial" w:eastAsia="Arial" w:hAnsi="Arial"/>
                <w:sz w:val="18"/>
                <w:szCs w:val="18"/>
                <w:color w:val="auto"/>
              </w:rPr>
              <w:t>$450,000,000</w:t>
            </w:r>
          </w:p>
        </w:tc>
        <w:tc>
          <w:tcPr>
            <w:tcW w:w="2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100.000%, plus accrued and unpaid interest, if any, from September 10, 2018</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September 10, 2021</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Rate Basis:</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Three-month LIBOR</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Spread to LIBOR:</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+ 90 bps</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March 10, June 10, September 10 and December 10, beginning December 10,</w:t>
            </w:r>
          </w:p>
        </w:tc>
      </w:tr>
      <w:tr>
        <w:trPr>
          <w:trHeight w:val="230"/>
        </w:trPr>
        <w:tc>
          <w:tcPr>
            <w:tcW w:w="2440" w:type="dxa"/>
            <w:vAlign w:val="bottom"/>
          </w:tcPr>
          <w:p>
            <w:pPr>
              <w:spacing w:after="0"/>
              <w:rPr>
                <w:sz w:val="20"/>
                <w:szCs w:val="20"/>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2018</w:t>
            </w:r>
          </w:p>
        </w:tc>
        <w:tc>
          <w:tcPr>
            <w:tcW w:w="2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3"/>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Rate Determination:</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Three-month LIBOR, determined as of two London business days prior to the</w:t>
            </w:r>
          </w:p>
        </w:tc>
      </w:tr>
      <w:tr>
        <w:trPr>
          <w:trHeight w:val="216"/>
        </w:trPr>
        <w:tc>
          <w:tcPr>
            <w:tcW w:w="244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88"/>
              </w:rPr>
              <w:t>settlement date or the relevant interest reset date, as applicable, plus 0.900% per</w:t>
            </w:r>
          </w:p>
        </w:tc>
      </w:tr>
      <w:tr>
        <w:trPr>
          <w:trHeight w:val="230"/>
        </w:trPr>
        <w:tc>
          <w:tcPr>
            <w:tcW w:w="244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annum</w:t>
            </w:r>
          </w:p>
        </w:tc>
      </w:tr>
      <w:tr>
        <w:trPr>
          <w:trHeight w:val="323"/>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Reset Dates:</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0"/>
              </w:rPr>
              <w:t>Quarterly on March 10, June 10, September 10 and December 10, commencing</w:t>
            </w:r>
          </w:p>
        </w:tc>
      </w:tr>
      <w:tr>
        <w:trPr>
          <w:trHeight w:val="230"/>
        </w:trPr>
        <w:tc>
          <w:tcPr>
            <w:tcW w:w="244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on December 10, 2018</w:t>
            </w:r>
          </w:p>
        </w:tc>
      </w:tr>
      <w:tr>
        <w:trPr>
          <w:trHeight w:val="323"/>
        </w:trPr>
        <w:tc>
          <w:tcPr>
            <w:tcW w:w="2440" w:type="dxa"/>
            <w:vAlign w:val="bottom"/>
          </w:tcPr>
          <w:p>
            <w:pPr>
              <w:spacing w:after="0"/>
              <w:rPr>
                <w:sz w:val="20"/>
                <w:szCs w:val="20"/>
                <w:color w:val="auto"/>
              </w:rPr>
            </w:pPr>
            <w:r>
              <w:rPr>
                <w:rFonts w:ascii="Arial" w:cs="Arial" w:eastAsia="Arial" w:hAnsi="Arial"/>
                <w:sz w:val="18"/>
                <w:szCs w:val="18"/>
                <w:b w:val="1"/>
                <w:bCs w:val="1"/>
                <w:color w:val="auto"/>
              </w:rPr>
              <w:t>Initial Interest Reset Period:</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0"/>
              </w:rPr>
              <w:t>Period from and including September 10, 2018 to but excluding the first interest</w:t>
            </w:r>
          </w:p>
        </w:tc>
      </w:tr>
      <w:tr>
        <w:trPr>
          <w:trHeight w:val="230"/>
        </w:trPr>
        <w:tc>
          <w:tcPr>
            <w:tcW w:w="244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reset date</w:t>
            </w: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Actual / 360</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The notes shall not be redeemable prior to their maturity</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Regular Record Dates:</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15 calendar days prior to each interest payment date</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Calculation Agent:</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The Bank of New York Mellon</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37045V AR1 / US37045VAR15</w:t>
            </w:r>
          </w:p>
        </w:tc>
      </w:tr>
      <w:tr>
        <w:trPr>
          <w:trHeight w:val="365"/>
        </w:trPr>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252095</wp:posOffset>
            </wp:positionV>
            <wp:extent cx="14662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II-A-2</w:t>
      </w:r>
    </w:p>
    <w:p>
      <w:pPr>
        <w:sectPr>
          <w:pgSz w:w="11900" w:h="16838" w:orient="portrait"/>
          <w:cols w:equalWidth="0" w:num="1">
            <w:col w:w="10019"/>
          </w:cols>
          <w:pgMar w:left="440" w:top="607" w:right="1440" w:bottom="1440" w:gutter="0" w:footer="0" w:header="0"/>
        </w:sectPr>
      </w:pPr>
    </w:p>
    <w:bookmarkStart w:id="35" w:name="page36"/>
    <w:bookmarkEnd w:id="35"/>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Applicable to the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5.000% Senior Notes due 2028</w:t>
      </w:r>
    </w:p>
    <w:p>
      <w:pPr>
        <w:sectPr>
          <w:pgSz w:w="11900" w:h="16838" w:orient="portrait"/>
          <w:cols w:equalWidth="0" w:num="1">
            <w:col w:w="10019"/>
          </w:cols>
          <w:pgMar w:left="440" w:top="270" w:right="1440" w:bottom="1440" w:gutter="0" w:footer="0" w:header="0"/>
        </w:sectPr>
      </w:pPr>
    </w:p>
    <w:p>
      <w:pPr>
        <w:spacing w:after="0" w:line="365" w:lineRule="exact"/>
        <w:rPr>
          <w:sz w:val="20"/>
          <w:szCs w:val="20"/>
          <w:color w:val="auto"/>
        </w:rPr>
      </w:pPr>
    </w:p>
    <w:p>
      <w:pPr>
        <w:ind w:right="100"/>
        <w:spacing w:after="0" w:line="384" w:lineRule="auto"/>
        <w:rPr>
          <w:sz w:val="20"/>
          <w:szCs w:val="20"/>
          <w:color w:val="auto"/>
        </w:rPr>
      </w:pPr>
      <w:r>
        <w:rPr>
          <w:rFonts w:ascii="Arial" w:cs="Arial" w:eastAsia="Arial" w:hAnsi="Arial"/>
          <w:sz w:val="17"/>
          <w:szCs w:val="17"/>
          <w:b w:val="1"/>
          <w:bCs w:val="1"/>
          <w:color w:val="auto"/>
        </w:rPr>
        <w:t>Title of Securities: Security Type: Principal Amount: Price to Public: Maturity Date: Coupon (Interest Rate): Yield to Maturity: Spread to Benchmark</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5.000% Senior Notes due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99.965%, plus accrued and unpaid interest, if any, from September 10,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1,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+ 210 bps</w:t>
      </w:r>
    </w:p>
    <w:p>
      <w:pPr>
        <w:spacing w:after="0" w:line="23" w:lineRule="exact"/>
        <w:rPr>
          <w:sz w:val="20"/>
          <w:szCs w:val="20"/>
          <w:color w:val="auto"/>
        </w:rPr>
      </w:pPr>
    </w:p>
    <w:p>
      <w:pPr>
        <w:sectPr>
          <w:pgSz w:w="11900" w:h="16838" w:orient="portrait"/>
          <w:cols w:equalWidth="0" w:num="2">
            <w:col w:w="1940" w:space="720"/>
            <w:col w:w="7359"/>
          </w:cols>
          <w:pgMar w:left="4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Treasury:</w:t>
      </w:r>
    </w:p>
    <w:p>
      <w:pPr>
        <w:sectPr>
          <w:pgSz w:w="11900" w:h="16838" w:orient="portrait"/>
          <w:cols w:equalWidth="0" w:num="1">
            <w:col w:w="10019"/>
          </w:cols>
          <w:pgMar w:left="440" w:top="270"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2.875% due August 15, 2028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99-24; 2.904%</w:t>
      </w:r>
    </w:p>
    <w:p>
      <w:pPr>
        <w:spacing w:after="0" w:line="23" w:lineRule="exact"/>
        <w:rPr>
          <w:sz w:val="20"/>
          <w:szCs w:val="20"/>
          <w:color w:val="auto"/>
        </w:rPr>
      </w:pPr>
    </w:p>
    <w:p>
      <w:pPr>
        <w:sectPr>
          <w:pgSz w:w="11900" w:h="16838" w:orient="portrait"/>
          <w:cols w:equalWidth="0" w:num="2">
            <w:col w:w="2080" w:space="580"/>
            <w:col w:w="7359"/>
          </w:cols>
          <w:pgMar w:left="4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and Yield:</w:t>
      </w:r>
    </w:p>
    <w:p>
      <w:pPr>
        <w:sectPr>
          <w:pgSz w:w="11900" w:h="16838" w:orient="portrait"/>
          <w:cols w:equalWidth="0" w:num="1">
            <w:col w:w="10019"/>
          </w:cols>
          <w:pgMar w:left="440" w:top="270"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Payment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 Count Convention: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beginning April 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T+35 bps prior to July 1,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or after July 1, 2028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37045V AS9 / US37045VAS97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238125</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720"/>
            <w:col w:w="7359"/>
          </w:cols>
          <w:pgMar w:left="440" w:top="270" w:right="1440" w:bottom="1440" w:gutter="0" w:footer="0" w:header="0"/>
          <w:type w:val="continuous"/>
        </w:sectPr>
      </w:pPr>
    </w:p>
    <w:p>
      <w:pPr>
        <w:spacing w:after="0" w:line="38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Terms Applicable to the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5.950% Senior Notes due 2049</w:t>
      </w:r>
    </w:p>
    <w:p>
      <w:pPr>
        <w:sectPr>
          <w:pgSz w:w="11900" w:h="16838" w:orient="portrait"/>
          <w:cols w:equalWidth="0" w:num="1">
            <w:col w:w="10019"/>
          </w:cols>
          <w:pgMar w:left="440" w:top="270" w:right="1440"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Coupon (Interest 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5.950% Senior Notes due 2049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$900,000,000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99.966%, plus accrued and unpaid interest, if any, from September 10,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April 1, 2049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5.950%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5.952%</w:t>
      </w:r>
    </w:p>
    <w:p>
      <w:pPr>
        <w:spacing w:after="0" w:line="158" w:lineRule="exact"/>
        <w:rPr>
          <w:sz w:val="20"/>
          <w:szCs w:val="20"/>
          <w:color w:val="auto"/>
        </w:rPr>
      </w:pPr>
    </w:p>
    <w:p>
      <w:pPr>
        <w:sectPr>
          <w:pgSz w:w="11900" w:h="16838" w:orient="portrait"/>
          <w:cols w:equalWidth="0" w:num="2">
            <w:col w:w="1840" w:space="720"/>
            <w:col w:w="7459"/>
          </w:cols>
          <w:pgMar w:left="440" w:top="270" w:right="1440" w:bottom="1440" w:gutter="0" w:footer="0" w:header="0"/>
          <w:type w:val="continuous"/>
        </w:sectPr>
      </w:pPr>
    </w:p>
    <w:p>
      <w:pPr>
        <w:ind w:left="5280"/>
        <w:spacing w:after="0"/>
        <w:rPr>
          <w:sz w:val="20"/>
          <w:szCs w:val="20"/>
          <w:color w:val="auto"/>
        </w:rPr>
      </w:pPr>
      <w:r>
        <w:rPr>
          <w:rFonts w:ascii="Arial" w:cs="Arial" w:eastAsia="Arial" w:hAnsi="Arial"/>
          <w:sz w:val="18"/>
          <w:szCs w:val="18"/>
          <w:color w:val="auto"/>
        </w:rPr>
        <w:t>II-A-3</w:t>
      </w:r>
    </w:p>
    <w:p>
      <w:pPr>
        <w:sectPr>
          <w:pgSz w:w="11900" w:h="16838" w:orient="portrait"/>
          <w:cols w:equalWidth="0" w:num="1">
            <w:col w:w="10019"/>
          </w:cols>
          <w:pgMar w:left="440" w:top="270" w:right="1440" w:bottom="1440" w:gutter="0" w:footer="0" w:header="0"/>
          <w:type w:val="continuous"/>
        </w:sectPr>
      </w:pPr>
    </w:p>
    <w:bookmarkStart w:id="36" w:name="page37"/>
    <w:bookmarkEnd w:id="36"/>
    <w:p>
      <w:pPr>
        <w:ind w:right="240"/>
        <w:spacing w:after="0" w:line="347" w:lineRule="auto"/>
        <w:rPr>
          <w:sz w:val="20"/>
          <w:szCs w:val="20"/>
          <w:color w:val="auto"/>
        </w:rPr>
      </w:pPr>
      <w:r>
        <w:rPr>
          <w:rFonts w:ascii="Arial" w:cs="Arial" w:eastAsia="Arial" w:hAnsi="Arial"/>
          <w:sz w:val="16"/>
          <w:szCs w:val="16"/>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+ 287.5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-262890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1940" w:space="720"/>
            <w:col w:w="8340"/>
          </w:cols>
          <w:pgMar w:left="440" w:top="378" w:right="459" w:bottom="1440" w:gutter="0" w:footer="0" w:header="0"/>
        </w:sectPr>
      </w:pPr>
    </w:p>
    <w:p>
      <w:pPr>
        <w:spacing w:after="0" w:line="329" w:lineRule="auto"/>
        <w:rPr>
          <w:sz w:val="20"/>
          <w:szCs w:val="20"/>
          <w:color w:val="auto"/>
        </w:rPr>
      </w:pPr>
      <w:r>
        <w:rPr>
          <w:rFonts w:ascii="Arial" w:cs="Arial" w:eastAsia="Arial" w:hAnsi="Arial"/>
          <w:sz w:val="18"/>
          <w:szCs w:val="18"/>
          <w:b w:val="1"/>
          <w:bCs w:val="1"/>
          <w:color w:val="auto"/>
        </w:rPr>
        <w:t>Benchmark Treasury: 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3.125% due May 15, 2048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100-29+; 3.077%</w:t>
      </w:r>
    </w:p>
    <w:p>
      <w:pPr>
        <w:spacing w:after="0" w:line="329" w:lineRule="exact"/>
        <w:rPr>
          <w:sz w:val="20"/>
          <w:szCs w:val="20"/>
          <w:color w:val="auto"/>
        </w:rPr>
      </w:pPr>
    </w:p>
    <w:p>
      <w:pPr>
        <w:sectPr>
          <w:pgSz w:w="11900" w:h="16838" w:orient="portrait"/>
          <w:cols w:equalWidth="0" w:num="2">
            <w:col w:w="2420" w:space="240"/>
            <w:col w:w="834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Payment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 Count Convention: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April 1 and October 1, beginning April 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T+45 bps prior to October 1, 2048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or after October 1, 2048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37045 AT7 / US37045VAT70</w:t>
      </w:r>
    </w:p>
    <w:p>
      <w:pPr>
        <w:spacing w:after="0" w:line="200" w:lineRule="exact"/>
        <w:rPr>
          <w:sz w:val="20"/>
          <w:szCs w:val="20"/>
          <w:color w:val="auto"/>
        </w:rPr>
      </w:pPr>
    </w:p>
    <w:p>
      <w:pPr>
        <w:sectPr>
          <w:pgSz w:w="11900" w:h="16838" w:orient="portrait"/>
          <w:cols w:equalWidth="0" w:num="2">
            <w:col w:w="1940" w:space="720"/>
            <w:col w:w="8340"/>
          </w:cols>
          <w:pgMar w:left="440" w:top="378" w:right="459" w:bottom="1440" w:gutter="0" w:footer="0" w:header="0"/>
          <w:type w:val="continuous"/>
        </w:sectPr>
      </w:pPr>
    </w:p>
    <w:p>
      <w:pPr>
        <w:spacing w:after="0" w:line="237" w:lineRule="exact"/>
        <w:rPr>
          <w:sz w:val="20"/>
          <w:szCs w:val="20"/>
          <w:color w:val="auto"/>
        </w:rPr>
      </w:pPr>
    </w:p>
    <w:p>
      <w:pPr>
        <w:ind w:left="440" w:right="220" w:hanging="436"/>
        <w:spacing w:after="0" w:line="258"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Under Rule 15c6-1 of the Exchange Act, trades in the secondary market are generally required to settle in two business days, unless the parties to any such trade expressly agree otherwise. Accordingly, purchasers who wish to trade notes on the date of pricing will be required, by virtue of the fact that the notes initially will settle T + 3, to specify an alternative settlement cycle at the time of any such trade to prevent a failed settlement. Purchasers of the notes who wish to trade the notes on the date of pricing should consult their own advisor.</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Barclays Capital Inc., c/o Broadridge 4 Financial Solutions, 1155 Long Island Avenue, Edgewood, NY 11717 or toll-free at (888) 603-5847, Deutsche Bank Securities Inc., Attention: Prospectus Group, 60 Wall Street, New York, NY 10005 or toll-free at (800)</w:t>
      </w:r>
    </w:p>
    <w:p>
      <w:pPr>
        <w:spacing w:after="0" w:line="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503-4611 or SG Americas Securities, LLC, Attn: Prospectus Management, 480 Washington Blvd, 20th Floor, Jersey City, NJ 07310 or toll-free at 800-861-9789.</w:t>
      </w:r>
    </w:p>
    <w:p>
      <w:pPr>
        <w:spacing w:after="0" w:line="180" w:lineRule="exact"/>
        <w:rPr>
          <w:sz w:val="20"/>
          <w:szCs w:val="20"/>
          <w:color w:val="auto"/>
        </w:rPr>
      </w:pPr>
    </w:p>
    <w:p>
      <w:pPr>
        <w:jc w:val="both"/>
        <w:ind w:right="420"/>
        <w:spacing w:after="0" w:line="314" w:lineRule="auto"/>
        <w:rPr>
          <w:sz w:val="20"/>
          <w:szCs w:val="20"/>
          <w:color w:val="auto"/>
        </w:rPr>
      </w:pPr>
      <w:r>
        <w:rPr>
          <w:rFonts w:ascii="Arial" w:cs="Arial" w:eastAsia="Arial" w:hAnsi="Arial"/>
          <w:sz w:val="16"/>
          <w:szCs w:val="16"/>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II-A-4</w:t>
      </w:r>
    </w:p>
    <w:p>
      <w:pPr>
        <w:sectPr>
          <w:pgSz w:w="11900" w:h="16838" w:orient="portrait"/>
          <w:cols w:equalWidth="0" w:num="1">
            <w:col w:w="11000"/>
          </w:cols>
          <w:pgMar w:left="440" w:top="378" w:right="459" w:bottom="1440" w:gutter="0" w:footer="0" w:header="0"/>
          <w:type w:val="continuous"/>
        </w:sectPr>
      </w:pPr>
    </w:p>
    <w:bookmarkStart w:id="37" w:name="page38"/>
    <w:bookmarkEnd w:id="37"/>
    <w:p>
      <w:pPr>
        <w:ind w:right="1779"/>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II-A-5</w:t>
      </w:r>
    </w:p>
    <w:p>
      <w:pPr>
        <w:sectPr>
          <w:pgSz w:w="11900" w:h="16838" w:orient="portrait"/>
          <w:cols w:equalWidth="0" w:num="1">
            <w:col w:w="10019"/>
          </w:cols>
          <w:pgMar w:left="440" w:top="27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Principal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020"/>
          </w:cols>
          <w:pgMar w:left="440" w:top="270"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SG Americas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 am issuing this letter in my capacity as an Attorney on the Legal Staff of General Motors Company,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response to the requirements of Article V, paragraph (d) of the Underwriting Agreement, dated September 5, 2018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by and among the Company and the several underwriters named in Schedule I thereto (collectively,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for whom Barclays Capital Inc., Deutsche Bank Securities Inc. and SG Americas Securities, LLC are acting as representatives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The Underwriting Agreement relates to the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$450,000,000 aggregate principal amount of the Company’s Floating Rate Senior Notes due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0" w:right="439" w:bottom="1440" w:gutter="0" w:footer="0" w:header="0"/>
        </w:sectPr>
      </w:pPr>
    </w:p>
    <w:bookmarkStart w:id="40" w:name="page41"/>
    <w:bookmarkEnd w:id="4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2021, $750,000,000 aggregate principal amount of the Company’s 5.000% Senior Notes due 2028 and $900,000,000 aggregate principal amount of the Company’s 5.950% Senior Notes due 2049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pursuant to the provisions of an Indenture, dated as of September 27, 2013, as supplemented by a supplemental indenture to be dated as of the Closing Date (the “</w:t>
      </w:r>
      <w:r>
        <w:rPr>
          <w:rFonts w:ascii="Arial" w:cs="Arial" w:eastAsia="Arial" w:hAnsi="Arial"/>
          <w:sz w:val="18"/>
          <w:szCs w:val="18"/>
          <w:b w:val="1"/>
          <w:bCs w:val="1"/>
          <w:i w:val="1"/>
          <w:iCs w:val="1"/>
          <w:color w:val="auto"/>
        </w:rPr>
        <w:t>Fifth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between the Company and the Trustee.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131" w:lineRule="exact"/>
        <w:rPr>
          <w:sz w:val="20"/>
          <w:szCs w:val="20"/>
          <w:color w:val="auto"/>
        </w:rPr>
      </w:pPr>
    </w:p>
    <w:p>
      <w:pPr>
        <w:ind w:left="860" w:right="240" w:hanging="424"/>
        <w:spacing w:after="0" w:line="25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 on Form S-3 (Registration No. 333-215924), filed by the Company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60" w:right="980" w:hanging="424"/>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prospectus (including the documents incorporated by reference therein) of the Company dated February 7, 2017 (the “</w:t>
      </w:r>
      <w:r>
        <w:rPr>
          <w:rFonts w:ascii="Arial" w:cs="Arial" w:eastAsia="Arial" w:hAnsi="Arial"/>
          <w:sz w:val="18"/>
          <w:szCs w:val="18"/>
          <w:i w:val="1"/>
          <w:iCs w:val="1"/>
          <w:color w:val="auto"/>
        </w:rPr>
        <w:t>Basic</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60" w:right="180" w:hanging="424"/>
        <w:spacing w:after="0" w:line="264"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September 5, 2018 relating to the Offering (including the documents incorporated by reference therein), together with the Basic Prospectus that it supplements and the Permitted Free Writing Prospectus listed on Schedule II to the Underwriting Agreement (collectively, the “</w:t>
      </w:r>
      <w:r>
        <w:rPr>
          <w:rFonts w:ascii="Arial" w:cs="Arial" w:eastAsia="Arial" w:hAnsi="Arial"/>
          <w:sz w:val="18"/>
          <w:szCs w:val="18"/>
          <w:i w:val="1"/>
          <w:iCs w:val="1"/>
          <w:color w:val="auto"/>
        </w:rPr>
        <w:t>Disclosure Package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860" w:right="460" w:hanging="424"/>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Basic Prospectus, as supplemented by the prospectus supplement of the Company dated September 5, 2018 relating to the Offering (including the documents incorporated by reference therein) (together, the “</w:t>
      </w:r>
      <w:r>
        <w:rPr>
          <w:rFonts w:ascii="Arial" w:cs="Arial" w:eastAsia="Arial" w:hAnsi="Arial"/>
          <w:sz w:val="18"/>
          <w:szCs w:val="18"/>
          <w:i w:val="1"/>
          <w:iCs w:val="1"/>
          <w:color w:val="auto"/>
        </w:rPr>
        <w:t>Prospectus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executed copy of the Underwriting Agreement; and</w:t>
      </w:r>
    </w:p>
    <w:p>
      <w:pPr>
        <w:spacing w:after="0" w:line="130" w:lineRule="exact"/>
        <w:rPr>
          <w:rFonts w:ascii="Arial" w:cs="Arial" w:eastAsia="Arial" w:hAnsi="Arial"/>
          <w:sz w:val="18"/>
          <w:szCs w:val="18"/>
          <w:color w:val="auto"/>
        </w:rPr>
      </w:pPr>
    </w:p>
    <w:p>
      <w:pPr>
        <w:ind w:left="860" w:right="440" w:hanging="424"/>
        <w:spacing w:after="0" w:line="342"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copies of the documents filed pursuant to the Securities Exchange Act of 1934, as amended (the “Exchange Act”), and incorporated by reference in the documents referred to in paragraphs (a) through (d), inclusive, above (the “Incorporated Documents”).</w:t>
      </w:r>
    </w:p>
    <w:p>
      <w:pPr>
        <w:spacing w:after="0" w:line="124"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0"/>
          </w:cols>
          <w:pgMar w:left="440" w:top="274" w:right="439" w:bottom="1440" w:gutter="0" w:footer="0" w:header="0"/>
        </w:sectPr>
      </w:pPr>
    </w:p>
    <w:bookmarkStart w:id="41" w:name="page42"/>
    <w:bookmarkEnd w:id="41"/>
    <w:p>
      <w:pPr>
        <w:ind w:right="1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have assumed the conformity of the documents filed with the Commission via the Electronic Data Gathering, Analysis and Retrieval System (“</w:t>
      </w:r>
      <w:r>
        <w:rPr>
          <w:rFonts w:ascii="Arial" w:cs="Arial" w:eastAsia="Arial" w:hAnsi="Arial"/>
          <w:sz w:val="18"/>
          <w:szCs w:val="18"/>
          <w:b w:val="1"/>
          <w:bCs w:val="1"/>
          <w:i w:val="1"/>
          <w:iCs w:val="1"/>
          <w:color w:val="auto"/>
        </w:rPr>
        <w:t>EDGAR</w:t>
      </w:r>
      <w:r>
        <w:rPr>
          <w:rFonts w:ascii="Arial" w:cs="Arial" w:eastAsia="Arial" w:hAnsi="Arial"/>
          <w:sz w:val="18"/>
          <w:szCs w:val="18"/>
          <w:color w:val="auto"/>
        </w:rPr>
        <w:t>”), except for required EDGAR formatting changes, to physical copies of the documents delivered to the Underwriters and submitted for my examination.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upon the foregoing and such other information and documents as I have considered necessary for the purposes hereof, I am of the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860" w:right="220" w:hanging="424"/>
        <w:spacing w:after="0" w:line="257" w:lineRule="auto"/>
        <w:tabs>
          <w:tab w:leader="none" w:pos="8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statements under the caption “Legal Proceedings” in the Company’s Annual Report on Form 10-K for the year ended December 31, 2017 (as updated by the statements in “Part II, Item 1. Legal Proceedings” in the Company’s Quarterly Reports on Form 10-Q for the quarterly periods ended March 31, 2018 and June 30, 2018), in each case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93" w:lineRule="exact"/>
        <w:rPr>
          <w:rFonts w:ascii="Arial" w:cs="Arial" w:eastAsia="Arial" w:hAnsi="Arial"/>
          <w:sz w:val="18"/>
          <w:szCs w:val="18"/>
          <w:b w:val="1"/>
          <w:bCs w:val="1"/>
          <w:color w:val="auto"/>
        </w:rPr>
      </w:pPr>
    </w:p>
    <w:p>
      <w:pPr>
        <w:ind w:left="860" w:right="100" w:hanging="424"/>
        <w:spacing w:after="0" w:line="297"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my knowledge, other than as set forth or contemplated in the Registration Statement, the Disclosure Package and the Prospectus, neither the Company nor any of its subsidiaries is a party to, nor is any of its or their property the subject of, any pending or threatened action or proceeding before any court or brought by any governmental agency or body that, individually or in the aggregate, would reasonably be expected to have a material adverse effect on the Company and its subsidiaries taken as a whole, or that would reasonably be expected to materially and adversely affect the issuance of the Securities by the Company as contemplated by the Underwriting Agreement.</w:t>
      </w:r>
    </w:p>
    <w:p>
      <w:pPr>
        <w:spacing w:after="0" w:line="158"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In addition to the qualifications set forth above, the opinions and other matters in this letter are qualified in their entirety and subject to the following:</w:t>
      </w:r>
    </w:p>
    <w:p>
      <w:pPr>
        <w:spacing w:after="0" w:line="62"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 Except as set forth in paragraph (1) above, I make no representation that I have independently verified the accuracy, completeness or fairness of the statements contained in the Registration Statement, the Disclosure Package or the Prospectus or that the actions taken in connection with the preparation of the Registration Statement, the Disclosure Package or the Prospectus were sufficient to cause the Registration Statement, the Disclosure Package or the Prospectus to be accurate, complete or fair (including the actions described in the next paragraph).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20"/>
          </w:cols>
          <w:pgMar w:left="440" w:top="274" w:right="439" w:bottom="1440" w:gutter="0" w:footer="0" w:header="0"/>
        </w:sectPr>
      </w:pPr>
    </w:p>
    <w:bookmarkStart w:id="42" w:name="page43"/>
    <w:bookmarkEnd w:id="42"/>
    <w:p>
      <w:pPr>
        <w:ind w:right="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 have assumed for purposes of this letter the following: that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advice provided in this letter.</w:t>
      </w:r>
    </w:p>
    <w:p>
      <w:pPr>
        <w:spacing w:after="0" w:line="8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C. In preparing this letter I have relied without independent verification upon: (i) factual information represented to be true in the Underwriting Agreement and other documents specifically identified at the beginning of this letter as having been read by me; (ii) factual information provided to me by the other representatives of the Company; and (iii) factual information I have obtained from such other sources as I have deemed reasonable. I have assumed that the information upon which I have relied is accurate and does not omit disclosures necessary to prevent such information from being misleading. I have not undertaken any investigation or search of court records for purposes of this letter.</w:t>
      </w:r>
    </w:p>
    <w:p>
      <w:pPr>
        <w:spacing w:after="0" w:line="6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D. 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7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E. I am a member of the Bar of the State of Michigan, and I express no opinion as to the laws of any other jurisdiction, other than the law of the State of Michigan.</w:t>
      </w:r>
    </w:p>
    <w:p>
      <w:pPr>
        <w:spacing w:after="0" w:line="6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 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8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66"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w:t>
      </w:r>
    </w:p>
    <w:p>
      <w:pPr>
        <w:jc w:val="both"/>
        <w:ind w:right="280" w:firstLine="4"/>
        <w:spacing w:after="0" w:line="254"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80"/>
          </w:cols>
          <w:pgMar w:left="440" w:top="274" w:right="4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 LETTER OF AN ATTORNEY ON THE LEGAL STAFF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10167</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General Motors Company Notes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Attorneys under my supervision and I have acted as counsel for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underwriting agreement, dated September 5, 2018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between you, as representatives of the several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underwriters named on Schedule I therein (the “</w:t>
      </w:r>
      <w:r>
        <w:rPr>
          <w:rFonts w:ascii="Arial" w:cs="Arial" w:eastAsia="Arial" w:hAnsi="Arial"/>
          <w:sz w:val="17"/>
          <w:szCs w:val="17"/>
          <w:u w:val="single" w:color="auto"/>
          <w:color w:val="auto"/>
        </w:rPr>
        <w:t>Underwriters</w:t>
      </w:r>
      <w:r>
        <w:rPr>
          <w:rFonts w:ascii="Arial" w:cs="Arial" w:eastAsia="Arial" w:hAnsi="Arial"/>
          <w:sz w:val="17"/>
          <w:szCs w:val="17"/>
          <w:color w:val="auto"/>
        </w:rPr>
        <w:t>”), and the Company, relating to the sale by the Company to the Underwriters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$450,000,000 aggregate principal amount of the Company’s Floating Rate Senior Notes due 2021 (the “</w:t>
      </w:r>
      <w:r>
        <w:rPr>
          <w:rFonts w:ascii="Arial" w:cs="Arial" w:eastAsia="Arial" w:hAnsi="Arial"/>
          <w:sz w:val="16"/>
          <w:szCs w:val="16"/>
          <w:u w:val="single" w:color="auto"/>
          <w:color w:val="auto"/>
        </w:rPr>
        <w:t>Floating Rate Notes</w:t>
      </w:r>
      <w:r>
        <w:rPr>
          <w:rFonts w:ascii="Arial" w:cs="Arial" w:eastAsia="Arial" w:hAnsi="Arial"/>
          <w:sz w:val="16"/>
          <w:szCs w:val="16"/>
          <w:color w:val="auto"/>
        </w:rPr>
        <w:t>”), $750,000,000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Company’s 5.000% Senior Notes due 2028 (the “</w:t>
      </w:r>
      <w:r>
        <w:rPr>
          <w:rFonts w:ascii="Arial" w:cs="Arial" w:eastAsia="Arial" w:hAnsi="Arial"/>
          <w:sz w:val="16"/>
          <w:szCs w:val="16"/>
          <w:u w:val="single" w:color="auto"/>
          <w:color w:val="auto"/>
        </w:rPr>
        <w:t>2028 Notes</w:t>
      </w:r>
      <w:r>
        <w:rPr>
          <w:rFonts w:ascii="Arial" w:cs="Arial" w:eastAsia="Arial" w:hAnsi="Arial"/>
          <w:sz w:val="16"/>
          <w:szCs w:val="16"/>
          <w:color w:val="auto"/>
        </w:rPr>
        <w:t>”) and $900,000,000 aggregate principal amount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5.950% Senior Notes due 2049 (the “</w:t>
      </w:r>
      <w:r>
        <w:rPr>
          <w:rFonts w:ascii="Arial" w:cs="Arial" w:eastAsia="Arial" w:hAnsi="Arial"/>
          <w:sz w:val="16"/>
          <w:szCs w:val="16"/>
          <w:u w:val="single" w:color="auto"/>
          <w:color w:val="auto"/>
        </w:rPr>
        <w:t>2049 Notes</w:t>
      </w:r>
      <w:r>
        <w:rPr>
          <w:rFonts w:ascii="Arial" w:cs="Arial" w:eastAsia="Arial" w:hAnsi="Arial"/>
          <w:sz w:val="16"/>
          <w:szCs w:val="16"/>
          <w:color w:val="auto"/>
        </w:rPr>
        <w:t>” and, together with the 2028 Notes and the Floating Rate Notes, the “</w:t>
      </w:r>
      <w:r>
        <w:rPr>
          <w:rFonts w:ascii="Arial" w:cs="Arial" w:eastAsia="Arial" w:hAnsi="Arial"/>
          <w:sz w:val="16"/>
          <w:szCs w:val="16"/>
          <w:u w:val="single" w:color="auto"/>
          <w:color w:val="auto"/>
        </w:rPr>
        <w:t>Securities</w:t>
      </w:r>
      <w:r>
        <w:rPr>
          <w:rFonts w:ascii="Arial" w:cs="Arial" w:eastAsia="Arial" w:hAnsi="Arial"/>
          <w:sz w:val="16"/>
          <w:szCs w:val="16"/>
          <w:color w:val="auto"/>
        </w:rPr>
        <w:t>”) to be issued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Indenture, dated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27, 2013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the Company and The Bank of New York Mellon,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a supplemental indenture to be dated as of the Closing Date (the “</w:t>
      </w:r>
      <w:r>
        <w:rPr>
          <w:rFonts w:ascii="Arial" w:cs="Arial" w:eastAsia="Arial" w:hAnsi="Arial"/>
          <w:sz w:val="18"/>
          <w:szCs w:val="18"/>
          <w:u w:val="single" w:color="auto"/>
          <w:color w:val="auto"/>
        </w:rPr>
        <w:t>Fifth Supplemental Indenture</w:t>
      </w:r>
      <w:r>
        <w:rPr>
          <w:rFonts w:ascii="Arial" w:cs="Arial" w:eastAsia="Arial" w:hAnsi="Arial"/>
          <w:sz w:val="18"/>
          <w:szCs w:val="18"/>
          <w:color w:val="auto"/>
        </w:rPr>
        <w:t>” and, together with the Base Indenture and the Fifth Supplemental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between the Company and the Trustee.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is being furnished to you pursuant to Section V(d) of the Underwriting Agreement.</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 the above capacity, attorneys under my supervision and/or I have reviewed the registration statement on Form S-3ASR (File No. 333-215924) of the Company relating to the debt securities and other securities of the Company filed on February 7, 2017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allowing for delayed offerings pursuant to Rule 415 of the General Rules and Regulations under the Securities Act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including the Incorporated Documents (as defined below) and the information deemed to be a part of the registration statement pursuant to Rule 430B of the Rules and Regulations (such registration statement, at the time it became effective, being hereinafter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 the prospectus, dated February 7, 2017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which forms a part of and is included in the Registration Statement, in the form filed with the Commission pursuant to Rule 424(b) of the Rules and Regulations, (ii) the preliminary prospectus supplement, dated September 5, 2018 (together with the Base Prospectus and the Incorporated Documents, the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relating to the offering of the Securities in the form filed with the Commission pursuant to Rule 424(b) of the Rules and Regulations and (iii) the prospectus supplement, dated September 5, 2018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together with the Base Prospectus and the Incorporated Documents,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relating to the offering of the Securities in the form filed with the Commission pursuant to Rule 424(b) of the Rules and Regulations. We also have reviewed the documents identified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filed by the Company pursuant to the Securities Exchange Act of 1934 and incorporated by reference into the Prospectus or the Preliminary Prospectus, as the case may be, as of the date hereof (collectively, the “</w:t>
      </w:r>
      <w:r>
        <w:rPr>
          <w:rFonts w:ascii="Arial" w:cs="Arial" w:eastAsia="Arial" w:hAnsi="Arial"/>
          <w:sz w:val="16"/>
          <w:szCs w:val="16"/>
          <w:u w:val="single" w:color="auto"/>
          <w:color w:val="auto"/>
        </w:rPr>
        <w:t>Incorporated Documents</w:t>
      </w:r>
      <w:r>
        <w:rPr>
          <w:rFonts w:ascii="Arial" w:cs="Arial" w:eastAsia="Arial" w:hAnsi="Arial"/>
          <w:sz w:val="16"/>
          <w:szCs w:val="16"/>
          <w:color w:val="auto"/>
        </w:rPr>
        <w:t xml:space="preserve">”), the “issuer free writing prospectus” (as defined in Rule 433(h)(1) of the Rules and Regulations) identified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relating to the Securities (the “</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and such other documents as we deemed appropriate.</w:t>
      </w:r>
    </w:p>
    <w:p>
      <w:pPr>
        <w:spacing w:after="0" w:line="16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In addition, attorneys under my supervision and/or I have participated in conferences with officers and other representatives of the Company, the Company’s outside counsel, representatives of the independent registered public accountants of the Company and you and your counsel at which the contents of the Registration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20"/>
          </w:cols>
          <w:pgMar w:left="440" w:top="274"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Statement, the Prospectus, the Disclosure Package (as defined below) and related matters were discussed. Attorneys under my supervision and/or I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 I do not pass upon, or assume any responsibility for, the accuracy, completeness or fairness of the statements contained or incorporated by reference in the Registration Statement or the Prospectus or the Disclosure Package and have made no independent check or verification thereof.</w:t>
      </w:r>
    </w:p>
    <w:p>
      <w:pPr>
        <w:spacing w:after="0" w:line="15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On the basis of the foregoing, no facts have come to my attention that have caused me to believe that the Registration Statement, at the Effective Time, contained an untrue statement of a material fact or omitted to state a material fact required to be stated therein or necessary to make the statements therein not misleading, or that the Prospectus, as of the date of the Prospectus Supplement and as of the date hereof, contained or contains an untrue statement of a material fact or omitted or omits to state a material fact necessary in order to make the statements therein, in the light of the circumstances under which they were made, not misleading (except that in each case I do not express any view as to the financial statements, schedules and other financial information included or incorporated by reference therein or excluded therefrom, the report of management’s assessment of the effectiveness of internal controls over financial reporting or the auditors’ report on the effectiveness of the Company’s internal controls over financial reporting, or the statements contained in the exhibits to the Registration Statement, including the Statement of Eligibility on Form T-1 (the “</w:t>
      </w:r>
      <w:r>
        <w:rPr>
          <w:rFonts w:ascii="Arial" w:cs="Arial" w:eastAsia="Arial" w:hAnsi="Arial"/>
          <w:sz w:val="17"/>
          <w:szCs w:val="17"/>
          <w:u w:val="single" w:color="auto"/>
          <w:color w:val="auto"/>
        </w:rPr>
        <w:t>Form T-1</w:t>
      </w:r>
      <w:r>
        <w:rPr>
          <w:rFonts w:ascii="Arial" w:cs="Arial" w:eastAsia="Arial" w:hAnsi="Arial"/>
          <w:sz w:val="17"/>
          <w:szCs w:val="17"/>
          <w:color w:val="auto"/>
        </w:rPr>
        <w:t>”)). In addition, on the basis of the foregoing, no facts have come to my attention that have caused me to believe that the Disclosure Package, as of the Applicable Time (as defined below), contained an untrue statement of a material fact or omitted to state a material fact necessary in order to make the statements therein, in the light of the circumstances under which they were made, not misleading (except that I do not express any view as to the financial statements, schedules and other financial information included or incorporated by reference therein or excluded therefrom, the report of management’s assessment of the effectiveness of internal controls over financial reporting or the auditors’ report on the effectiveness of the Company’s internal controls over financial reporting, or the statements contained in the exhibits to the Registration Statement, including the Form T-1, to the extent included or incorporated by reference therein).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20"/>
          </w:cols>
          <w:pgMar w:left="440" w:top="274"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As used herein, (i) “</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the time of effectiveness of the Registration Statement for purposes of Section 11 of the Securities Act, as such section applies to the Underwriters, (ii) “</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4:45 p.m. (Eastern time) on September 5, 2018 and (iii) “</w:t>
      </w:r>
      <w:r>
        <w:rPr>
          <w:rFonts w:ascii="Arial" w:cs="Arial" w:eastAsia="Arial" w:hAnsi="Arial"/>
          <w:sz w:val="18"/>
          <w:szCs w:val="18"/>
          <w:u w:val="single" w:color="auto"/>
          <w:color w:val="auto"/>
        </w:rPr>
        <w:t>Disclosure Package</w:t>
      </w:r>
      <w:r>
        <w:rPr>
          <w:rFonts w:ascii="Arial" w:cs="Arial" w:eastAsia="Arial" w:hAnsi="Arial"/>
          <w:sz w:val="18"/>
          <w:szCs w:val="18"/>
          <w:color w:val="auto"/>
        </w:rPr>
        <w:t>” means the Preliminary Prospectus as amended and supplemented by the Free Writing Prospectus.</w:t>
      </w:r>
    </w:p>
    <w:p>
      <w:pPr>
        <w:spacing w:after="0" w:line="18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This letter is furnished only to you as representatives of the Underwriters and is solely for the Underwriters’ benefit in connection with the closing occurring today and the offering of the Securities, in each case pursuant to the Underwriting Agreement. Without my prior written consent, this letter may not be used, circulated, quoted or otherwise referred to for any other purpose or relied upon by, or assigned to, any other person for any purpose, including any other person that acquires any Securities or that seeks to assert the rights of an Underwriter in respect of this letter (other than an Underwriter’s successor in interest by means of merger, consolidation, transfer of a business or other similar transaction).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20"/>
          </w:cols>
          <w:pgMar w:left="440" w:top="274" w:right="439" w:bottom="1440" w:gutter="0" w:footer="0" w:header="0"/>
        </w:sectPr>
      </w:pPr>
    </w:p>
    <w:bookmarkStart w:id="47" w:name="page48"/>
    <w:bookmarkEnd w:id="47"/>
    <w:p>
      <w:pPr>
        <w:ind w:left="4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Rick Hansen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5"/>
          <w:szCs w:val="15"/>
          <w:color w:val="auto"/>
        </w:rPr>
        <w:t>Assistant General Counsel and</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Corporate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A-2-5</w:t>
      </w:r>
    </w:p>
    <w:p>
      <w:pPr>
        <w:sectPr>
          <w:pgSz w:w="11900" w:h="16838" w:orient="portrait"/>
          <w:cols w:equalWidth="0" w:num="1">
            <w:col w:w="9019"/>
          </w:cols>
          <w:pgMar w:left="1440" w:top="27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00" w:lineRule="exact"/>
        <w:rPr>
          <w:sz w:val="20"/>
          <w:szCs w:val="20"/>
          <w:color w:val="auto"/>
        </w:rPr>
      </w:pPr>
    </w:p>
    <w:p>
      <w:pPr>
        <w:spacing w:after="0" w:line="241" w:lineRule="exact"/>
        <w:rPr>
          <w:sz w:val="20"/>
          <w:szCs w:val="20"/>
          <w:color w:val="auto"/>
        </w:rPr>
      </w:pPr>
    </w:p>
    <w:p>
      <w:pPr>
        <w:jc w:val="center"/>
        <w:ind w:right="416"/>
        <w:spacing w:after="0"/>
        <w:rPr>
          <w:sz w:val="20"/>
          <w:szCs w:val="20"/>
          <w:color w:val="auto"/>
        </w:rPr>
      </w:pPr>
      <w:r>
        <w:rPr>
          <w:rFonts w:ascii="Arial" w:cs="Arial" w:eastAsia="Arial" w:hAnsi="Arial"/>
          <w:sz w:val="18"/>
          <w:szCs w:val="18"/>
          <w:b w:val="1"/>
          <w:bCs w:val="1"/>
          <w:color w:val="auto"/>
        </w:rPr>
        <w:t>Incorporated Documents</w:t>
      </w:r>
    </w:p>
    <w:p>
      <w:pPr>
        <w:spacing w:after="0" w:line="256"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2017 filed with the Commission on February 6, 2018.</w:t>
      </w:r>
    </w:p>
    <w:p>
      <w:pPr>
        <w:spacing w:after="0" w:line="142" w:lineRule="exact"/>
        <w:rPr>
          <w:rFonts w:ascii="Arial" w:cs="Arial" w:eastAsia="Arial" w:hAnsi="Arial"/>
          <w:sz w:val="17"/>
          <w:szCs w:val="17"/>
          <w:color w:val="auto"/>
        </w:rPr>
      </w:pPr>
    </w:p>
    <w:p>
      <w:pPr>
        <w:jc w:val="both"/>
        <w:ind w:left="424" w:right="140" w:hanging="424"/>
        <w:spacing w:after="0" w:line="264"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the Company’s Definitive Proxy Statement on Schedule 14A for the Company’s Annual Meeting of Stockholders filed with the Commission on April 27, 2018 that are incorporated by reference into Part III of the Company’s Annual Report on Form 10-K for the year ended December 31, 2017 filed with the Commission on February 6, 2018.</w:t>
      </w:r>
    </w:p>
    <w:p>
      <w:pPr>
        <w:spacing w:after="0" w:line="86" w:lineRule="exact"/>
        <w:rPr>
          <w:rFonts w:ascii="Arial" w:cs="Arial" w:eastAsia="Arial" w:hAnsi="Arial"/>
          <w:sz w:val="18"/>
          <w:szCs w:val="18"/>
          <w:color w:val="auto"/>
        </w:rPr>
      </w:pPr>
    </w:p>
    <w:p>
      <w:pPr>
        <w:ind w:left="424" w:right="400" w:hanging="424"/>
        <w:spacing w:after="0" w:line="277"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quarterly period ended March 31, 2018 filed with the Commission on April 26, 2018.</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June 30, 2018 filed with the Commission on July 25, 2018.</w:t>
      </w:r>
    </w:p>
    <w:p>
      <w:pPr>
        <w:spacing w:after="0" w:line="153" w:lineRule="exact"/>
        <w:rPr>
          <w:rFonts w:ascii="Arial" w:cs="Arial" w:eastAsia="Arial" w:hAnsi="Arial"/>
          <w:sz w:val="16"/>
          <w:szCs w:val="16"/>
          <w:color w:val="auto"/>
        </w:rPr>
      </w:pPr>
    </w:p>
    <w:p>
      <w:pPr>
        <w:ind w:left="424" w:right="220" w:hanging="424"/>
        <w:spacing w:after="0" w:line="264"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Current Reports on Form 8-K filed with the Commission on September 25, 2017 (as amended on February 12, 2018), February 13, 2018, March 2, 2018, April 19, 2018 (as amended on June 12, 2018), April 20, 2018, May 31, 2018, June 14, 2018, June 15, 2018, July 26, 2018 and August 20, 2018.</w:t>
      </w:r>
    </w:p>
    <w:p>
      <w:pPr>
        <w:spacing w:after="0" w:line="11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584"/>
          </w:cols>
          <w:pgMar w:left="876" w:top="270"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00" w:lineRule="exact"/>
        <w:rPr>
          <w:sz w:val="20"/>
          <w:szCs w:val="20"/>
          <w:color w:val="auto"/>
        </w:rPr>
      </w:pPr>
    </w:p>
    <w:p>
      <w:pPr>
        <w:spacing w:after="0" w:line="241" w:lineRule="exact"/>
        <w:rPr>
          <w:sz w:val="20"/>
          <w:szCs w:val="20"/>
          <w:color w:val="auto"/>
        </w:rPr>
      </w:pPr>
    </w:p>
    <w:p>
      <w:pPr>
        <w:jc w:val="center"/>
        <w:ind w:right="416"/>
        <w:spacing w:after="0"/>
        <w:rPr>
          <w:sz w:val="20"/>
          <w:szCs w:val="20"/>
          <w:color w:val="auto"/>
        </w:rPr>
      </w:pPr>
      <w:r>
        <w:rPr>
          <w:rFonts w:ascii="Arial" w:cs="Arial" w:eastAsia="Arial" w:hAnsi="Arial"/>
          <w:sz w:val="18"/>
          <w:szCs w:val="18"/>
          <w:b w:val="1"/>
          <w:bCs w:val="1"/>
          <w:color w:val="auto"/>
        </w:rPr>
        <w:t>Disclosure Package</w:t>
      </w:r>
    </w:p>
    <w:p>
      <w:pPr>
        <w:spacing w:after="0" w:line="256" w:lineRule="exact"/>
        <w:rPr>
          <w:sz w:val="20"/>
          <w:szCs w:val="20"/>
          <w:color w:val="auto"/>
        </w:rPr>
      </w:pPr>
    </w:p>
    <w:p>
      <w:pPr>
        <w:ind w:left="4864" w:right="2700" w:hanging="4864"/>
        <w:spacing w:after="0" w:line="449" w:lineRule="auto"/>
        <w:tabs>
          <w:tab w:leader="none" w:pos="4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Free writing prospectus, dated September 5, 2018, as filed with the Commission on September 5, 2018. A-2-7</w:t>
      </w:r>
    </w:p>
    <w:p>
      <w:pPr>
        <w:sectPr>
          <w:pgSz w:w="11900" w:h="16838" w:orient="portrait"/>
          <w:cols w:equalWidth="0" w:num="1">
            <w:col w:w="10584"/>
          </w:cols>
          <w:pgMar w:left="876" w:top="270"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117" w:lineRule="exact"/>
        <w:rPr>
          <w:sz w:val="20"/>
          <w:szCs w:val="20"/>
          <w:color w:val="auto"/>
        </w:rPr>
      </w:pPr>
    </w:p>
    <w:p>
      <w:pPr>
        <w:ind w:right="200" w:firstLine="444"/>
        <w:spacing w:after="0" w:line="277"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solely on our review of the Delaware Certificates, the Company is duly incorporated and is validly existing and in good standing under the DGCL;</w:t>
      </w:r>
    </w:p>
    <w:p>
      <w:pPr>
        <w:spacing w:after="0" w:line="170" w:lineRule="exact"/>
        <w:rPr>
          <w:rFonts w:ascii="Arial" w:cs="Arial" w:eastAsia="Arial" w:hAnsi="Arial"/>
          <w:sz w:val="18"/>
          <w:szCs w:val="18"/>
          <w:color w:val="auto"/>
        </w:rPr>
      </w:pPr>
    </w:p>
    <w:p>
      <w:pPr>
        <w:ind w:right="600" w:firstLine="444"/>
        <w:spacing w:after="0" w:line="277"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under the DGCL to execute and deliver each of the Transaction Agreements and to consummate the issuance and sale of the Securities contemplated thereby.</w:t>
      </w:r>
    </w:p>
    <w:p>
      <w:pPr>
        <w:spacing w:after="0" w:line="170" w:lineRule="exact"/>
        <w:rPr>
          <w:rFonts w:ascii="Arial" w:cs="Arial" w:eastAsia="Arial" w:hAnsi="Arial"/>
          <w:sz w:val="18"/>
          <w:szCs w:val="18"/>
          <w:color w:val="auto"/>
        </w:rPr>
      </w:pPr>
    </w:p>
    <w:p>
      <w:pPr>
        <w:ind w:firstLine="444"/>
        <w:spacing w:after="0" w:line="277"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Underwriting Agreement and the Indenture has been duly authorized, executed and delivered by all requisite corporate action on the part of the Company under the DGCL.</w:t>
      </w:r>
    </w:p>
    <w:p>
      <w:pPr>
        <w:spacing w:after="0" w:line="170" w:lineRule="exact"/>
        <w:rPr>
          <w:rFonts w:ascii="Arial" w:cs="Arial" w:eastAsia="Arial" w:hAnsi="Arial"/>
          <w:sz w:val="18"/>
          <w:szCs w:val="18"/>
          <w:color w:val="auto"/>
        </w:rPr>
      </w:pPr>
    </w:p>
    <w:p>
      <w:pPr>
        <w:ind w:right="20" w:firstLine="444"/>
        <w:spacing w:after="0" w:line="277"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Indenture constitutes the valid and binding obligation of the Company, enforceable against the Company in accordance with its terms under the laws of the State of New York.</w:t>
      </w:r>
    </w:p>
    <w:p>
      <w:pPr>
        <w:spacing w:after="0" w:line="170" w:lineRule="exact"/>
        <w:rPr>
          <w:rFonts w:ascii="Arial" w:cs="Arial" w:eastAsia="Arial" w:hAnsi="Arial"/>
          <w:sz w:val="18"/>
          <w:szCs w:val="18"/>
          <w:color w:val="auto"/>
        </w:rPr>
      </w:pPr>
    </w:p>
    <w:p>
      <w:pPr>
        <w:jc w:val="both"/>
        <w:ind w:right="240" w:firstLine="444"/>
        <w:spacing w:after="0" w:line="257"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Note Certificates have been duly authorized by all requisite corporate action on the part of the Company and duly executed by the Company under the DGCL, and when duly authenticated by the Trustee and issued and delivered by the Company against payment therefor in accordance with the terms of the Underwriting Agreement and the Indenture, the Note Certificates will constitute valid and binding obligations of the Company, entitled to the benefits of the Indenture and enforceable against the Company in accordance with their terms under the laws of the State of New York.</w:t>
      </w:r>
    </w:p>
    <w:p>
      <w:pPr>
        <w:spacing w:after="0" w:line="188" w:lineRule="exact"/>
        <w:rPr>
          <w:rFonts w:ascii="Arial" w:cs="Arial" w:eastAsia="Arial" w:hAnsi="Arial"/>
          <w:sz w:val="18"/>
          <w:szCs w:val="18"/>
          <w:color w:val="auto"/>
        </w:rPr>
      </w:pPr>
    </w:p>
    <w:p>
      <w:pPr>
        <w:ind w:right="100" w:firstLine="444"/>
        <w:spacing w:after="0" w:line="286" w:lineRule="auto"/>
        <w:tabs>
          <w:tab w:leader="none" w:pos="6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consummation by the Company of the issuance and sale of the Securities contemplated thereby (i) conflicts with the Organizational Documents, (ii) constitutes a violation of, or a default under, any Scheduled Contract or (iii) violates the DGCL or any statutory laws of the State of New York or the United States of America.</w:t>
      </w:r>
    </w:p>
    <w:p>
      <w:pPr>
        <w:spacing w:after="0" w:line="165" w:lineRule="exact"/>
        <w:rPr>
          <w:rFonts w:ascii="Arial" w:cs="Arial" w:eastAsia="Arial" w:hAnsi="Arial"/>
          <w:sz w:val="17"/>
          <w:szCs w:val="17"/>
          <w:color w:val="auto"/>
        </w:rPr>
      </w:pPr>
    </w:p>
    <w:p>
      <w:pPr>
        <w:jc w:val="both"/>
        <w:ind w:right="60" w:firstLine="444"/>
        <w:spacing w:after="0" w:line="279" w:lineRule="auto"/>
        <w:tabs>
          <w:tab w:leader="none" w:pos="6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consummation by the Company of the issuance and sale of the Securities contemplated thereby requires the consent, approval, licensing or authorization of, or any filing, recording or registration with, any governmental authority under the DGCL or any statutory laws of the State of New York or the United States of America except for those consents, approvals, licenses and authorizations already obtained and those filings, recordings and registrations already made.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0"/>
          </w:cols>
          <w:pgMar w:left="440" w:top="270" w:right="439" w:bottom="1440" w:gutter="0" w:footer="0" w:header="0"/>
        </w:sectPr>
      </w:pPr>
    </w:p>
    <w:bookmarkStart w:id="51" w:name="page52"/>
    <w:bookmarkEnd w:id="51"/>
    <w:p>
      <w:pPr>
        <w:ind w:left="-20" w:right="540" w:firstLine="444"/>
        <w:spacing w:after="0" w:line="342" w:lineRule="auto"/>
        <w:tabs>
          <w:tab w:leader="none" w:pos="601"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not and, solely after giving effect to the offering and sale of the Securities and the application of the proceeds thereof as described in the Prospectus, will not be an “investment company” as such term is defined in the Investment Company Act of 1940, as amended.</w:t>
      </w:r>
    </w:p>
    <w:p>
      <w:pPr>
        <w:spacing w:after="0" w:line="123" w:lineRule="exact"/>
        <w:rPr>
          <w:rFonts w:ascii="Arial" w:cs="Arial" w:eastAsia="Arial" w:hAnsi="Arial"/>
          <w:sz w:val="16"/>
          <w:szCs w:val="16"/>
          <w:color w:val="auto"/>
        </w:rPr>
      </w:pPr>
    </w:p>
    <w:p>
      <w:pPr>
        <w:ind w:left="-20" w:right="180" w:firstLine="444"/>
        <w:spacing w:after="0" w:line="286" w:lineRule="auto"/>
        <w:tabs>
          <w:tab w:leader="none" w:pos="6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statements in the Prospectus and the Disclosure Package under the captions “Description of Debt Securities” (other than those under the caption “Book-Entry; Delivery and Form; Global Securities”) and “Description of the Notes,” insofar as such statements purport to summarize certain provisions of the Indenture and the Note Certificates, fairly summarize such provisions in all material respects.</w:t>
      </w:r>
    </w:p>
    <w:p>
      <w:pPr>
        <w:spacing w:after="0" w:line="165" w:lineRule="exact"/>
        <w:rPr>
          <w:rFonts w:ascii="Arial" w:cs="Arial" w:eastAsia="Arial" w:hAnsi="Arial"/>
          <w:sz w:val="17"/>
          <w:szCs w:val="17"/>
          <w:color w:val="auto"/>
        </w:rPr>
      </w:pPr>
    </w:p>
    <w:p>
      <w:pPr>
        <w:ind w:left="-20" w:firstLine="444"/>
        <w:spacing w:after="0" w:line="259" w:lineRule="auto"/>
        <w:tabs>
          <w:tab w:leader="none" w:pos="6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Registration Statement, at the Effective Time, and the Prospectus, as of the date thereof, appeared on their face to be appropriately responsive in all material respects to the requirements of the Securities Act and the Rules and Regulations (except that in each case we do not express any view as to the financial statements, schedules and other financial information included or incorporated by reference therein or excluded therefrom or the Statement of Eligibility on Form T-1).</w:t>
      </w:r>
    </w:p>
    <w:p>
      <w:pPr>
        <w:spacing w:after="0" w:line="186" w:lineRule="exact"/>
        <w:rPr>
          <w:rFonts w:ascii="Arial" w:cs="Arial" w:eastAsia="Arial" w:hAnsi="Arial"/>
          <w:sz w:val="18"/>
          <w:szCs w:val="18"/>
          <w:color w:val="auto"/>
        </w:rPr>
      </w:pPr>
    </w:p>
    <w:p>
      <w:pPr>
        <w:ind w:left="-20" w:right="60" w:firstLine="444"/>
        <w:spacing w:after="0" w:line="257" w:lineRule="auto"/>
        <w:tabs>
          <w:tab w:leader="none" w:pos="6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Assuming the accuracy of the representations and warranties of the Company set forth in Section VIII(m) of the Underwriting Agreement, the Registration Statement became effective upon filing with the Commission pursuant to Rule 462 of the Rules and Regulations and, pursuant to Section 309 of the Trust Indenture Act of 1939, the Base Indenture has been qualified under the Trust Indenture Act of 1939, and to our knowledge, based solely upon our review of the Commission’s website, no stop order suspending the effectiveness of the Registration Statement has been issued by the Commission.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0980"/>
          </w:cols>
          <w:pgMar w:left="460" w:top="274" w:right="4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OPINION OF COUNSEL TO THE COMPANY</w:t>
      </w:r>
    </w:p>
    <w:p>
      <w:pPr>
        <w:spacing w:after="0" w:line="121" w:lineRule="exact"/>
        <w:rPr>
          <w:sz w:val="20"/>
          <w:szCs w:val="20"/>
          <w:color w:val="auto"/>
        </w:rPr>
      </w:pPr>
    </w:p>
    <w:p>
      <w:pPr>
        <w:ind w:right="340" w:firstLine="441"/>
        <w:spacing w:after="0" w:line="297" w:lineRule="auto"/>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and in the Preliminary Prospectus and the Prospectus, we are of the opinion that under current United States federal income tax law, although the discussion set forth in the Preliminary Prospectus and the Prospectus under the caption “U.S. Federal Tax Considerations” does not purport to discuss all possible U.S. federal income tax considerations of the purchase, ownership and disposition of the Notes, such discussion constitutes, in all material respects, a fair and accurate summary of such U.S. federal income tax considerations to U.S. Holders and Non-U.S. Holders (as defined therein).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20"/>
          </w:cols>
          <w:pgMar w:left="440" w:top="270"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SG Americas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firstLine="441"/>
        <w:spacing w:after="0" w:line="289" w:lineRule="auto"/>
        <w:rPr>
          <w:sz w:val="20"/>
          <w:szCs w:val="20"/>
          <w:color w:val="auto"/>
        </w:rPr>
      </w:pPr>
      <w:r>
        <w:rPr>
          <w:rFonts w:ascii="Arial" w:cs="Arial" w:eastAsia="Arial" w:hAnsi="Arial"/>
          <w:sz w:val="16"/>
          <w:szCs w:val="16"/>
          <w:color w:val="auto"/>
        </w:rPr>
        <w:t>We have acted as counsel for you and the other several Underwriters named in Schedule I to the Underwriting Agreement dated September 5, 2018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 which you and such other Underwriters have severally agreed to purchase from the Company $450,000,000 aggregate principal amount of the Company’s Floating Rate Senior Notes due 2021 (the “</w:t>
      </w:r>
      <w:r>
        <w:rPr>
          <w:rFonts w:ascii="Arial" w:cs="Arial" w:eastAsia="Arial" w:hAnsi="Arial"/>
          <w:sz w:val="16"/>
          <w:szCs w:val="16"/>
          <w:b w:val="1"/>
          <w:bCs w:val="1"/>
          <w:color w:val="auto"/>
        </w:rPr>
        <w:t>Floating Rate Notes</w:t>
      </w:r>
      <w:r>
        <w:rPr>
          <w:rFonts w:ascii="Arial" w:cs="Arial" w:eastAsia="Arial" w:hAnsi="Arial"/>
          <w:sz w:val="16"/>
          <w:szCs w:val="16"/>
          <w:color w:val="auto"/>
        </w:rPr>
        <w:t>”), $750,000,000 aggregate principal amount of the Company’s 5.000% Senior Notes due 2028 (the “</w:t>
      </w:r>
      <w:r>
        <w:rPr>
          <w:rFonts w:ascii="Arial" w:cs="Arial" w:eastAsia="Arial" w:hAnsi="Arial"/>
          <w:sz w:val="16"/>
          <w:szCs w:val="16"/>
          <w:b w:val="1"/>
          <w:bCs w:val="1"/>
          <w:color w:val="auto"/>
        </w:rPr>
        <w:t>2028</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$900,000,000 aggregate principal amount of the Company’s 5.950% Senior Notes due 2049 (the “</w:t>
      </w:r>
      <w:r>
        <w:rPr>
          <w:rFonts w:ascii="Arial" w:cs="Arial" w:eastAsia="Arial" w:hAnsi="Arial"/>
          <w:sz w:val="16"/>
          <w:szCs w:val="16"/>
          <w:b w:val="1"/>
          <w:bCs w:val="1"/>
          <w:color w:val="auto"/>
        </w:rPr>
        <w:t>2049 Notes</w:t>
      </w:r>
      <w:r>
        <w:rPr>
          <w:rFonts w:ascii="Arial" w:cs="Arial" w:eastAsia="Arial" w:hAnsi="Arial"/>
          <w:sz w:val="16"/>
          <w:szCs w:val="16"/>
          <w:color w:val="auto"/>
        </w:rPr>
        <w:t>” and, together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Floating Rate Notes and the 2028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issued pursuant to the provisions of the Indenture dated as of September 27, 2013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and supplemented by the supplemental indenture to be dated as of September 10, 2018 (the “</w:t>
      </w:r>
      <w:r>
        <w:rPr>
          <w:rFonts w:ascii="Arial" w:cs="Arial" w:eastAsia="Arial" w:hAnsi="Arial"/>
          <w:sz w:val="16"/>
          <w:szCs w:val="16"/>
          <w:b w:val="1"/>
          <w:bCs w:val="1"/>
          <w:color w:val="auto"/>
        </w:rPr>
        <w:t>Fifth Supplemental Indenture</w:t>
      </w:r>
      <w:r>
        <w:rPr>
          <w:rFonts w:ascii="Arial" w:cs="Arial" w:eastAsia="Arial" w:hAnsi="Arial"/>
          <w:sz w:val="16"/>
          <w:szCs w:val="16"/>
          <w:color w:val="auto"/>
        </w:rPr>
        <w:t>” and, together with the Base Indenture and the Fifth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Trustee.</w:t>
      </w:r>
    </w:p>
    <w:p>
      <w:pPr>
        <w:spacing w:after="0" w:line="16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We have examined originals or copies of such documents, corporate records, certificates of public officials and other instruments as we have deemed necessary or advisable for the purpose of rendering this opinion.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20"/>
          </w:cols>
          <w:pgMar w:left="440" w:top="270" w:right="439" w:bottom="1440" w:gutter="0" w:footer="0" w:header="0"/>
        </w:sectPr>
      </w:pPr>
    </w:p>
    <w:bookmarkStart w:id="54" w:name="page55"/>
    <w:bookmarkEnd w:id="54"/>
    <w:p>
      <w:pPr>
        <w:ind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also reviewed the Company’s registration statement on Form S-3 (File No. 333-215924) (including the documents incorporated by reference therein (the “</w:t>
      </w:r>
      <w:r>
        <w:rPr>
          <w:rFonts w:ascii="Arial" w:cs="Arial" w:eastAsia="Arial" w:hAnsi="Arial"/>
          <w:sz w:val="16"/>
          <w:szCs w:val="16"/>
          <w:b w:val="1"/>
          <w:bCs w:val="1"/>
          <w:color w:val="auto"/>
        </w:rPr>
        <w:t>Incorporated Documents</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the provisions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the registration of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to be issued from time to time by the Company and have participated in the preparation of the preliminary prospectus supplement dated September 5, 2018 relating to the Securities, the free writing prospectus set forth in Schedule II to the Underwriting Agreement relating to the Securities and the prospectus supplement dated September 5, 2018 relating to the Securities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The registration statement became effective under the Act and the Indenture qualified under the Trust Indenture Act of 1939, as amended, upon the filing of the registration statement with the Commission on February 7, 2017 pursuant to Rule 462(e). The registration statement at the date of the Underwriting Agreement, including the Incorporated Documents and the information deemed to be part of the registration statement at the time of effectiveness pursuant to Rule 430B under the Act,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(including the Incorporated Documents) dated February 7, 2017 relating to the Shelf Securities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17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 w:cs="Arial" w:eastAsia="Arial" w:hAnsi="Arial"/>
          <w:sz w:val="17"/>
          <w:szCs w:val="17"/>
          <w:b w:val="1"/>
          <w:bCs w:val="1"/>
          <w:color w:val="auto"/>
        </w:rPr>
        <w:t>EDGAR</w:t>
      </w:r>
      <w:r>
        <w:rPr>
          <w:rFonts w:ascii="Arial" w:cs="Arial" w:eastAsia="Arial" w:hAnsi="Arial"/>
          <w:sz w:val="17"/>
          <w:szCs w:val="17"/>
          <w:color w:val="auto"/>
        </w:rPr>
        <w:t>”)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w:t>
      </w:r>
    </w:p>
    <w:p>
      <w:pPr>
        <w:spacing w:after="0" w:line="131" w:lineRule="exact"/>
        <w:rPr>
          <w:sz w:val="20"/>
          <w:szCs w:val="20"/>
          <w:color w:val="auto"/>
        </w:rPr>
      </w:pPr>
    </w:p>
    <w:p>
      <w:pPr>
        <w:ind w:left="440" w:right="20" w:hanging="436"/>
        <w:spacing w:after="0" w:line="25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Securities to the extent determined to constitute unearned interest.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20"/>
          </w:cols>
          <w:pgMar w:left="440" w:top="274" w:right="439" w:bottom="1440" w:gutter="0" w:footer="0" w:header="0"/>
        </w:sectPr>
      </w:pPr>
    </w:p>
    <w:bookmarkStart w:id="55" w:name="page56"/>
    <w:bookmarkEnd w:id="55"/>
    <w:p>
      <w:pPr>
        <w:ind w:left="440" w:hanging="436"/>
        <w:spacing w:after="0" w:line="255"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have been duly authorized and, when executed and authenticated in accordance with the provisions of the Indenture and delivered to and paid for by the Underwriters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and will be entitled to the benefits of the Indenture pursuant to which such Securities are to be issued, provided that we express no opinion as to the validity, legally binding effect or enforceability of any provision that permits holders to collect any portion of stated principal amount upon acceleration of the Securities to the extent determined to constitute unearned interest.</w:t>
      </w:r>
    </w:p>
    <w:p>
      <w:pPr>
        <w:spacing w:after="0" w:line="94" w:lineRule="exact"/>
        <w:rPr>
          <w:rFonts w:ascii="Arial" w:cs="Arial" w:eastAsia="Arial" w:hAnsi="Arial"/>
          <w:sz w:val="18"/>
          <w:szCs w:val="18"/>
          <w:color w:val="auto"/>
        </w:rPr>
      </w:pPr>
    </w:p>
    <w:p>
      <w:pPr>
        <w:ind w:left="540" w:hanging="53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We have considered the statements included in the Prospectus under the captions “Description of Debt Securities,” “Description of the Notes” and “Underwriting” insofar as they summarize provisions of the Indenture, the Securities and the Underwriting Agreement. In our opinion, such statements fairly summarize these provisions in all material respects.</w:t>
      </w:r>
    </w:p>
    <w:p>
      <w:pPr>
        <w:spacing w:after="0" w:line="181"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In rendering the opinions in paragraphs (1) through (3) above, we have assumed that each party to the Indenture, the Underwriting Agreement and the Securities (the “</w:t>
      </w:r>
      <w:r>
        <w:rPr>
          <w:rFonts w:ascii="Arial" w:cs="Arial" w:eastAsia="Arial" w:hAnsi="Arial"/>
          <w:sz w:val="16"/>
          <w:szCs w:val="16"/>
          <w:b w:val="1"/>
          <w:bCs w:val="1"/>
          <w:color w:val="auto"/>
        </w:rPr>
        <w:t>Documents</w:t>
      </w:r>
      <w:r>
        <w:rPr>
          <w:rFonts w:ascii="Arial" w:cs="Arial" w:eastAsia="Arial" w:hAnsi="Arial"/>
          <w:sz w:val="16"/>
          <w:szCs w:val="16"/>
          <w:color w:val="auto"/>
        </w:rPr>
        <w:t>”) has been duly incorporated and is validly existing and in good standing under the laws of the jurisdiction of its organization. In addition, we have assumed that (i) the execution, delivery and performance by each party thereto of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(ii) each Document (other than the Underwriting Agreement) is a valid, binding and enforceable agreement of each party thereto (other than as expressly covered above in respect of the Company).</w:t>
      </w:r>
    </w:p>
    <w:p>
      <w:pPr>
        <w:spacing w:after="0" w:line="16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020"/>
          </w:cols>
          <w:pgMar w:left="440" w:top="274" w:right="439" w:bottom="1440" w:gutter="0" w:footer="0" w:header="0"/>
        </w:sectPr>
      </w:pPr>
    </w:p>
    <w:bookmarkStart w:id="56" w:name="page57"/>
    <w:bookmarkEnd w:id="56"/>
    <w:p>
      <w:pPr>
        <w:ind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rendered solely to you and the other several Underwriters in connection with the Underwriting Agreement. This opinion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860"/>
          </w:cols>
          <w:pgMar w:left="440" w:top="274" w:right="5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10B-5 STATEMENT OF COUNSEL FOR THE UNDERWRITERS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SG Americas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441"/>
        <w:spacing w:after="0" w:line="273" w:lineRule="auto"/>
        <w:rPr>
          <w:sz w:val="20"/>
          <w:szCs w:val="20"/>
          <w:color w:val="auto"/>
        </w:rPr>
      </w:pPr>
      <w:r>
        <w:rPr>
          <w:rFonts w:ascii="Arial" w:cs="Arial" w:eastAsia="Arial" w:hAnsi="Arial"/>
          <w:sz w:val="17"/>
          <w:szCs w:val="17"/>
          <w:color w:val="auto"/>
        </w:rPr>
        <w:t>We have acted as counsel for you and the other several Underwriters named in Schedule I to the Underwriting Agreement dated September 5, 2018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General Motors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under which you and such other Underwriters have severally agreed to purchase from the Company $450,000,000 aggregate principal amount of the Company’s Floating Rate Senior Notes due 2021 (the “</w:t>
      </w:r>
      <w:r>
        <w:rPr>
          <w:rFonts w:ascii="Arial" w:cs="Arial" w:eastAsia="Arial" w:hAnsi="Arial"/>
          <w:sz w:val="17"/>
          <w:szCs w:val="17"/>
          <w:b w:val="1"/>
          <w:bCs w:val="1"/>
          <w:color w:val="auto"/>
        </w:rPr>
        <w:t>Floating Rate Notes</w:t>
      </w:r>
      <w:r>
        <w:rPr>
          <w:rFonts w:ascii="Arial" w:cs="Arial" w:eastAsia="Arial" w:hAnsi="Arial"/>
          <w:sz w:val="17"/>
          <w:szCs w:val="17"/>
          <w:color w:val="auto"/>
        </w:rPr>
        <w:t>”), $750,000,000 aggregate principal amount of the Company’s 5.000% Senior Notes due 2028 (the “</w:t>
      </w:r>
      <w:r>
        <w:rPr>
          <w:rFonts w:ascii="Arial" w:cs="Arial" w:eastAsia="Arial" w:hAnsi="Arial"/>
          <w:sz w:val="17"/>
          <w:szCs w:val="17"/>
          <w:b w:val="1"/>
          <w:bCs w:val="1"/>
          <w:color w:val="auto"/>
        </w:rPr>
        <w:t>2028</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and $900,000,000 aggregate principal amount of the Company’s 5.950% Senior Notes due 2049 (the “</w:t>
      </w:r>
      <w:r>
        <w:rPr>
          <w:rFonts w:ascii="Arial" w:cs="Arial" w:eastAsia="Arial" w:hAnsi="Arial"/>
          <w:sz w:val="17"/>
          <w:szCs w:val="17"/>
          <w:b w:val="1"/>
          <w:bCs w:val="1"/>
          <w:color w:val="auto"/>
        </w:rPr>
        <w:t>2049 Notes</w:t>
      </w:r>
      <w:r>
        <w:rPr>
          <w:rFonts w:ascii="Arial" w:cs="Arial" w:eastAsia="Arial" w:hAnsi="Arial"/>
          <w:sz w:val="17"/>
          <w:szCs w:val="17"/>
          <w:color w:val="auto"/>
        </w:rPr>
        <w:t>” and, together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Floating Rate Notes and the 2028 Notes,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We have reviewed the Company’s registration statement on Form S-3 (File No. 333-215924) (including the documents incorporated by reference therein (the “</w:t>
      </w:r>
      <w:r>
        <w:rPr>
          <w:rFonts w:ascii="Arial" w:cs="Arial" w:eastAsia="Arial" w:hAnsi="Arial"/>
          <w:sz w:val="18"/>
          <w:szCs w:val="18"/>
          <w:b w:val="1"/>
          <w:bCs w:val="1"/>
          <w:color w:val="auto"/>
        </w:rPr>
        <w:t>Incorporated Documents</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the provisions of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the registration of securities (the “</w:t>
      </w:r>
      <w:r>
        <w:rPr>
          <w:rFonts w:ascii="Arial" w:cs="Arial" w:eastAsia="Arial" w:hAnsi="Arial"/>
          <w:sz w:val="18"/>
          <w:szCs w:val="18"/>
          <w:b w:val="1"/>
          <w:bCs w:val="1"/>
          <w:color w:val="auto"/>
        </w:rPr>
        <w:t>Shelf Securities</w:t>
      </w:r>
      <w:r>
        <w:rPr>
          <w:rFonts w:ascii="Arial" w:cs="Arial" w:eastAsia="Arial" w:hAnsi="Arial"/>
          <w:sz w:val="18"/>
          <w:szCs w:val="18"/>
          <w:color w:val="auto"/>
        </w:rPr>
        <w:t>”) to be issued from time to time by the Company and have participated in the preparation of the preliminary prospectus supplement dated September 5, 2018 (the “</w:t>
      </w:r>
      <w:r>
        <w:rPr>
          <w:rFonts w:ascii="Arial" w:cs="Arial" w:eastAsia="Arial" w:hAnsi="Arial"/>
          <w:sz w:val="18"/>
          <w:szCs w:val="18"/>
          <w:b w:val="1"/>
          <w:bCs w:val="1"/>
          <w:color w:val="auto"/>
        </w:rPr>
        <w:t>Preliminary Prospectus</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w:t>
      </w:r>
      <w:r>
        <w:rPr>
          <w:rFonts w:ascii="Arial" w:cs="Arial" w:eastAsia="Arial" w:hAnsi="Arial"/>
          <w:sz w:val="18"/>
          <w:szCs w:val="18"/>
          <w:color w:val="auto"/>
        </w:rPr>
        <w:t>”) relating to the Securities, the free writing prospectus set forth in Schedule II to the Underwriting Agreement relating to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prospectus supplement dated September 5, 2018 relating to the Securities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The registration statement at the date of the Underwriting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020"/>
          </w:cols>
          <w:pgMar w:left="440" w:top="270" w:right="439" w:bottom="1440" w:gutter="0" w:footer="0" w:header="0"/>
        </w:sectPr>
      </w:pPr>
    </w:p>
    <w:bookmarkStart w:id="58" w:name="page59"/>
    <w:bookmarkEnd w:id="58"/>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Incorporated Documents and the information deemed to be part of the registration statement at the time of effectiveness pursuant to Rule 430B under the Act,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(including the Incorporated Documents) dated February 7, 2017 relating to the Shelf Securities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Preliminary Prospectus Supplement, together with the free writing prospectus set forth in Schedule II to the Underwriting Agreement for the Securities are hereinafter referred to as the “</w:t>
      </w:r>
      <w:r>
        <w:rPr>
          <w:rFonts w:ascii="Arial" w:cs="Arial" w:eastAsia="Arial" w:hAnsi="Arial"/>
          <w:sz w:val="17"/>
          <w:szCs w:val="17"/>
          <w:b w:val="1"/>
          <w:bCs w:val="1"/>
          <w:color w:val="auto"/>
        </w:rPr>
        <w:t>Disclosure Package</w:t>
      </w:r>
      <w:r>
        <w:rPr>
          <w:rFonts w:ascii="Arial" w:cs="Arial" w:eastAsia="Arial" w:hAnsi="Arial"/>
          <w:sz w:val="17"/>
          <w:szCs w:val="17"/>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w:t>
      </w:r>
    </w:p>
    <w:p>
      <w:pPr>
        <w:spacing w:after="0" w:line="178"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We have, without independent inquiry or investigation, assumed that all documents filed with or submitted to the Commission through its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(except for required EDGAR formatting changes) conform to the versions of such documents reviewed by us prior to such formatting.</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Debt Securities,” “Description of the Notes”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7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020"/>
          </w:cols>
          <w:pgMar w:left="440" w:top="274" w:right="439" w:bottom="1440" w:gutter="0" w:footer="0" w:header="0"/>
        </w:sectPr>
      </w:pPr>
    </w:p>
    <w:bookmarkStart w:id="59" w:name="page60"/>
    <w:bookmarkEnd w:id="59"/>
    <w:p>
      <w:pPr>
        <w:ind w:left="860" w:right="40" w:hanging="424"/>
        <w:spacing w:after="0" w:line="277"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and the Prospectus appear on their face to be appropriately responsive in all material respects to the requirements of the Act and the applicable rules and regulations of the Commission thereunder;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nothing has come to our attention that causes us to believe that, insofar as relevant to the offering of the Securities:</w:t>
      </w:r>
    </w:p>
    <w:p>
      <w:pPr>
        <w:spacing w:after="0" w:line="130" w:lineRule="exact"/>
        <w:rPr>
          <w:rFonts w:ascii="Arial" w:cs="Arial" w:eastAsia="Arial" w:hAnsi="Arial"/>
          <w:sz w:val="18"/>
          <w:szCs w:val="18"/>
          <w:color w:val="auto"/>
        </w:rPr>
      </w:pPr>
    </w:p>
    <w:p>
      <w:pPr>
        <w:ind w:left="1420" w:right="120" w:hanging="538"/>
        <w:spacing w:after="0" w:line="308" w:lineRule="auto"/>
        <w:tabs>
          <w:tab w:leader="none" w:pos="14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51" w:lineRule="exact"/>
        <w:rPr>
          <w:rFonts w:ascii="Arial" w:cs="Arial" w:eastAsia="Arial" w:hAnsi="Arial"/>
          <w:sz w:val="17"/>
          <w:szCs w:val="17"/>
          <w:color w:val="auto"/>
        </w:rPr>
      </w:pPr>
    </w:p>
    <w:p>
      <w:pPr>
        <w:jc w:val="both"/>
        <w:ind w:left="1420" w:right="100" w:hanging="538"/>
        <w:spacing w:after="0" w:line="264"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at 4:45 P.M. New York City time on September 5, 2018 the Disclosure Package contained any untrue statement of a material fact or omitted to state a material fact necessary in order to make the statements therein, in the light of the circumstances under which they were made, not misleading, or</w:t>
      </w:r>
    </w:p>
    <w:p>
      <w:pPr>
        <w:spacing w:after="0" w:line="86" w:lineRule="exact"/>
        <w:rPr>
          <w:rFonts w:ascii="Arial" w:cs="Arial" w:eastAsia="Arial" w:hAnsi="Arial"/>
          <w:sz w:val="18"/>
          <w:szCs w:val="18"/>
          <w:color w:val="auto"/>
        </w:rPr>
      </w:pPr>
    </w:p>
    <w:p>
      <w:pPr>
        <w:ind w:left="1420" w:right="60" w:hanging="538"/>
        <w:spacing w:after="0" w:line="264"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the Prospectus or the Statement of Eligibility of the Trustee on Form T-1. In addition, we express no view as to the conveyance of the Disclosure Package or the information contained therein to investors.</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000"/>
          </w:cols>
          <w:pgMar w:left="440" w:top="274"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FIFTH SUPPLEMENTAL 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September 10, 2018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Floating Rate Senior Notes due 2021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5.000% Senior Notes due 2028</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5.950%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40" w:type="dxa"/>
            <w:vAlign w:val="bottom"/>
            <w:vMerge w:val="restart"/>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 of Terms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0640" w:type="dxa"/>
            <w:vAlign w:val="bottom"/>
          </w:tcPr>
          <w:p>
            <w:pPr>
              <w:spacing w:after="0"/>
              <w:rPr>
                <w:sz w:val="20"/>
                <w:szCs w:val="20"/>
                <w:color w:val="auto"/>
              </w:rPr>
            </w:pPr>
            <w:r>
              <w:rPr>
                <w:rFonts w:ascii="Arial" w:cs="Arial" w:eastAsia="Arial" w:hAnsi="Arial"/>
                <w:sz w:val="18"/>
                <w:szCs w:val="18"/>
                <w:color w:val="auto"/>
              </w:rPr>
              <w:t>ARTICLE 2 TERMS AND CONDITIONS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Principal Amount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Maturity</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Further Issues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Payment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Authorized Denominations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Redemption and Sinking Fund</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Ranking</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Appointments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Waiver of Certain Covenants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Guarantees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0640" w:type="dxa"/>
            <w:vAlign w:val="bottom"/>
          </w:tcPr>
          <w:p>
            <w:pPr>
              <w:spacing w:after="0"/>
              <w:rPr>
                <w:sz w:val="20"/>
                <w:szCs w:val="20"/>
                <w:color w:val="auto"/>
              </w:rPr>
            </w:pPr>
            <w:r>
              <w:rPr>
                <w:rFonts w:ascii="Arial" w:cs="Arial" w:eastAsia="Arial" w:hAnsi="Arial"/>
                <w:sz w:val="18"/>
                <w:szCs w:val="18"/>
                <w:color w:val="auto"/>
              </w:rPr>
              <w:t>ARTICLE 3 COVENANTS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Additional Covenants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Limitation on Sales and Lease-Backs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10640" w:type="dxa"/>
            <w:vAlign w:val="bottom"/>
          </w:tcPr>
          <w:p>
            <w:pPr>
              <w:spacing w:after="0"/>
              <w:rPr>
                <w:sz w:val="20"/>
                <w:szCs w:val="20"/>
                <w:color w:val="auto"/>
              </w:rPr>
            </w:pPr>
            <w:r>
              <w:rPr>
                <w:rFonts w:ascii="Arial" w:cs="Arial" w:eastAsia="Arial" w:hAnsi="Arial"/>
                <w:sz w:val="18"/>
                <w:szCs w:val="18"/>
                <w:color w:val="auto"/>
              </w:rPr>
              <w:t>ARTICLE 4 FORM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Form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640" w:type="dxa"/>
            <w:vAlign w:val="bottom"/>
          </w:tcPr>
          <w:p>
            <w:pPr>
              <w:spacing w:after="0"/>
              <w:rPr>
                <w:sz w:val="20"/>
                <w:szCs w:val="20"/>
                <w:color w:val="auto"/>
              </w:rPr>
            </w:pPr>
            <w:r>
              <w:rPr>
                <w:rFonts w:ascii="Arial" w:cs="Arial" w:eastAsia="Arial" w:hAnsi="Arial"/>
                <w:sz w:val="18"/>
                <w:szCs w:val="18"/>
                <w:color w:val="auto"/>
              </w:rPr>
              <w:t>ARTICLE 5 ORIGINAL ISSUE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Original Issue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0640" w:type="dxa"/>
            <w:vAlign w:val="bottom"/>
          </w:tcPr>
          <w:p>
            <w:pPr>
              <w:spacing w:after="0"/>
              <w:rPr>
                <w:sz w:val="20"/>
                <w:szCs w:val="20"/>
                <w:color w:val="auto"/>
              </w:rPr>
            </w:pPr>
            <w:r>
              <w:rPr>
                <w:rFonts w:ascii="Arial" w:cs="Arial" w:eastAsia="Arial" w:hAnsi="Arial"/>
                <w:sz w:val="18"/>
                <w:szCs w:val="18"/>
                <w:color w:val="auto"/>
              </w:rPr>
              <w:t>ARTICLE 6 MISCELLANEOUS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Ratification of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Separability Clause</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Counterparts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0640" w:type="dxa"/>
            <w:vAlign w:val="bottom"/>
          </w:tcPr>
          <w:p>
            <w:pPr>
              <w:ind w:left="3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Calculation Agent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A-1</w:t>
            </w:r>
          </w:p>
        </w:tc>
        <w:tc>
          <w:tcPr>
            <w:tcW w:w="6000" w:type="dxa"/>
            <w:vAlign w:val="bottom"/>
            <w:gridSpan w:val="2"/>
          </w:tcPr>
          <w:p>
            <w:pPr>
              <w:ind w:left="120"/>
              <w:spacing w:after="0"/>
              <w:rPr>
                <w:sz w:val="20"/>
                <w:szCs w:val="20"/>
                <w:color w:val="auto"/>
              </w:rPr>
            </w:pPr>
            <w:r>
              <w:rPr>
                <w:rFonts w:ascii="Arial" w:cs="Arial" w:eastAsia="Arial" w:hAnsi="Arial"/>
                <w:sz w:val="18"/>
                <w:szCs w:val="18"/>
                <w:color w:val="auto"/>
              </w:rPr>
              <w:t>—   Form of Floating Rate Notes</w:t>
            </w:r>
          </w:p>
        </w:tc>
        <w:tc>
          <w:tcPr>
            <w:tcW w:w="3840" w:type="dxa"/>
            <w:vAlign w:val="bottom"/>
          </w:tcPr>
          <w:p>
            <w:pPr>
              <w:ind w:left="3420"/>
              <w:spacing w:after="0"/>
              <w:rPr>
                <w:sz w:val="20"/>
                <w:szCs w:val="20"/>
                <w:color w:val="auto"/>
              </w:rPr>
            </w:pPr>
            <w:r>
              <w:rPr>
                <w:rFonts w:ascii="Arial" w:cs="Arial" w:eastAsia="Arial" w:hAnsi="Arial"/>
                <w:sz w:val="18"/>
                <w:szCs w:val="18"/>
                <w:color w:val="auto"/>
                <w:w w:val="90"/>
              </w:rPr>
              <w:t>A-1-1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A-2</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5580" w:type="dxa"/>
            <w:vAlign w:val="bottom"/>
          </w:tcPr>
          <w:p>
            <w:pPr>
              <w:ind w:left="100"/>
              <w:spacing w:after="0"/>
              <w:rPr>
                <w:sz w:val="20"/>
                <w:szCs w:val="20"/>
                <w:color w:val="auto"/>
              </w:rPr>
            </w:pPr>
            <w:r>
              <w:rPr>
                <w:rFonts w:ascii="Arial" w:cs="Arial" w:eastAsia="Arial" w:hAnsi="Arial"/>
                <w:sz w:val="18"/>
                <w:szCs w:val="18"/>
                <w:color w:val="auto"/>
              </w:rPr>
              <w:t>Form of 2028 Notes</w:t>
            </w:r>
          </w:p>
        </w:tc>
        <w:tc>
          <w:tcPr>
            <w:tcW w:w="3840" w:type="dxa"/>
            <w:vAlign w:val="bottom"/>
          </w:tcPr>
          <w:p>
            <w:pPr>
              <w:ind w:left="3420"/>
              <w:spacing w:after="0"/>
              <w:rPr>
                <w:sz w:val="20"/>
                <w:szCs w:val="20"/>
                <w:color w:val="auto"/>
              </w:rPr>
            </w:pPr>
            <w:r>
              <w:rPr>
                <w:rFonts w:ascii="Arial" w:cs="Arial" w:eastAsia="Arial" w:hAnsi="Arial"/>
                <w:sz w:val="18"/>
                <w:szCs w:val="18"/>
                <w:color w:val="auto"/>
                <w:w w:val="90"/>
              </w:rPr>
              <w:t>A-2-1</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A-3</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5580" w:type="dxa"/>
            <w:vAlign w:val="bottom"/>
          </w:tcPr>
          <w:p>
            <w:pPr>
              <w:ind w:left="100"/>
              <w:spacing w:after="0"/>
              <w:rPr>
                <w:sz w:val="20"/>
                <w:szCs w:val="20"/>
                <w:color w:val="auto"/>
              </w:rPr>
            </w:pPr>
            <w:r>
              <w:rPr>
                <w:rFonts w:ascii="Arial" w:cs="Arial" w:eastAsia="Arial" w:hAnsi="Arial"/>
                <w:sz w:val="18"/>
                <w:szCs w:val="18"/>
                <w:color w:val="auto"/>
              </w:rPr>
              <w:t>Form of 2049 Notes</w:t>
            </w:r>
          </w:p>
        </w:tc>
        <w:tc>
          <w:tcPr>
            <w:tcW w:w="3840" w:type="dxa"/>
            <w:vAlign w:val="bottom"/>
          </w:tcPr>
          <w:p>
            <w:pPr>
              <w:ind w:left="3420"/>
              <w:spacing w:after="0"/>
              <w:rPr>
                <w:sz w:val="20"/>
                <w:szCs w:val="20"/>
                <w:color w:val="auto"/>
              </w:rPr>
            </w:pPr>
            <w:r>
              <w:rPr>
                <w:rFonts w:ascii="Arial" w:cs="Arial" w:eastAsia="Arial" w:hAnsi="Arial"/>
                <w:sz w:val="18"/>
                <w:szCs w:val="18"/>
                <w:color w:val="auto"/>
                <w:w w:val="90"/>
              </w:rPr>
              <w:t>A-3-1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40" w:top="274" w:right="439" w:bottom="1440" w:gutter="0" w:footer="0" w:header="0"/>
        </w:sectPr>
      </w:pPr>
    </w:p>
    <w:bookmarkStart w:id="63" w:name="page64"/>
    <w:bookmarkEnd w:id="63"/>
    <w:p>
      <w:pPr>
        <w:ind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SUPPLEMENTAL INDENTURE, dated as of September 10, 2018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between General Motors Company, a corporation duly organized and existing under the laws of Delaware (herein called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having its principal office at 300 Renaissance Center, Detroit, Michigan 48265-3000, and The Bank of New York Mellon, a New York banking corporation, as trustee (herein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WHEREAS, the Company has executed and delivered the Indenture, dated as of September 27, 2013 (as supplemented prior to the date hereof,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to the Trustee, to provide for the issuance of the Company’s debt securities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in one or more series;</w:t>
      </w:r>
    </w:p>
    <w:p>
      <w:pPr>
        <w:spacing w:after="0" w:line="18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WHEREAS, pursuant to the terms of the Base Indenture, the Company desires to provide for the establishment of three new series of its Securities under the Base Indenture to be known as its “Floating Rate Senior Notes due 2021” (the “</w:t>
      </w:r>
      <w:r>
        <w:rPr>
          <w:rFonts w:ascii="Arial" w:cs="Arial" w:eastAsia="Arial" w:hAnsi="Arial"/>
          <w:sz w:val="18"/>
          <w:szCs w:val="18"/>
          <w:b w:val="1"/>
          <w:bCs w:val="1"/>
          <w:i w:val="1"/>
          <w:iCs w:val="1"/>
          <w:color w:val="auto"/>
        </w:rPr>
        <w:t>Floating Rate Notes</w:t>
      </w:r>
      <w:r>
        <w:rPr>
          <w:rFonts w:ascii="Arial" w:cs="Arial" w:eastAsia="Arial" w:hAnsi="Arial"/>
          <w:sz w:val="18"/>
          <w:szCs w:val="18"/>
          <w:color w:val="auto"/>
        </w:rPr>
        <w:t>”), “5.000% Senior Notes due 2028” (the “</w:t>
      </w:r>
      <w:r>
        <w:rPr>
          <w:rFonts w:ascii="Arial" w:cs="Arial" w:eastAsia="Arial" w:hAnsi="Arial"/>
          <w:sz w:val="18"/>
          <w:szCs w:val="18"/>
          <w:b w:val="1"/>
          <w:bCs w:val="1"/>
          <w:i w:val="1"/>
          <w:iCs w:val="1"/>
          <w:color w:val="auto"/>
        </w:rPr>
        <w:t>2028 Notes</w:t>
      </w:r>
      <w:r>
        <w:rPr>
          <w:rFonts w:ascii="Arial" w:cs="Arial" w:eastAsia="Arial" w:hAnsi="Arial"/>
          <w:sz w:val="18"/>
          <w:szCs w:val="18"/>
          <w:color w:val="auto"/>
        </w:rPr>
        <w:t>”) and “5.950% Senior Notes due 2049” (the “</w:t>
      </w:r>
      <w:r>
        <w:rPr>
          <w:rFonts w:ascii="Arial" w:cs="Arial" w:eastAsia="Arial" w:hAnsi="Arial"/>
          <w:sz w:val="18"/>
          <w:szCs w:val="18"/>
          <w:b w:val="1"/>
          <w:bCs w:val="1"/>
          <w:i w:val="1"/>
          <w:iCs w:val="1"/>
          <w:color w:val="auto"/>
        </w:rPr>
        <w:t>2049 Notes</w:t>
      </w:r>
      <w:r>
        <w:rPr>
          <w:rFonts w:ascii="Arial" w:cs="Arial" w:eastAsia="Arial" w:hAnsi="Arial"/>
          <w:sz w:val="18"/>
          <w:szCs w:val="18"/>
          <w:color w:val="auto"/>
        </w:rPr>
        <w:t>”) (the “</w:t>
      </w:r>
      <w:r>
        <w:rPr>
          <w:rFonts w:ascii="Arial" w:cs="Arial" w:eastAsia="Arial" w:hAnsi="Arial"/>
          <w:sz w:val="18"/>
          <w:szCs w:val="18"/>
          <w:b w:val="1"/>
          <w:bCs w:val="1"/>
          <w:i w:val="1"/>
          <w:iCs w:val="1"/>
          <w:color w:val="auto"/>
        </w:rPr>
        <w:t>2049 Notes</w:t>
      </w:r>
      <w:r>
        <w:rPr>
          <w:rFonts w:ascii="Arial" w:cs="Arial" w:eastAsia="Arial" w:hAnsi="Arial"/>
          <w:sz w:val="18"/>
          <w:szCs w:val="18"/>
          <w:i w:val="1"/>
          <w:iCs w:val="1"/>
          <w:color w:val="auto"/>
        </w:rPr>
        <w:t>,</w:t>
      </w:r>
      <w:r>
        <w:rPr>
          <w:rFonts w:ascii="Arial" w:cs="Arial" w:eastAsia="Arial" w:hAnsi="Arial"/>
          <w:sz w:val="18"/>
          <w:szCs w:val="18"/>
          <w:color w:val="auto"/>
        </w:rPr>
        <w:t>” and, together with the Floating Rate Notes and the 2028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respectively, the form and substance and the terms, provisions and conditions thereof to be set forth as provided in the Base Indenture and this Supplemental Indenture;</w:t>
      </w:r>
    </w:p>
    <w:p>
      <w:pPr>
        <w:spacing w:after="0" w:line="18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WHEREAS, the Board of Directors of the Company by duly adopted resolutions has authorized, among other things, the issuance of the Notes and the execution and delivery of this Supplemental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this Supplemental Indenture is being entered into pursuant to the provisions of Section 901 of the Base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hereby requests that the Trustee join with the Company in the execution and delivery of this Supplemental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NOW, THEREFORE, THIS SUPPLEMENTAL INDENTURE WITNESSETH:</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and for the purpose of setting forth, as provided in the Base Indenture, the forms and terms of the Notes, the Company covenants and agrees with the Trustee,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 of Terms</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firstLine="444"/>
        <w:spacing w:after="0" w:line="255"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term that is defined in both the Base Indenture and this Supplemental Indenture shall have the meaning assigned to such term in this Supplemental Indenture;</w:t>
      </w:r>
    </w:p>
    <w:p>
      <w:pPr>
        <w:spacing w:after="0" w:line="81" w:lineRule="exact"/>
        <w:rPr>
          <w:rFonts w:ascii="Arial" w:cs="Arial" w:eastAsia="Arial" w:hAnsi="Arial"/>
          <w:sz w:val="18"/>
          <w:szCs w:val="18"/>
          <w:color w:val="auto"/>
        </w:rPr>
      </w:pPr>
    </w:p>
    <w:p>
      <w:pPr>
        <w:ind w:left="700" w:hanging="2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headings are for convenience of reference only and do not affect interpretation.</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definition shall be applicable in respect of all Notes for purposes of this Supplemental Indenture:</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Monday, Tuesday, Wednesday, Thursday and Friday (i) that is not a day on which banking institutions are authorized or obligated by law, regulation or executive order to close in the City of New York or the city in which the corporate trust office of the Trustee is located and (ii) that, in the case of (and solely in the case of) the Floating Rate Notes, is also a London Business Day (as defined below).</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 The following definitions shall be applicable solely in respect of the Floating Rate Notes for purposes of this Supplemental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Calculation Agent</w:t>
      </w:r>
      <w:r>
        <w:rPr>
          <w:rFonts w:ascii="Arial" w:cs="Arial" w:eastAsia="Arial" w:hAnsi="Arial"/>
          <w:sz w:val="16"/>
          <w:szCs w:val="16"/>
          <w:color w:val="auto"/>
        </w:rPr>
        <w:t>” means The Bank of New York Mellon, or any successor appointed from time to time by the Company to act as calculation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Determination Date</w:t>
      </w:r>
      <w:r>
        <w:rPr>
          <w:rFonts w:ascii="Arial" w:cs="Arial" w:eastAsia="Arial" w:hAnsi="Arial"/>
          <w:sz w:val="17"/>
          <w:szCs w:val="17"/>
          <w:color w:val="auto"/>
        </w:rPr>
        <w:t>” means the second London Business Day immediately preceding September 10, 2018, in the case of the Initial Interest Period, or thereafter the second London Business Day immediately preceding the applicable Interest Reset Date.</w:t>
      </w:r>
    </w:p>
    <w:p>
      <w:pPr>
        <w:spacing w:after="0" w:line="14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Interest Reset Period</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Initial Interest Period</w:t>
      </w:r>
      <w:r>
        <w:rPr>
          <w:rFonts w:ascii="Arial" w:cs="Arial" w:eastAsia="Arial" w:hAnsi="Arial"/>
          <w:sz w:val="18"/>
          <w:szCs w:val="18"/>
          <w:color w:val="auto"/>
        </w:rPr>
        <w:t>”) means the period from and including September 10, 2018 to but excluding the first Interest Reset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5" w:name="page66"/>
    <w:bookmarkEnd w:id="65"/>
    <w:p>
      <w:pPr>
        <w:jc w:val="both"/>
        <w:ind w:right="6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Interest Reset Date</w:t>
      </w:r>
      <w:r>
        <w:rPr>
          <w:rFonts w:ascii="Arial" w:cs="Arial" w:eastAsia="Arial" w:hAnsi="Arial"/>
          <w:sz w:val="16"/>
          <w:szCs w:val="16"/>
          <w:color w:val="auto"/>
        </w:rPr>
        <w:t>” refers to each day on which the interest rate on the Floating Rate Notes will be reset, which will be quarterly on March 10, June 10, September 10 and December 10, commencing on December 10, 2018; provided that if any Interest Reset Date would otherwise be a day that is not a Business Day, the Interest Reset Date will be postponed to the immediately succeeding day that is a Business Day, except that if that Business Day is in the immediately succeeding calendar month, the Interest Reset Date shall be the immediately preceding Business Day.</w:t>
      </w:r>
    </w:p>
    <w:p>
      <w:pPr>
        <w:spacing w:after="0" w:line="154" w:lineRule="exact"/>
        <w:rPr>
          <w:sz w:val="20"/>
          <w:szCs w:val="20"/>
          <w:color w:val="auto"/>
        </w:rPr>
      </w:pPr>
    </w:p>
    <w:p>
      <w:pPr>
        <w:jc w:val="both"/>
        <w:ind w:right="4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Reset Period</w:t>
      </w:r>
      <w:r>
        <w:rPr>
          <w:rFonts w:ascii="Arial" w:cs="Arial" w:eastAsia="Arial" w:hAnsi="Arial"/>
          <w:sz w:val="16"/>
          <w:szCs w:val="16"/>
          <w:color w:val="auto"/>
        </w:rPr>
        <w:t>” (or “</w:t>
      </w:r>
      <w:r>
        <w:rPr>
          <w:rFonts w:ascii="Arial" w:cs="Arial" w:eastAsia="Arial" w:hAnsi="Arial"/>
          <w:sz w:val="16"/>
          <w:szCs w:val="16"/>
          <w:b w:val="1"/>
          <w:bCs w:val="1"/>
          <w:i w:val="1"/>
          <w:iCs w:val="1"/>
          <w:color w:val="auto"/>
        </w:rPr>
        <w:t>Interest Period</w:t>
      </w:r>
      <w:r>
        <w:rPr>
          <w:rFonts w:ascii="Arial" w:cs="Arial" w:eastAsia="Arial" w:hAnsi="Arial"/>
          <w:sz w:val="16"/>
          <w:szCs w:val="16"/>
          <w:color w:val="auto"/>
        </w:rPr>
        <w:t>”) means the period from and including an Interest Reset Date to but excluding the immediately succeeding Interest Reset Date; provided that the final Interest Reset Period for the Floating Rate Notes shall be the period from and including the Interest Reset Date immediately preceding the maturity date of the Floating Rate Notes to but excluding the maturity date.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London Business Day</w:t>
      </w:r>
      <w:r>
        <w:rPr>
          <w:rFonts w:ascii="Arial" w:cs="Arial" w:eastAsia="Arial" w:hAnsi="Arial"/>
          <w:sz w:val="18"/>
          <w:szCs w:val="18"/>
          <w:color w:val="auto"/>
        </w:rPr>
        <w:t>” means a day on which dealings in deposits in U.S. dollars are transacted in the London interbank market.</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Three-Month LIBOR</w:t>
      </w:r>
      <w:r>
        <w:rPr>
          <w:rFonts w:ascii="Arial" w:cs="Arial" w:eastAsia="Arial" w:hAnsi="Arial"/>
          <w:sz w:val="18"/>
          <w:szCs w:val="18"/>
          <w:color w:val="auto"/>
        </w:rPr>
        <w:t>” means, for any Interest Period, the rate determined by the Calculation Agent on the applicable Interest Determination Date in accordance with the following provisions:</w:t>
      </w:r>
    </w:p>
    <w:p>
      <w:pPr>
        <w:spacing w:after="0" w:line="62" w:lineRule="exact"/>
        <w:rPr>
          <w:sz w:val="20"/>
          <w:szCs w:val="20"/>
          <w:color w:val="auto"/>
        </w:rPr>
      </w:pPr>
    </w:p>
    <w:p>
      <w:pPr>
        <w:ind w:firstLine="444"/>
        <w:spacing w:after="0" w:line="283" w:lineRule="auto"/>
        <w:tabs>
          <w:tab w:leader="none" w:pos="6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Three-Month LIBOR will be the rate (expressed as a percentage per annum) for deposits in U.S. dollars having a three-month maturity which appears on the Bloomberg BBAM (as defined below) page at approximately 11:00 a.m., London time, on such Interest Determination Date. If on an Interest Determination Date, such rate does not appear on the Bloomberg BBAM page as of 11:00 a.m., London time, or if the Bloomberg BBAM page is not available on such date, the Calculation Agent will obtain such rate from Reuters LIBOR 01 (as defined below). “</w:t>
      </w:r>
      <w:r>
        <w:rPr>
          <w:rFonts w:ascii="Arial" w:cs="Arial" w:eastAsia="Arial" w:hAnsi="Arial"/>
          <w:sz w:val="16"/>
          <w:szCs w:val="16"/>
          <w:i w:val="1"/>
          <w:iCs w:val="1"/>
          <w:color w:val="auto"/>
        </w:rPr>
        <w:t>Bloomberg BBAM</w:t>
      </w:r>
      <w:r>
        <w:rPr>
          <w:rFonts w:ascii="Arial" w:cs="Arial" w:eastAsia="Arial" w:hAnsi="Arial"/>
          <w:sz w:val="16"/>
          <w:szCs w:val="16"/>
          <w:color w:val="auto"/>
        </w:rPr>
        <w:t>” means the display designated on page BBAM on Bloomberg L.P. (or such other page as may replace such page on that service or any successor service for the purpose of displaying LIBOR for U.S. dollar deposits administered by ICE Benchmark Administration Limited (or any other person assuming the responsibility for the administration of those rates)). “</w:t>
      </w:r>
      <w:r>
        <w:rPr>
          <w:rFonts w:ascii="Arial" w:cs="Arial" w:eastAsia="Arial" w:hAnsi="Arial"/>
          <w:sz w:val="16"/>
          <w:szCs w:val="16"/>
          <w:i w:val="1"/>
          <w:iCs w:val="1"/>
          <w:color w:val="auto"/>
        </w:rPr>
        <w:t>Reuters LIBOR 01</w:t>
      </w:r>
      <w:r>
        <w:rPr>
          <w:rFonts w:ascii="Arial" w:cs="Arial" w:eastAsia="Arial" w:hAnsi="Arial"/>
          <w:sz w:val="16"/>
          <w:szCs w:val="16"/>
          <w:color w:val="auto"/>
        </w:rPr>
        <w:t>” means the display designated on page LIBOR 01 on Reuters 3000 Xtra (or such other page as may replace the LIBOR 01 page on that service or any successor service for the purpose of displaying LIBOR for U.S. dollar deposits of major banks). If no such rate appears on either Reuters LIBOR 01 or Bloomberg BBAM, or if both Reuters LIBOR 01 and Bloomberg BBAM are not available on such date, Three-Month LIBOR for such Interest Determination Date will be determined in accordance with the provisions of paragraphs</w:t>
      </w:r>
    </w:p>
    <w:p>
      <w:pPr>
        <w:spacing w:after="0" w:line="5" w:lineRule="exact"/>
        <w:rPr>
          <w:rFonts w:ascii="Arial" w:cs="Arial" w:eastAsia="Arial" w:hAnsi="Arial"/>
          <w:sz w:val="16"/>
          <w:szCs w:val="16"/>
          <w:color w:val="auto"/>
        </w:rPr>
      </w:pPr>
    </w:p>
    <w:p>
      <w:pPr>
        <w:ind w:left="260" w:hanging="256"/>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and (iii) below.</w:t>
      </w:r>
    </w:p>
    <w:p>
      <w:pPr>
        <w:spacing w:after="0" w:line="102" w:lineRule="exact"/>
        <w:rPr>
          <w:rFonts w:ascii="Arial" w:cs="Arial" w:eastAsia="Arial" w:hAnsi="Arial"/>
          <w:sz w:val="18"/>
          <w:szCs w:val="18"/>
          <w:color w:val="auto"/>
        </w:rPr>
      </w:pPr>
    </w:p>
    <w:p>
      <w:pPr>
        <w:ind w:left="700" w:hanging="256"/>
        <w:spacing w:after="0"/>
        <w:tabs>
          <w:tab w:leader="none" w:pos="7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With respect to an Interest Determination Date on which no rate appears on Reuters LIBOR 01 or Bloomberg BBAM as of approximately</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11:00 a.m., London time, on such Interest Determination Date, as specified in paragraph (i) above, unless paragraph (iii) below applies, the Company shall request the principal London offices of each of four major reference banks in the London interbank market selected by the Company to provide the Calculation Agent with a quotation of the rate (expressed as a percentage per annum) at which deposits of U.S. dollars having a three-month maturity, commencing on the second London Business Day immediately following such Interest Determination Date, are offered by it to prime banks in the London interbank market as of approximately 11:00 a.m., London time, on such Interest Determination Date in a</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6" w:name="page67"/>
    <w:bookmarkEnd w:id="6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amount equal to an amount of not less than U.S. $1,000,000 that is representative for a single transaction in U.S. dollars in such market at such time. If at least two such quotations are provided, Three-Month LIBOR for such Interest Determination Date will be the arithmetic mean of such quotations. If fewer than two quotations are provided, Three-Month LIBOR for such Interest Determination Date will be the arithmetic mean of the rates quoted as of approximately 11:00 a.m., New York City time, on such Interest Determination Date by three major banks selected by the Company for loans in U.S. dollars to leading European banks having a three-month maturity commencing on the second London Business Day immediately following such Interest Determination Date and in a principal amount equal to an amount of not less than $1,000,000 that is representative for a single transaction in U.S. dollars in such market at such time; provided, however, that if fewer than three major banks selected as aforesaid by the Company are quoting such rates as mentioned in this sentence, Three-Month LIBOR for such Interest Determination Date will be the same as the Three-Month LIBOR in effect for the immediately preceding Interest Period (or, if there was no preceding Interest Period, the Three-Month LIBOR will be the same as the Three-Month LIBOR in effect for the Initial Interest Period).</w:t>
      </w:r>
    </w:p>
    <w:p>
      <w:pPr>
        <w:spacing w:after="0" w:line="70" w:lineRule="exact"/>
        <w:rPr>
          <w:sz w:val="20"/>
          <w:szCs w:val="20"/>
          <w:color w:val="auto"/>
        </w:rPr>
      </w:pPr>
    </w:p>
    <w:p>
      <w:pPr>
        <w:ind w:firstLine="444"/>
        <w:spacing w:after="0" w:line="285" w:lineRule="auto"/>
        <w:tabs>
          <w:tab w:leader="none" w:pos="7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Notwithstanding paragraph (ii) above, if the Company determines that Three-Month LIBOR has been permanently discontinued, or the reference to Three-Month LIBOR becomes illegal, or most other debt obligations similar to the Floating Rate Notes have converted away from Three-Month LIBOR to a new reference rate, the Calculation Agent will use, as directed by the Company, as a substitute for Three-Month LIBOR and for each future Interest Determination Date, the alternative reference rate (the “</w:t>
      </w:r>
      <w:r>
        <w:rPr>
          <w:rFonts w:ascii="Arial" w:cs="Arial" w:eastAsia="Arial" w:hAnsi="Arial"/>
          <w:sz w:val="16"/>
          <w:szCs w:val="16"/>
          <w:i w:val="1"/>
          <w:iCs w:val="1"/>
          <w:color w:val="auto"/>
        </w:rPr>
        <w:t>Alternative Rate</w:t>
      </w:r>
      <w:r>
        <w:rPr>
          <w:rFonts w:ascii="Arial" w:cs="Arial" w:eastAsia="Arial" w:hAnsi="Arial"/>
          <w:sz w:val="16"/>
          <w:szCs w:val="16"/>
          <w:color w:val="auto"/>
        </w:rPr>
        <w:t>”) selected by the central bank, reserve bank, monetary authority or any similar institution (including any committee or working group thereof) that is consistent with accepted market practice. As part of such substitution, the Calculation Agent will, as directed by the Company, make such adjustments (“</w:t>
      </w:r>
      <w:r>
        <w:rPr>
          <w:rFonts w:ascii="Arial" w:cs="Arial" w:eastAsia="Arial" w:hAnsi="Arial"/>
          <w:sz w:val="16"/>
          <w:szCs w:val="16"/>
          <w:i w:val="1"/>
          <w:iCs w:val="1"/>
          <w:color w:val="auto"/>
        </w:rPr>
        <w:t>Adjustments</w:t>
      </w:r>
      <w:r>
        <w:rPr>
          <w:rFonts w:ascii="Arial" w:cs="Arial" w:eastAsia="Arial" w:hAnsi="Arial"/>
          <w:sz w:val="16"/>
          <w:szCs w:val="16"/>
          <w:color w:val="auto"/>
        </w:rPr>
        <w:t xml:space="preserve">”) to the Alternative Rate and the spread thereon to account for the basis between Three-Month LIBOR and the Alternative Rate, as well as the business day convention, Interest Determination Dates and related provisions and definitions, in each case that are consistent with accepted market practice for the use of such Alternative Rate for debt obligations such as the Floating Rate Notes. If the Company determines that there is no clear market consensus as to whether any rate has replaced Three-Month LIBOR in customary market usage, (a) the Calculation Agent shall have the right to resign as calculation agent in respect of the Floating Rate Notes and (b) the Company will appoint, in its sole discretion, a new Calculation Agent to replace the resigning Calculation Agent, solely in its role as calculation agent in respect of the Floating Rate Notes, to determine the Alternative Rate and make any Adjustments thereto or to the spread thereon, and the determinations of such new Calculation Agent will be binding on the Company, the Calculation Agent, the Trustee and the Holders of the Floating Rate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determines there is no clear market consensus as to whether any rate has replaced Three-Month LIBOR in customary market usage, the Company may appoint in its sole discretion an independent financial advisor (the “</w:t>
      </w:r>
      <w:r>
        <w:rPr>
          <w:rFonts w:ascii="Arial" w:cs="Arial" w:eastAsia="Arial" w:hAnsi="Arial"/>
          <w:sz w:val="16"/>
          <w:szCs w:val="16"/>
          <w:i w:val="1"/>
          <w:iCs w:val="1"/>
          <w:color w:val="auto"/>
        </w:rPr>
        <w:t>IFA</w:t>
      </w:r>
      <w:r>
        <w:rPr>
          <w:rFonts w:ascii="Arial" w:cs="Arial" w:eastAsia="Arial" w:hAnsi="Arial"/>
          <w:sz w:val="16"/>
          <w:szCs w:val="16"/>
          <w:color w:val="auto"/>
        </w:rPr>
        <w:t>”) to determine an appropriate Alternative Rate, and any Adjustments, and the determinations of the IFA will be binding on the Company, the Trustee, the Calculation Agent, if any, and the Holders of the Floating Rate Notes. If, however, the existing Calculation Agent or 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7" w:name="page68"/>
    <w:bookmarkEnd w:id="6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Calculation Agent determines that Three-Month LIBOR has been discontinued, but for any reason an Alternative Rate has not been determined, Three-Month LIBOR for such Interest Determination Date will be the same as the Three-Month LIBOR in effect for the immediately preceding Interest Period (or, if there was no preceding Interest Period, Three-Month LIBOR will be the same as the Three-Month LIBOR in effect for the Initial Interest Period).</w:t>
      </w:r>
    </w:p>
    <w:p>
      <w:pPr>
        <w:spacing w:after="0" w:line="187"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 thousandth of a percentage point, with five one-millionths of a percentage point being rounded upwards (e.g., 1.986865% (or 0.01986865) being rounded to 1.98687% (or</w:t>
      </w:r>
    </w:p>
    <w:p>
      <w:pPr>
        <w:jc w:val="both"/>
        <w:ind w:right="320"/>
        <w:spacing w:after="0" w:line="255" w:lineRule="auto"/>
        <w:rPr>
          <w:sz w:val="20"/>
          <w:szCs w:val="20"/>
          <w:color w:val="auto"/>
        </w:rPr>
      </w:pPr>
      <w:r>
        <w:rPr>
          <w:rFonts w:ascii="Arial" w:cs="Arial" w:eastAsia="Arial" w:hAnsi="Arial"/>
          <w:sz w:val="18"/>
          <w:szCs w:val="18"/>
          <w:color w:val="auto"/>
        </w:rPr>
        <w:t>0.0198687)) and all dollar amounts used in or resulting from such calculations will be rounded to the nearest cent (with one-half cent being rounded upwards). Notwithstanding the foregoing, the interest rate on the Floating Rate Notes will in no event be higher than the maximum rate permitted by New York law as the same may be modified by United States law of general application.</w:t>
      </w:r>
    </w:p>
    <w:p>
      <w:pPr>
        <w:spacing w:after="0" w:line="19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r>
        <w:rPr>
          <w:rFonts w:ascii="Arial" w:cs="Arial" w:eastAsia="Arial" w:hAnsi="Arial"/>
          <w:sz w:val="18"/>
          <w:szCs w:val="18"/>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 (including for all purposes of Section 113 of the Base Indenture in respect of the Notes).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AND CONDITIONS OF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Principal Amount</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79" w:lineRule="auto"/>
        <w:tabs>
          <w:tab w:leader="none" w:pos="6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There is hereby authorized and established a series of Securities under the Base Indenture, designated as the “Floating Rate Senior Notes due 2021,” which is initially limited in aggregate principal amount to $450,000,000 (except upon registration of transfer of, or in exchange for, or in lieu of, other Floating Rate Notes pursuant to Section 304, 305, 306, 311, 906 or 1106 of the Base Indenture and except for any Notes which, pursuant to Section 303 of the Base Indenture, are deemed never to have been authenticated and delivered).</w:t>
      </w:r>
    </w:p>
    <w:p>
      <w:pPr>
        <w:spacing w:after="0" w:line="63" w:lineRule="exact"/>
        <w:rPr>
          <w:rFonts w:ascii="Arial" w:cs="Arial" w:eastAsia="Arial" w:hAnsi="Arial"/>
          <w:sz w:val="17"/>
          <w:szCs w:val="17"/>
          <w:color w:val="auto"/>
        </w:rPr>
      </w:pPr>
    </w:p>
    <w:p>
      <w:pPr>
        <w:ind w:right="60" w:firstLine="444"/>
        <w:spacing w:after="0" w:line="259" w:lineRule="auto"/>
        <w:tabs>
          <w:tab w:leader="none" w:pos="6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“5.000% Senior Notes due 2028,” which is initially limited in aggregate principal amount to $750,000,000 (except upon registration of transfer of, or in exchange for, or in lieu of, other 2028 Notes pursuant to Section 304, 305, 306, 311, 906 or 1106 of the Base Indenture and except for any Notes which, pursuant to Section 303 of the Base Indenture, are deemed never to have been authenticated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8" w:name="page69"/>
    <w:bookmarkEnd w:id="68"/>
    <w:p>
      <w:pPr>
        <w:ind w:right="40" w:firstLine="444"/>
        <w:spacing w:after="0" w:line="259"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hereby authorized and established a series of Securities under the Base Indenture, designated as the “5.950% Senior Notes due 2049,” which is initially limited in aggregate principal amount to $900,000,000 (except upon registration of transfer of, or in exchange for, or in lieu of, other 2049 Notes pursuant to Section 304, 305, 306, 311, 906 or 1106 of the Base Indenture and except for any Notes which, pursuant to Section 303 of the Base Indenture, are deemed never to have been authenticated and delivered).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Maturity</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Stated Maturity of principal of the Floating Rate Notes shall be September 10, 2021.</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Stated Maturity of principal of the 2028 Notes shall be October 1, 2028.</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Stated Maturity of principal of the 2049 Notes shall be April 1, 2049.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Further Issues</w:t>
      </w:r>
      <w:r>
        <w:rPr>
          <w:rFonts w:ascii="Arial" w:cs="Arial" w:eastAsia="Arial" w:hAnsi="Arial"/>
          <w:sz w:val="16"/>
          <w:szCs w:val="16"/>
          <w:color w:val="auto"/>
        </w:rPr>
        <w:t>. The Company may at any time and from time to time, without the consent of the Holders of the Floating Rate Notes,</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2028 Notes or 2049 Notes, increase the principal amount of the Floating Rate Notes, 2028 Notes or 2049 Notes that may be issued under the Indenture and issue additional Floating Rate Notes, 2028 Notes or 2049 Notes;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additional Floating Rate Notes, 2028 Notes or 2049 Notes are not fungible with the then-outstanding Floating Rate Notes, 2028 Notes or 2049 Notes for U.S. federal income tax purposes, respectively, the additional Floating Rate Notes, 2028 Notes or 2049 Notes shall have separate CUSIP numbers. Any such additional Floating Rate Notes, 2028 Notes or 2049 Notes shall have the same ranking, interest rate, maturity date and other terms as the Floating Rate Notes, 2028 Notes or 2049 Notes, respectively, but may be offered at a different offering price or have a different issue date, initial interest accrual date or initial interest payment date than such Floating Rate Notes, 2028 Notes or 2049 Notes, respectively (and, in the case of any such additional Floating Rate Notes, may have a different initial Interest Reset Date, Initial Interest Reset Period or initial Interest Determination Date than such Floating Rate Notes). Any such additional Floating Rate Notes, 2028 Notes or 2049 Notes, together with the Floating Rate Notes, 2028 Notes or 2049 Notes herein provided for, shall each respectively constitute a single series of Securities under the Base Indenture.</w:t>
      </w:r>
    </w:p>
    <w:p>
      <w:pPr>
        <w:spacing w:after="0" w:line="18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Payment</w:t>
      </w:r>
      <w:r>
        <w:rPr>
          <w:rFonts w:ascii="Arial" w:cs="Arial" w:eastAsia="Arial" w:hAnsi="Arial"/>
          <w:sz w:val="17"/>
          <w:szCs w:val="17"/>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in the case of certificated Notes that payment of interest may be made at the option of the Company through the Paying Agent by check mailed to the Holder at such address as shall appear in the Security Register at the close of business on the Regular Record Date for such Holder or by wire transfer to an account appropriately designated by the Holder to the Company and the Trustee;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Company through the Paying Agent shall pay principal of and interest on the Notes in the form of Global Securities registered in the name of or held by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or its nominee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17" w:lineRule="exact"/>
        <w:rPr>
          <w:sz w:val="20"/>
          <w:szCs w:val="20"/>
          <w:color w:val="auto"/>
        </w:rPr>
      </w:pPr>
    </w:p>
    <w:p>
      <w:pPr>
        <w:ind w:right="140" w:firstLine="444"/>
        <w:spacing w:after="0" w:line="287" w:lineRule="auto"/>
        <w:tabs>
          <w:tab w:leader="none" w:pos="6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Floating Rate Notes shall bear interest (computed on the basis of the actual number of days elapsed over a 360-day year) from September 10, 2018 at a floating rate per annum, reset quarterly on each Interest Reset Date, equal to Three-Month LIBOR, as determined as of the applicable Interest Determination Date for the Initial Interest Period and for each subsequent Interest Period, plus 0.900%, as calculated by the Calculation Agent, payable quarterly in arrears. Interest payable on each Interest Payment Date shall include interest accrued from September 10, 2018 or from the most recent Interest Payment Date to which interest has been paid or duly provided for. The Interest Payment Dates on which such interest shall be payable are March 10, June 10, September 10 and December 10, commencing on December 10, 2018, but if any Interest Payment Date (other than the maturity date of the Floating Rate Notes) is not a Business Day, such Interest Payment Date will be postponed to the immediately succeeding day that is a Business Day, except that if that Business Day is in the immediately succeeding calendar month, the Interest Payment Date shall be the immediately preceding Business Day. If the maturity date of the Floating Rate Notes falls on a day that is not a Business Day, the payment of principal and interest will be made on the next succeeding Business Day, and no interest on such payment will accrue for the period from and after the maturity date of the Floating Rate Notes. The Regular Record Date for the interest payable on any Interest Payment Date is the close of business on the date (whether or not a Business Day) that is fifteen (15) calendar days prior to the relevant Interest Payment Date.</w:t>
      </w:r>
    </w:p>
    <w:p>
      <w:pPr>
        <w:spacing w:after="0" w:line="60" w:lineRule="exact"/>
        <w:rPr>
          <w:rFonts w:ascii="Arial" w:cs="Arial" w:eastAsia="Arial" w:hAnsi="Arial"/>
          <w:sz w:val="16"/>
          <w:szCs w:val="16"/>
          <w:color w:val="auto"/>
        </w:rPr>
      </w:pPr>
    </w:p>
    <w:p>
      <w:pPr>
        <w:ind w:firstLine="444"/>
        <w:spacing w:after="0" w:line="255"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2028 Notes shall bear interest (computed on the basis of a 360-day year consisting of twelve 30-day months) from September 10, 2018 at the rate of 5.000% per annum, payable semi-annually in arrears. Interest payable on each Interest Payment Date shall include interest accrued from September 10, 2018, or from the most recent Interest Payment Date to which interest has been paid or duly provided for. The Interest Payment Dates on which such interest shall be payable are April 1 and October 1, commencing on April 1, 2019; and the Regular Record Date for the interest payable on any Interest Payment Date is the close of business on the March 15 or September 15 (whether or not a Business Day), as the case may be, next preceding the relevant Interest Payment Date.</w:t>
      </w:r>
    </w:p>
    <w:p>
      <w:pPr>
        <w:spacing w:after="0" w:line="85" w:lineRule="exact"/>
        <w:rPr>
          <w:rFonts w:ascii="Arial" w:cs="Arial" w:eastAsia="Arial" w:hAnsi="Arial"/>
          <w:sz w:val="18"/>
          <w:szCs w:val="18"/>
          <w:color w:val="auto"/>
        </w:rPr>
      </w:pPr>
    </w:p>
    <w:p>
      <w:pPr>
        <w:ind w:firstLine="444"/>
        <w:spacing w:after="0" w:line="255"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2049 Notes shall bear interest (computed on the basis of a 360-day year consisting of twelve 30-day months) from September 10, 2018 at the rate of 5.950% per annum, payable semi-annually in arrears. Interest payable on each Interest Payment Date shall include interest accrued from September 10, 2018, or from the most recent Interest Payment Date to which interest has been paid or duly provided for. The Interest Payment Dates on which such interest shall be payable are April 1 and October 1, commencing on April 1, 2019; and the Regular Record Date for the interest payable on any Interest Payment Date is the close of business on the March 15 or September 15 (whether or not a Business Day), as the case may be, next preceding the relevant Interest Payment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70" w:name="page71"/>
    <w:bookmarkEnd w:id="70"/>
    <w:p>
      <w:pPr>
        <w:ind w:right="4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2.06. </w:t>
      </w:r>
      <w:r>
        <w:rPr>
          <w:rFonts w:ascii="Arial" w:cs="Arial" w:eastAsia="Arial" w:hAnsi="Arial"/>
          <w:sz w:val="18"/>
          <w:szCs w:val="18"/>
          <w:i w:val="1"/>
          <w:iCs w:val="1"/>
          <w:color w:val="auto"/>
        </w:rPr>
        <w:t>Authorized Denominations</w:t>
      </w:r>
      <w:r>
        <w:rPr>
          <w:rFonts w:ascii="Arial" w:cs="Arial" w:eastAsia="Arial" w:hAnsi="Arial"/>
          <w:sz w:val="18"/>
          <w:szCs w:val="18"/>
          <w:color w:val="auto"/>
        </w:rPr>
        <w:t>. Each of the Floating Rate Notes, 2028 Notes and 2049 Notes shall be issuable in denominations of $2,000 and integral multiples of $1,000 in excess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Redemption and Sinking Fund</w:t>
      </w:r>
      <w:r>
        <w:rPr>
          <w:rFonts w:ascii="Arial" w:cs="Arial" w:eastAsia="Arial" w:hAnsi="Arial"/>
          <w:sz w:val="18"/>
          <w:szCs w:val="18"/>
          <w:color w:val="auto"/>
        </w:rPr>
        <w:t>.</w:t>
      </w:r>
    </w:p>
    <w:p>
      <w:pPr>
        <w:spacing w:after="0" w:line="117" w:lineRule="exact"/>
        <w:rPr>
          <w:sz w:val="20"/>
          <w:szCs w:val="20"/>
          <w:color w:val="auto"/>
        </w:rPr>
      </w:pPr>
    </w:p>
    <w:p>
      <w:pPr>
        <w:ind w:right="120" w:firstLine="444"/>
        <w:spacing w:after="0" w:line="27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Floating Rate Notes shall not be redeemable at the option of the Company. The Floating Rate Notes shall not be redeemable at the option of the Holders. The Floating Rate Notes shall not be entitled to the benefit of any sinking fund.</w:t>
      </w:r>
    </w:p>
    <w:p>
      <w:pPr>
        <w:spacing w:after="0" w:line="62" w:lineRule="exact"/>
        <w:rPr>
          <w:rFonts w:ascii="Arial" w:cs="Arial" w:eastAsia="Arial" w:hAnsi="Arial"/>
          <w:sz w:val="18"/>
          <w:szCs w:val="18"/>
          <w:color w:val="auto"/>
        </w:rPr>
      </w:pPr>
    </w:p>
    <w:p>
      <w:pPr>
        <w:ind w:right="60" w:firstLine="444"/>
        <w:spacing w:after="0" w:line="277" w:lineRule="auto"/>
        <w:tabs>
          <w:tab w:leader="none" w:pos="6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2028 Notes shall not be redeemable at the option of the Company except as set forth in Section 2 of the 2028 Notes. The 2028 Notes shall not be redeemable at the option of the Holders. The 2028 Notes shall not be entitled to the benefit of any sinking fund.</w:t>
      </w:r>
    </w:p>
    <w:p>
      <w:pPr>
        <w:spacing w:after="0" w:line="62" w:lineRule="exact"/>
        <w:rPr>
          <w:rFonts w:ascii="Arial" w:cs="Arial" w:eastAsia="Arial" w:hAnsi="Arial"/>
          <w:sz w:val="18"/>
          <w:szCs w:val="18"/>
          <w:color w:val="auto"/>
        </w:rPr>
      </w:pPr>
    </w:p>
    <w:p>
      <w:pPr>
        <w:ind w:right="80" w:firstLine="444"/>
        <w:spacing w:after="0" w:line="27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2049 Notes shall not be redeemable at the option of the Company except as set forth in Section 2 of the 2049 Notes. The 2049 Notes shall not be redeemable at the option of the Holders. The 2049 Notes shall not be entitled to the benefit of any sinking fund.</w:t>
      </w:r>
    </w:p>
    <w:p>
      <w:pPr>
        <w:spacing w:after="0" w:line="62"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Ranking</w:t>
      </w:r>
      <w:r>
        <w:rPr>
          <w:rFonts w:ascii="Arial" w:cs="Arial" w:eastAsia="Arial" w:hAnsi="Arial"/>
          <w:sz w:val="18"/>
          <w:szCs w:val="18"/>
          <w:color w:val="auto"/>
        </w:rPr>
        <w:t>. Each of the Floating Rate Notes, 2028 Notes and 2049 Notes shall be senior unsecured debt securities of the Company, ranking equally with the Company’s other unsecured and unsubordinated indebtedness.</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Appointments</w:t>
      </w:r>
      <w:r>
        <w:rPr>
          <w:rFonts w:ascii="Arial" w:cs="Arial" w:eastAsia="Arial" w:hAnsi="Arial"/>
          <w:sz w:val="18"/>
          <w:szCs w:val="18"/>
          <w:color w:val="auto"/>
        </w:rPr>
        <w:t>. The Trustee shall be the initial Security Registrar and initial Paying Agent for each of the Floating Rate Notes, 2028 Notes and 2049 Notes. The Trustee shall be the initial Calculation Agent for the Floating Rate Notes.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Waiver of Certain Covenants</w:t>
      </w:r>
      <w:r>
        <w:rPr>
          <w:rFonts w:ascii="Arial" w:cs="Arial" w:eastAsia="Arial" w:hAnsi="Arial"/>
          <w:sz w:val="17"/>
          <w:szCs w:val="17"/>
          <w:color w:val="auto"/>
        </w:rPr>
        <w:t>. Without in any way limiting the applicability of Section 1006 of the Base Indenture with respect to the Notes, the Company may, with respect to the Floating Rate Notes, 2028 Notes or 2049 Notes, also omit in a particular instance to comply with any term, provision or condition set forth in Article 3 of this Supplemental Indenture, if, before or after the time for such compliance, the Holders of not less than a majority in aggregate principal amount of the Floating Rate Notes, 2028 Notes or 2049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8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Defeasance</w:t>
      </w:r>
      <w:r>
        <w:rPr>
          <w:rFonts w:ascii="Arial" w:cs="Arial" w:eastAsia="Arial" w:hAnsi="Arial"/>
          <w:sz w:val="18"/>
          <w:szCs w:val="18"/>
          <w:color w:val="auto"/>
        </w:rPr>
        <w:t>. The Company may elect, at its option at any time, pursuant to Section 402 of the Base Indenture, to have Section 403 or Section 404 in the Base Indenture, or both, apply to the Floating Rate Notes, 2028 Notes or 2049 Notes, respectively, or any principal amount thereof. Without in any way limiting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71" w:name="page72"/>
    <w:bookmarkEnd w:id="7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applicability of Section 404 of the Base Indenture with respect to the Notes, upon the Company’s exercise of its option to have Section 404 of the Base Indenture applied to all of the Outstanding Floating Rate Notes, 2028 Notes or 2049 Notes, (1) the Company shall also be deemed to be released from and may omit to comply with its obligations under the covenants contained in Article 3 of this Supplemental Indenture with respect to the Floating Rate Notes, 2028 Notes or 2049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Floating Rate Notes, 2028 Notes or 2049 Notes, respectively, on and after the date the conditions set forth in Section 405 of the Base Indenture are satisfied.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Guarantees</w:t>
      </w:r>
      <w:r>
        <w:rPr>
          <w:rFonts w:ascii="Arial" w:cs="Arial" w:eastAsia="Arial" w:hAnsi="Arial"/>
          <w:sz w:val="18"/>
          <w:szCs w:val="18"/>
          <w:color w:val="auto"/>
        </w:rPr>
        <w:t>. None of the Floating Rate Notes, 2028 Notes or 2049 Notes shall be guaranteed by any Person.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Additional Covenants</w:t>
      </w:r>
      <w:r>
        <w:rPr>
          <w:rFonts w:ascii="Arial" w:cs="Arial" w:eastAsia="Arial" w:hAnsi="Arial"/>
          <w:sz w:val="18"/>
          <w:szCs w:val="18"/>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Floating Rate Notes, 2028 Notes and 2049 Notes, and are not for the benefit of, or applicable to, any other debt securities issued under the Base Indenture or any other supplemental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applicable to Sections 3.03 and 3.04 below:</w:t>
      </w:r>
    </w:p>
    <w:p>
      <w:pPr>
        <w:spacing w:after="0" w:line="117"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Attributable Debt</w:t>
      </w:r>
      <w:r>
        <w:rPr>
          <w:rFonts w:ascii="Arial" w:cs="Arial" w:eastAsia="Arial" w:hAnsi="Arial"/>
          <w:sz w:val="17"/>
          <w:szCs w:val="17"/>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7"/>
          <w:szCs w:val="17"/>
          <w:b w:val="1"/>
          <w:bCs w:val="1"/>
          <w:i w:val="1"/>
          <w:iCs w:val="1"/>
          <w:color w:val="auto"/>
        </w:rPr>
        <w:t>net rental payments</w:t>
      </w:r>
      <w:r>
        <w:rPr>
          <w:rFonts w:ascii="Arial" w:cs="Arial" w:eastAsia="Arial" w:hAnsi="Arial"/>
          <w:sz w:val="17"/>
          <w:szCs w:val="17"/>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the case of any lease which is terminable by the lessee upon the payment of a penalty in an amount which is less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total discounted net rental payments required to be paid from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72" w:name="page73"/>
    <w:bookmarkEnd w:id="72"/>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Assets</w:t>
      </w:r>
      <w:r>
        <w:rPr>
          <w:rFonts w:ascii="Arial" w:cs="Arial" w:eastAsia="Arial" w:hAnsi="Arial"/>
          <w:sz w:val="18"/>
          <w:szCs w:val="18"/>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Manufacturing Subsidiary</w:t>
      </w:r>
      <w:r>
        <w:rPr>
          <w:rFonts w:ascii="Arial" w:cs="Arial" w:eastAsia="Arial" w:hAnsi="Arial"/>
          <w:sz w:val="17"/>
          <w:szCs w:val="17"/>
          <w:color w:val="auto"/>
        </w:rPr>
        <w:t xml:space="preserve">” means any Subsidiary (A) substantially all the property of which is located within the continental United States of America, (B) which owns a Principal Domestic Manufacturing Property and (C) in which the Company’s investment, direct or indirect and whether in the form of equity, debt, advances or otherwise, is in excess of $2,500,000,000 as shown on the consolidated books of the Company as of the end of the fiscal year immediately preceding the date of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“Manufacturing Subsidiary” shall not include any Subsidiary which is principally engaged in leasing or in financing installment receivables or otherwise providing financial or insurance services to the Company or others or which is principally engaged in financing the Company’s operations outside the continental United States of America.</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248"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Domestic Manufacturing Property</w:t>
      </w:r>
      <w:r>
        <w:rPr>
          <w:rFonts w:ascii="Arial" w:cs="Arial" w:eastAsia="Arial" w:hAnsi="Arial"/>
          <w:sz w:val="18"/>
          <w:szCs w:val="18"/>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92"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 Company, or by one or more Subsidiaries, or by the Company and one or more Subsidiaries.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73" w:name="page74"/>
    <w:bookmarkEnd w:id="73"/>
    <w:p>
      <w:pPr>
        <w:ind w:right="2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7"/>
          <w:szCs w:val="17"/>
          <w:i w:val="1"/>
          <w:iCs w:val="1"/>
          <w:color w:val="auto"/>
        </w:rPr>
        <w:t>Limitation on Liens.</w:t>
      </w:r>
      <w:r>
        <w:rPr>
          <w:rFonts w:ascii="Arial" w:cs="Arial" w:eastAsia="Arial" w:hAnsi="Arial"/>
          <w:sz w:val="17"/>
          <w:szCs w:val="17"/>
          <w:color w:val="auto"/>
        </w:rPr>
        <w:t xml:space="preserve">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117" w:lineRule="exact"/>
        <w:rPr>
          <w:sz w:val="20"/>
          <w:szCs w:val="20"/>
          <w:color w:val="auto"/>
        </w:rPr>
      </w:pPr>
    </w:p>
    <w:p>
      <w:pPr>
        <w:ind w:left="440" w:firstLine="428"/>
        <w:spacing w:after="0" w:line="277" w:lineRule="auto"/>
        <w:tabs>
          <w:tab w:leader="none" w:pos="10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62" w:lineRule="exact"/>
        <w:rPr>
          <w:rFonts w:ascii="Arial" w:cs="Arial" w:eastAsia="Arial" w:hAnsi="Arial"/>
          <w:sz w:val="18"/>
          <w:szCs w:val="18"/>
          <w:color w:val="auto"/>
        </w:rPr>
      </w:pPr>
    </w:p>
    <w:p>
      <w:pPr>
        <w:ind w:left="1140" w:hanging="272"/>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Mortgages on property existing at the time of acquisition thereof or to secure the payment of all or any part of the purchase or</w:t>
      </w:r>
    </w:p>
    <w:p>
      <w:pPr>
        <w:spacing w:after="0" w:line="34" w:lineRule="exact"/>
        <w:rPr>
          <w:rFonts w:ascii="Arial" w:cs="Arial" w:eastAsia="Arial" w:hAnsi="Arial"/>
          <w:sz w:val="17"/>
          <w:szCs w:val="17"/>
          <w:color w:val="auto"/>
        </w:rPr>
      </w:pPr>
    </w:p>
    <w:p>
      <w:pPr>
        <w:ind w:left="440" w:right="120"/>
        <w:spacing w:after="0" w:line="255" w:lineRule="auto"/>
        <w:rPr>
          <w:rFonts w:ascii="Arial" w:cs="Arial" w:eastAsia="Arial" w:hAnsi="Arial"/>
          <w:sz w:val="17"/>
          <w:szCs w:val="17"/>
          <w:color w:val="auto"/>
        </w:rPr>
      </w:pPr>
      <w:r>
        <w:rPr>
          <w:rFonts w:ascii="Arial" w:cs="Arial" w:eastAsia="Arial" w:hAnsi="Arial"/>
          <w:sz w:val="18"/>
          <w:szCs w:val="18"/>
          <w:color w:val="auto"/>
        </w:rPr>
        <w:t>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82" w:lineRule="exact"/>
        <w:rPr>
          <w:rFonts w:ascii="Arial" w:cs="Arial" w:eastAsia="Arial" w:hAnsi="Arial"/>
          <w:sz w:val="17"/>
          <w:szCs w:val="17"/>
          <w:color w:val="auto"/>
        </w:rPr>
      </w:pPr>
    </w:p>
    <w:p>
      <w:pPr>
        <w:ind w:left="1180" w:hanging="312"/>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the Company or to another Manufacturing Subsidiary;</w:t>
      </w:r>
    </w:p>
    <w:p>
      <w:pPr>
        <w:spacing w:after="0" w:line="117" w:lineRule="exact"/>
        <w:rPr>
          <w:rFonts w:ascii="Arial" w:cs="Arial" w:eastAsia="Arial" w:hAnsi="Arial"/>
          <w:sz w:val="18"/>
          <w:szCs w:val="18"/>
          <w:color w:val="auto"/>
        </w:rPr>
      </w:pPr>
    </w:p>
    <w:p>
      <w:pPr>
        <w:ind w:left="440" w:right="140" w:firstLine="428"/>
        <w:spacing w:after="0" w:line="264"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4" w:name="page75"/>
    <w:bookmarkEnd w:id="74"/>
    <w:p>
      <w:pPr>
        <w:ind w:left="440" w:right="240" w:firstLine="428"/>
        <w:spacing w:after="0" w:line="297" w:lineRule="auto"/>
        <w:tabs>
          <w:tab w:leader="none" w:pos="1118"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50" w:lineRule="exact"/>
        <w:rPr>
          <w:rFonts w:ascii="Arial" w:cs="Arial" w:eastAsia="Arial" w:hAnsi="Arial"/>
          <w:sz w:val="16"/>
          <w:szCs w:val="16"/>
          <w:color w:val="auto"/>
        </w:rPr>
      </w:pPr>
    </w:p>
    <w:p>
      <w:pPr>
        <w:ind w:left="1180" w:hanging="312"/>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existing on September 10, 2018; or</w:t>
      </w:r>
    </w:p>
    <w:p>
      <w:pPr>
        <w:spacing w:after="0" w:line="117" w:lineRule="exact"/>
        <w:rPr>
          <w:rFonts w:ascii="Arial" w:cs="Arial" w:eastAsia="Arial" w:hAnsi="Arial"/>
          <w:sz w:val="18"/>
          <w:szCs w:val="18"/>
          <w:color w:val="auto"/>
        </w:rPr>
      </w:pPr>
    </w:p>
    <w:p>
      <w:pPr>
        <w:ind w:left="440" w:right="60" w:firstLine="428"/>
        <w:spacing w:after="0" w:line="257" w:lineRule="auto"/>
        <w:tabs>
          <w:tab w:leader="none" w:pos="1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Mortgage referred to in the foregoing clauses (i) to (vi) or in this clause (vii);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Limitation on Sales and Lease-Backs</w:t>
      </w:r>
      <w:r>
        <w:rPr>
          <w:rFonts w:ascii="Arial" w:cs="Arial" w:eastAsia="Arial" w:hAnsi="Arial"/>
          <w:sz w:val="16"/>
          <w:szCs w:val="16"/>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September 10, 2018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50" w:lineRule="exact"/>
        <w:rPr>
          <w:sz w:val="20"/>
          <w:szCs w:val="20"/>
          <w:color w:val="auto"/>
        </w:rPr>
      </w:pPr>
    </w:p>
    <w:p>
      <w:pPr>
        <w:ind w:left="440" w:right="80" w:firstLine="428"/>
        <w:spacing w:after="0" w:line="255" w:lineRule="auto"/>
        <w:tabs>
          <w:tab w:leader="none" w:pos="10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85" w:lineRule="exact"/>
        <w:rPr>
          <w:rFonts w:ascii="Arial" w:cs="Arial" w:eastAsia="Arial" w:hAnsi="Arial"/>
          <w:sz w:val="18"/>
          <w:szCs w:val="18"/>
          <w:color w:val="auto"/>
        </w:rPr>
      </w:pPr>
    </w:p>
    <w:p>
      <w:pPr>
        <w:ind w:left="440" w:firstLine="428"/>
        <w:spacing w:after="0" w:line="255"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Form of Notes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5"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Floating Rate Notes and the Trustee’s certificate of authentication thereon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Floating Rate Notes, as evidenced by the execution thereof. All Floating Rate Notes shall be in fully registered form.</w:t>
      </w:r>
    </w:p>
    <w:p>
      <w:pPr>
        <w:spacing w:after="0" w:line="85" w:lineRule="exact"/>
        <w:rPr>
          <w:rFonts w:ascii="Arial" w:cs="Arial" w:eastAsia="Arial" w:hAnsi="Arial"/>
          <w:sz w:val="18"/>
          <w:szCs w:val="18"/>
          <w:color w:val="auto"/>
        </w:rPr>
      </w:pPr>
    </w:p>
    <w:p>
      <w:pPr>
        <w:ind w:right="160" w:firstLine="444"/>
        <w:spacing w:after="0" w:line="255" w:lineRule="auto"/>
        <w:tabs>
          <w:tab w:leader="none" w:pos="6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2028 Notes and the Trustee’s certificate of authentication thereon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2028 Notes, as evidenced by the execution thereof. All 2028 Notes shall be in fully registered form.</w:t>
      </w:r>
    </w:p>
    <w:p>
      <w:pPr>
        <w:spacing w:after="0" w:line="85" w:lineRule="exact"/>
        <w:rPr>
          <w:rFonts w:ascii="Arial" w:cs="Arial" w:eastAsia="Arial" w:hAnsi="Arial"/>
          <w:sz w:val="18"/>
          <w:szCs w:val="18"/>
          <w:color w:val="auto"/>
        </w:rPr>
      </w:pPr>
    </w:p>
    <w:p>
      <w:pPr>
        <w:ind w:right="160" w:firstLine="444"/>
        <w:spacing w:after="0" w:line="255"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2049 Notes and the Trustee’s certificate of authentication thereon shall be substantially in the form set forth in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2049 Notes, as evidenced by the execution thereof. All 2049 Notes shall be in fully registered form.</w:t>
      </w:r>
    </w:p>
    <w:p>
      <w:pPr>
        <w:spacing w:after="0" w:line="193"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Global Securities.</w:t>
      </w:r>
      <w:r>
        <w:rPr>
          <w:rFonts w:ascii="Arial" w:cs="Arial" w:eastAsia="Arial" w:hAnsi="Arial"/>
          <w:sz w:val="18"/>
          <w:szCs w:val="18"/>
          <w:color w:val="auto"/>
        </w:rPr>
        <w:t>Upon their original issuance, the Floating Rate Notes, 2028 Notes and 2049 Notes shall each be issued in the form of one or more permanent global notes in definitive, fully registered form without interest coupons (the “</w:t>
      </w:r>
      <w:r>
        <w:rPr>
          <w:rFonts w:ascii="Arial" w:cs="Arial" w:eastAsia="Arial" w:hAnsi="Arial"/>
          <w:sz w:val="18"/>
          <w:szCs w:val="18"/>
          <w:b w:val="1"/>
          <w:bCs w:val="1"/>
          <w:color w:val="auto"/>
        </w:rPr>
        <w:t>Global Securities</w:t>
      </w:r>
      <w:r>
        <w:rPr>
          <w:rFonts w:ascii="Arial" w:cs="Arial" w:eastAsia="Arial" w:hAnsi="Arial"/>
          <w:sz w:val="18"/>
          <w:szCs w:val="18"/>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Floating Rate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6" w:name="page77"/>
    <w:bookmarkEnd w:id="7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2028 Notes and 2049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Arial" w:cs="Arial" w:eastAsia="Arial" w:hAnsi="Arial"/>
          <w:sz w:val="18"/>
          <w:szCs w:val="18"/>
          <w:b w:val="1"/>
          <w:bCs w:val="1"/>
          <w:color w:val="auto"/>
        </w:rPr>
        <w:t>Agent Members</w:t>
      </w:r>
      <w:r>
        <w:rPr>
          <w:rFonts w:ascii="Arial" w:cs="Arial" w:eastAsia="Arial" w:hAnsi="Arial"/>
          <w:sz w:val="18"/>
          <w:szCs w:val="18"/>
          <w:color w:val="auto"/>
        </w:rPr>
        <w:t>”).</w:t>
      </w:r>
    </w:p>
    <w:p>
      <w:pPr>
        <w:spacing w:after="0" w:line="181"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The Agent Members shall have no rights under the Base Indenture or the Supplemental Indenture with respect to any Global Security held 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 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57" w:lineRule="exact"/>
        <w:rPr>
          <w:sz w:val="20"/>
          <w:szCs w:val="20"/>
          <w:color w:val="auto"/>
        </w:rPr>
      </w:pPr>
    </w:p>
    <w:p>
      <w:pPr>
        <w:ind w:firstLine="444"/>
        <w:spacing w:after="0" w:line="255" w:lineRule="auto"/>
        <w:tabs>
          <w:tab w:leader="none" w:pos="6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Transfers of Global Securities shall be limited to transfer in whole, but not in part, to the Depositary, its successors or their respective nominees, except as provided in the Base Indenture. Interests of beneficial owners in the Global Securities 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85" w:lineRule="exact"/>
        <w:rPr>
          <w:rFonts w:ascii="Arial" w:cs="Arial" w:eastAsia="Arial" w:hAnsi="Arial"/>
          <w:sz w:val="18"/>
          <w:szCs w:val="18"/>
          <w:color w:val="auto"/>
        </w:rPr>
      </w:pPr>
    </w:p>
    <w:p>
      <w:pPr>
        <w:ind w:left="440" w:right="60" w:firstLine="428"/>
        <w:spacing w:after="0" w:line="269" w:lineRule="auto"/>
        <w:tabs>
          <w:tab w:leader="none" w:pos="112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w:t>
      </w:r>
      <w:r>
        <w:rPr>
          <w:rFonts w:ascii="Arial" w:cs="Arial" w:eastAsia="Arial" w:hAnsi="Arial"/>
          <w:sz w:val="17"/>
          <w:szCs w:val="17"/>
          <w:b w:val="1"/>
          <w:bCs w:val="1"/>
          <w:color w:val="auto"/>
        </w:rPr>
        <w:t>Definitive Security</w:t>
      </w:r>
      <w:r>
        <w:rPr>
          <w:rFonts w:ascii="Arial" w:cs="Arial" w:eastAsia="Arial" w:hAnsi="Arial"/>
          <w:sz w:val="17"/>
          <w:szCs w:val="17"/>
          <w:color w:val="auto"/>
        </w:rPr>
        <w:t>”) or a particular Global Security has been redeemed, repurchased or cancelled in whole and not in part, each such Global Security shall be 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77" w:name="page78"/>
    <w:bookmarkEnd w:id="77"/>
    <w:p>
      <w:pPr>
        <w:ind w:right="80" w:firstLine="444"/>
        <w:spacing w:after="0" w:line="277" w:lineRule="auto"/>
        <w:tabs>
          <w:tab w:leader="none" w:pos="696"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Note certificate evidencing the Global Securities shall bear a legend in substantially the following form (each defined term in the legend being defined as such for purposes of the legend only):</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ORIGINAL ISSUE OF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Original Issue of Notes</w:t>
      </w:r>
      <w:r>
        <w:rPr>
          <w:rFonts w:ascii="Arial" w:cs="Arial" w:eastAsia="Arial" w:hAnsi="Arial"/>
          <w:sz w:val="18"/>
          <w:szCs w:val="18"/>
          <w:color w:val="auto"/>
        </w:rPr>
        <w:t>.</w:t>
      </w:r>
    </w:p>
    <w:p>
      <w:pPr>
        <w:spacing w:after="0" w:line="117" w:lineRule="exact"/>
        <w:rPr>
          <w:sz w:val="20"/>
          <w:szCs w:val="20"/>
          <w:color w:val="auto"/>
        </w:rPr>
      </w:pPr>
    </w:p>
    <w:p>
      <w:pPr>
        <w:ind w:right="260" w:firstLine="444"/>
        <w:spacing w:after="0" w:line="342"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Floating Rate Notes may, upon execution of this Supplemental Indenture, be executed by the Company and delivered to the Trustee for authentication, and the Trustee shall, upon Company Order, authenticate and deliver such Floating Rate Notes as in such Company Order provided.</w:t>
      </w:r>
    </w:p>
    <w:p>
      <w:pPr>
        <w:spacing w:after="0" w:line="15" w:lineRule="exact"/>
        <w:rPr>
          <w:rFonts w:ascii="Arial" w:cs="Arial" w:eastAsia="Arial" w:hAnsi="Arial"/>
          <w:sz w:val="16"/>
          <w:szCs w:val="16"/>
          <w:color w:val="auto"/>
        </w:rPr>
      </w:pPr>
    </w:p>
    <w:p>
      <w:pPr>
        <w:ind w:right="860" w:firstLine="444"/>
        <w:spacing w:after="0" w:line="342" w:lineRule="auto"/>
        <w:tabs>
          <w:tab w:leader="none" w:pos="6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2028 Notes may, upon execution of this Supplemental Indenture, be executed by the Company and delivered to the Trustee for authentication, and the Trustee shall, upon Company Order, authenticate and deliver such 2028 Notes as in such Company Order provided.</w:t>
      </w:r>
    </w:p>
    <w:p>
      <w:pPr>
        <w:spacing w:after="0" w:line="15" w:lineRule="exact"/>
        <w:rPr>
          <w:rFonts w:ascii="Arial" w:cs="Arial" w:eastAsia="Arial" w:hAnsi="Arial"/>
          <w:sz w:val="16"/>
          <w:szCs w:val="16"/>
          <w:color w:val="auto"/>
        </w:rPr>
      </w:pPr>
    </w:p>
    <w:p>
      <w:pPr>
        <w:ind w:right="880" w:firstLine="444"/>
        <w:spacing w:after="0" w:line="342" w:lineRule="auto"/>
        <w:tabs>
          <w:tab w:leader="none" w:pos="6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2049 Notes may, upon execution of this Supplemental Indenture, be executed by the Company and delivered to the Trustee for authentication, and the Trustee shall, upon Company Order, authenticate and deliver such 2049 Notes as in such Company Order provided.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78" w:name="page79"/>
    <w:bookmarkEnd w:id="7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Ratification of Base Indenture</w:t>
      </w:r>
      <w:r>
        <w:rPr>
          <w:rFonts w:ascii="Arial" w:cs="Arial" w:eastAsia="Arial" w:hAnsi="Arial"/>
          <w:sz w:val="18"/>
          <w:szCs w:val="18"/>
          <w:color w:val="auto"/>
        </w:rPr>
        <w:t xml:space="preserve">. The Base Indenture, as supplemented by this Supplemental Indenture, is in all respects ratified and confirmed, and this Supplemental Indenture shall be deemed part of the Base Indenture in the manner and to the extent herein and therein provided;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provisions of this Supplemental Indenture shall apply solely with respect to the Notes and not to any other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under the Base Indenture.</w:t>
      </w:r>
    </w:p>
    <w:p>
      <w:pPr>
        <w:spacing w:after="0" w:line="18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r>
        <w:rPr>
          <w:rFonts w:ascii="Arial" w:cs="Arial" w:eastAsia="Arial" w:hAnsi="Arial"/>
          <w:sz w:val="18"/>
          <w:szCs w:val="18"/>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Governing Law</w:t>
      </w:r>
      <w:r>
        <w:rPr>
          <w:rFonts w:ascii="Arial" w:cs="Arial" w:eastAsia="Arial" w:hAnsi="Arial"/>
          <w:sz w:val="18"/>
          <w:szCs w:val="18"/>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188"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Separability Clause</w:t>
      </w:r>
      <w:r>
        <w:rPr>
          <w:rFonts w:ascii="Arial" w:cs="Arial" w:eastAsia="Arial" w:hAnsi="Arial"/>
          <w:sz w:val="17"/>
          <w:szCs w:val="17"/>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4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Counterparts</w:t>
      </w:r>
      <w:r>
        <w:rPr>
          <w:rFonts w:ascii="Arial" w:cs="Arial" w:eastAsia="Arial" w:hAnsi="Arial"/>
          <w:sz w:val="18"/>
          <w:szCs w:val="18"/>
          <w:color w:val="auto"/>
        </w:rPr>
        <w:t>.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93"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Calculation Agent.</w:t>
      </w:r>
      <w:r>
        <w:rPr>
          <w:rFonts w:ascii="Arial" w:cs="Arial" w:eastAsia="Arial" w:hAnsi="Arial"/>
          <w:sz w:val="18"/>
          <w:szCs w:val="18"/>
          <w:color w:val="auto"/>
        </w:rPr>
        <w:t xml:space="preserve"> All calculations made by the Calculation Agent shall, in the absence of manifest error, be conclusive for all purposes and binding on the Company, the Trustee under the Indenture and the Holders of the Floating Rate Notes. So long as Three-Month LIBOR is required to be determined with respect to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79" w:name="page80"/>
    <w:bookmarkEnd w:id="7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Floating Rate Notes, there shall at all times be a Calculation Agent (unless the Company has appointed an IFA to determine an Alternative Rate in accordance with paragraph (iii) of the definition of “Three-Month LIBOR”). In the event that any then-acting Calculation Agent shall be unable or unwilling to act, or that such Calculation Agent shall fail duly to establish the Three-Month LIBOR for any Interest Period, or that the Company proposes to remove such Calculation Agent, the Company may either (i) appoint the Company or any Person which is a bank, trust company, investment banking firm or other financial institution to act as the Calculation Agent or (ii) appoint an IFA to determine an Alternative Rate in accordance with paragraph (iii) of the definition of “Three-Month LIBOR”. The provisions of this Section 6.07 shall apply solely with respect to the Floating Rate Notes and are not applicable to the 2028 Notes or the 2049 Notes.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Fifth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Manish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Manish Gulati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Assistant Treasurer</w:t>
      </w:r>
    </w:p>
    <w:p>
      <w:pPr>
        <w:sectPr>
          <w:pgSz w:w="11900" w:h="16838" w:orient="portrait"/>
          <w:cols w:equalWidth="0" w:num="1">
            <w:col w:w="10500"/>
          </w:cols>
          <w:pgMar w:left="880" w:top="274" w:right="519" w:bottom="1440" w:gutter="0" w:footer="0" w:header="0"/>
        </w:sectPr>
      </w:pPr>
    </w:p>
    <w:bookmarkStart w:id="81" w:name="page82"/>
    <w:bookmarkEnd w:id="8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Trustee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Laurence J. O’Brien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420"/>
          </w:cols>
          <w:pgMar w:left="1440" w:top="274" w:right="10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FLOATING RATE SENIOR NOTE DUE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0" w:right="4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Floating Rate Senior Notes due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 AR1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US37045VAR15</w:t>
      </w:r>
    </w:p>
    <w:p>
      <w:pPr>
        <w:spacing w:after="0" w:line="238" w:lineRule="exact"/>
        <w:rPr>
          <w:sz w:val="20"/>
          <w:szCs w:val="20"/>
          <w:color w:val="auto"/>
        </w:rPr>
      </w:pPr>
    </w:p>
    <w:p>
      <w:pPr>
        <w:spacing w:after="0"/>
        <w:tabs>
          <w:tab w:leader="none" w:pos="580" w:val="left"/>
          <w:tab w:leader="none" w:pos="8200" w:val="left"/>
          <w:tab w:leader="none" w:pos="858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tab/>
        <w:t>]</w:t>
      </w:r>
    </w:p>
    <w:p>
      <w:pPr>
        <w:spacing w:after="0" w:line="2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13"/>
          <w:szCs w:val="13"/>
          <w:color w:val="auto"/>
        </w:rPr>
        <w:t>1</w:t>
      </w:r>
      <w:r>
        <w:rPr>
          <w:rFonts w:ascii="Arial" w:cs="Arial" w:eastAsia="Arial" w:hAnsi="Arial"/>
          <w:sz w:val="16"/>
          <w:szCs w:val="16"/>
          <w:color w:val="auto"/>
        </w:rPr>
        <w:t xml:space="preserve"> on September 10, 2021, and to pay interest thereon from September 10, 2018 or from the most recent Interest Payment Date to which interest has been paid or duly provided for, quarterly in arrears, at a floating rate per annum, reset quarterly on each Interest Reset Date, equal to Three-Month LIBOR, as determined as of the applicable Interest Determination Date for the Initial Interest Period and for each subsequent Interest Period, plus 0.900%, as calculated by the Calculation Agent, until the principal hereof is paid or made available for payment. The Interest Payment Dates on which such interest shall be payable are March 10, June 10, September 10 and December 10, commencing on December 10, 2018, but if any Interest Payment Date (other than the maturity date of the Floating Rate Notes) is not a Business Day, such Interest Payment Date will be postponed to the immediately succeeding day that is a Business Day, except that if that Business Day is in the immediately succeeding calendar month, the Interest Payment Date shall be the immediately preceding Business Day. If the maturity date of this Note falls on a day that is not a Business Day, the payment of principal and interest will be made on the next succeeding Business Day, and no interest on such payment will accrue for the period from and after the maturity date of this Note. The interest so payable, and punctually paid or duly provided for, on any Interest Payment Date will, as provided in the Indenture, be paid to the Person in whose name this Note is registered at the close of business on the Regular Record Date for such interest, which shall be the date that is fifteen (15) calendar days prior to the relevant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694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71" w:lineRule="exact"/>
        <w:rPr>
          <w:sz w:val="20"/>
          <w:szCs w:val="20"/>
          <w:color w:val="auto"/>
        </w:rPr>
      </w:pPr>
    </w:p>
    <w:p>
      <w:pPr>
        <w:ind w:left="440" w:hanging="436"/>
        <w:spacing w:after="0"/>
        <w:tabs>
          <w:tab w:leader="none" w:pos="4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80"/>
          </w:cols>
          <w:pgMar w:left="440" w:top="270" w:right="479" w:bottom="1440" w:gutter="0" w:footer="0" w:header="0"/>
        </w:sectPr>
      </w:pPr>
    </w:p>
    <w:bookmarkStart w:id="84" w:name="page85"/>
    <w:bookmarkEnd w:id="8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019"/>
          </w:cols>
          <w:pgMar w:left="440" w:top="274" w:right="1440"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420"/>
          </w:cols>
          <w:pgMar w:left="440" w:top="274" w:right="103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17" w:lineRule="exact"/>
        <w:rPr>
          <w:sz w:val="20"/>
          <w:szCs w:val="20"/>
          <w:color w:val="auto"/>
        </w:rPr>
      </w:pPr>
    </w:p>
    <w:p>
      <w:pPr>
        <w:ind w:firstLine="444"/>
        <w:spacing w:after="0" w:line="291" w:lineRule="auto"/>
        <w:tabs>
          <w:tab w:leader="none" w:pos="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Fifth Supplemental Indenture relating to the Notes dated as of September 10, 2018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$450,000,000;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4"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70" w:lineRule="exact"/>
        <w:rPr>
          <w:sz w:val="20"/>
          <w:szCs w:val="20"/>
          <w:color w:val="auto"/>
        </w:rPr>
      </w:pPr>
    </w:p>
    <w:p>
      <w:pPr>
        <w:ind w:left="620" w:hanging="176"/>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are not subject to optional redemption prior to maturity.</w:t>
      </w:r>
    </w:p>
    <w:p>
      <w:pPr>
        <w:spacing w:after="0" w:line="225" w:lineRule="exact"/>
        <w:rPr>
          <w:rFonts w:ascii="Arial" w:cs="Arial" w:eastAsia="Arial" w:hAnsi="Arial"/>
          <w:sz w:val="18"/>
          <w:szCs w:val="18"/>
          <w:color w:val="auto"/>
        </w:rPr>
      </w:pPr>
    </w:p>
    <w:p>
      <w:pPr>
        <w:ind w:right="80" w:firstLine="444"/>
        <w:spacing w:after="0" w:line="277" w:lineRule="auto"/>
        <w:tabs>
          <w:tab w:leader="none" w:pos="6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right="20" w:firstLine="444"/>
        <w:spacing w:after="0" w:line="270" w:lineRule="auto"/>
        <w:tabs>
          <w:tab w:leader="none" w:pos="62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1" w:lineRule="exact"/>
        <w:rPr>
          <w:rFonts w:ascii="Arial" w:cs="Arial" w:eastAsia="Arial" w:hAnsi="Arial"/>
          <w:sz w:val="17"/>
          <w:szCs w:val="17"/>
          <w:color w:val="auto"/>
        </w:rPr>
      </w:pPr>
    </w:p>
    <w:p>
      <w:pPr>
        <w:ind w:right="40" w:firstLine="444"/>
        <w:spacing w:after="0" w:line="277" w:lineRule="auto"/>
        <w:tabs>
          <w:tab w:leader="none" w:pos="6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60"/>
          </w:cols>
          <w:pgMar w:left="440" w:top="270" w:right="499" w:bottom="1440" w:gutter="0" w:footer="0" w:header="0"/>
        </w:sectPr>
      </w:pPr>
    </w:p>
    <w:bookmarkStart w:id="88" w:name="page89"/>
    <w:bookmarkEnd w:id="88"/>
    <w:p>
      <w:pPr>
        <w:ind w:right="2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54"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320" w:firstLine="444"/>
        <w:spacing w:after="0" w:line="264" w:lineRule="auto"/>
        <w:tabs>
          <w:tab w:leader="none" w:pos="6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1" w:lineRule="exact"/>
        <w:rPr>
          <w:rFonts w:ascii="Arial" w:cs="Arial" w:eastAsia="Arial" w:hAnsi="Arial"/>
          <w:sz w:val="18"/>
          <w:szCs w:val="18"/>
          <w:color w:val="auto"/>
        </w:rPr>
      </w:pPr>
    </w:p>
    <w:p>
      <w:pPr>
        <w:ind w:right="20" w:firstLine="444"/>
        <w:spacing w:after="0" w:line="255" w:lineRule="auto"/>
        <w:tabs>
          <w:tab w:leader="none" w:pos="6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Notes are issuable only in registered form without coupons in denominations of $2,000 and integral multiples of $1,000 in excess thereof.</w:t>
      </w:r>
    </w:p>
    <w:p>
      <w:pPr>
        <w:spacing w:after="0" w:line="24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67" w:lineRule="exact"/>
        <w:rPr>
          <w:sz w:val="20"/>
          <w:szCs w:val="20"/>
          <w:color w:val="auto"/>
        </w:rPr>
      </w:pPr>
    </w:p>
    <w:p>
      <w:pPr>
        <w:ind w:left="440" w:hanging="436"/>
        <w:spacing w:after="0"/>
        <w:tabs>
          <w:tab w:leader="none" w:pos="440" w:val="left"/>
        </w:tabs>
        <w:numPr>
          <w:ilvl w:val="0"/>
          <w:numId w:val="58"/>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0"/>
          </w:cols>
          <w:pgMar w:left="440" w:top="274" w:right="459" w:bottom="1440" w:gutter="0" w:footer="0" w:header="0"/>
        </w:sectPr>
      </w:pPr>
    </w:p>
    <w:bookmarkStart w:id="89" w:name="page90"/>
    <w:bookmarkEnd w:id="89"/>
    <w:p>
      <w:pPr>
        <w:ind w:left="620" w:hanging="176"/>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and the Indenture shall be governed by and construed in accordance with the law of the State of New York in the United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States.</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620"/>
          </w:cols>
          <w:pgMar w:left="440" w:top="270" w:right="839" w:bottom="1440" w:gutter="0" w:footer="0" w:header="0"/>
        </w:sectPr>
      </w:pPr>
    </w:p>
    <w:bookmarkStart w:id="90" w:name="page91"/>
    <w:bookmarkEnd w:id="90"/>
    <w:p>
      <w:pPr>
        <w:ind w:left="3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5"/>
          <w:szCs w:val="15"/>
          <w:color w:val="auto"/>
        </w:rPr>
        <w:t>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and decreases in this Global Security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Amount of decrease in</w:t>
            </w:r>
          </w:p>
        </w:tc>
        <w:tc>
          <w:tcPr>
            <w:tcW w:w="2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increase in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Amount of this</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240" w:type="dxa"/>
            <w:vAlign w:val="bottom"/>
          </w:tcPr>
          <w:p>
            <w:pPr>
              <w:spacing w:after="0"/>
              <w:rPr>
                <w:sz w:val="12"/>
                <w:szCs w:val="12"/>
                <w:color w:val="auto"/>
              </w:rPr>
            </w:pP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2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Global Security following</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224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Global Security</w:t>
            </w:r>
          </w:p>
        </w:tc>
        <w:tc>
          <w:tcPr>
            <w:tcW w:w="1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Global Security</w:t>
            </w:r>
          </w:p>
        </w:tc>
        <w:tc>
          <w:tcPr>
            <w:tcW w:w="26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such decrease or 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hanging="436"/>
        <w:spacing w:after="0"/>
        <w:tabs>
          <w:tab w:leader="none" w:pos="440" w:val="left"/>
        </w:tabs>
        <w:numPr>
          <w:ilvl w:val="0"/>
          <w:numId w:val="60"/>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8" w:lineRule="auto"/>
        <w:rPr>
          <w:sz w:val="20"/>
          <w:szCs w:val="20"/>
          <w:color w:val="auto"/>
        </w:rPr>
      </w:pPr>
      <w:r>
        <w:rPr>
          <w:rFonts w:ascii="Arial" w:cs="Arial" w:eastAsia="Arial" w:hAnsi="Arial"/>
          <w:sz w:val="13"/>
          <w:szCs w:val="13"/>
          <w:b w:val="1"/>
          <w:bCs w:val="1"/>
          <w:color w:val="auto"/>
        </w:rPr>
        <w:t>Signature of authorized signatory of Trustee or Security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-11430</wp:posOffset>
            </wp:positionV>
            <wp:extent cx="11150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ectPr>
          <w:pgSz w:w="11900" w:h="16838" w:orient="portrait"/>
          <w:cols w:equalWidth="0" w:num="2">
            <w:col w:w="9160" w:space="260"/>
            <w:col w:w="1460"/>
          </w:cols>
          <w:pgMar w:left="440" w:top="274" w:right="57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60" w:type="dxa"/>
            <w:vAlign w:val="bottom"/>
            <w:gridSpan w:val="3"/>
          </w:tcPr>
          <w:p>
            <w:pPr>
              <w:jc w:val="center"/>
              <w:ind w:right="220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257"/>
        </w:trPr>
        <w:tc>
          <w:tcPr>
            <w:tcW w:w="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8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60" w:type="dxa"/>
            <w:vAlign w:val="bottom"/>
            <w:gridSpan w:val="3"/>
          </w:tcPr>
          <w:p>
            <w:pPr>
              <w:jc w:val="center"/>
              <w:ind w:right="2200"/>
              <w:spacing w:after="0"/>
              <w:rPr>
                <w:sz w:val="20"/>
                <w:szCs w:val="20"/>
                <w:color w:val="auto"/>
              </w:rPr>
            </w:pPr>
            <w:r>
              <w:rPr>
                <w:rFonts w:ascii="Arial" w:cs="Arial" w:eastAsia="Arial" w:hAnsi="Arial"/>
                <w:sz w:val="18"/>
                <w:szCs w:val="18"/>
                <w:color w:val="auto"/>
                <w:w w:val="90"/>
              </w:rPr>
              <w:t>(Insert assignee’s soc. sec. or tax I.D. No.)</w:t>
            </w:r>
          </w:p>
        </w:tc>
      </w:tr>
      <w:tr>
        <w:trPr>
          <w:trHeight w:val="432"/>
        </w:trPr>
        <w:tc>
          <w:tcPr>
            <w:tcW w:w="2180" w:type="dxa"/>
            <w:vAlign w:val="bottom"/>
            <w:gridSpan w:val="4"/>
          </w:tcPr>
          <w:p>
            <w:pPr>
              <w:spacing w:after="0"/>
              <w:rPr>
                <w:sz w:val="20"/>
                <w:szCs w:val="20"/>
                <w:color w:val="auto"/>
              </w:rPr>
            </w:pPr>
            <w:r>
              <w:rPr>
                <w:rFonts w:ascii="Arial" w:cs="Arial" w:eastAsia="Arial" w:hAnsi="Arial"/>
                <w:sz w:val="18"/>
                <w:szCs w:val="18"/>
                <w:color w:val="auto"/>
              </w:rPr>
              <w:t>and irrevocably appoint</w:t>
            </w:r>
          </w:p>
        </w:tc>
        <w:tc>
          <w:tcPr>
            <w:tcW w:w="8860" w:type="dxa"/>
            <w:vAlign w:val="bottom"/>
            <w:gridSpan w:val="3"/>
          </w:tcPr>
          <w:p>
            <w:pPr>
              <w:ind w:left="480"/>
              <w:spacing w:after="0"/>
              <w:rPr>
                <w:sz w:val="20"/>
                <w:szCs w:val="20"/>
                <w:color w:val="auto"/>
              </w:rPr>
            </w:pPr>
            <w:r>
              <w:rPr>
                <w:rFonts w:ascii="Arial" w:cs="Arial" w:eastAsia="Arial" w:hAnsi="Arial"/>
                <w:sz w:val="18"/>
                <w:szCs w:val="18"/>
                <w:color w:val="auto"/>
                <w:w w:val="99"/>
              </w:rPr>
              <w:t>agent to transfer this Note on the books of the Company. The agent may substitute another to act for him.</w:t>
            </w:r>
          </w:p>
        </w:tc>
      </w:tr>
      <w:tr>
        <w:trPr>
          <w:trHeight w:val="419"/>
        </w:trPr>
        <w:tc>
          <w:tcPr>
            <w:tcW w:w="400" w:type="dxa"/>
            <w:vAlign w:val="bottom"/>
            <w:gridSpan w:val="2"/>
          </w:tcPr>
          <w:p>
            <w:pPr>
              <w:spacing w:after="0"/>
              <w:rPr>
                <w:sz w:val="20"/>
                <w:szCs w:val="20"/>
                <w:color w:val="auto"/>
              </w:rPr>
            </w:pPr>
            <w:r>
              <w:rPr>
                <w:rFonts w:ascii="Arial" w:cs="Arial" w:eastAsia="Arial" w:hAnsi="Arial"/>
                <w:sz w:val="18"/>
                <w:szCs w:val="18"/>
                <w:color w:val="auto"/>
                <w:w w:val="88"/>
              </w:rPr>
              <w:t>Date:</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60" w:type="dxa"/>
            <w:vAlign w:val="bottom"/>
            <w:gridSpan w:val="3"/>
          </w:tcPr>
          <w:p>
            <w:pPr>
              <w:ind w:left="3680"/>
              <w:spacing w:after="0"/>
              <w:rPr>
                <w:sz w:val="20"/>
                <w:szCs w:val="20"/>
                <w:color w:val="auto"/>
              </w:rPr>
            </w:pPr>
            <w:r>
              <w:rPr>
                <w:rFonts w:ascii="Arial" w:cs="Arial" w:eastAsia="Arial" w:hAnsi="Arial"/>
                <w:sz w:val="18"/>
                <w:szCs w:val="18"/>
                <w:color w:val="auto"/>
              </w:rPr>
              <w:t>Your Signature:</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2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19"/>
        </w:trPr>
        <w:tc>
          <w:tcPr>
            <w:tcW w:w="2680" w:type="dxa"/>
            <w:vAlign w:val="bottom"/>
            <w:gridSpan w:val="3"/>
          </w:tcPr>
          <w:p>
            <w:pPr>
              <w:spacing w:after="0"/>
              <w:rPr>
                <w:sz w:val="20"/>
                <w:szCs w:val="20"/>
                <w:color w:val="auto"/>
              </w:rPr>
            </w:pPr>
            <w:r>
              <w:rPr>
                <w:rFonts w:ascii="Arial" w:cs="Arial" w:eastAsia="Arial" w:hAnsi="Arial"/>
                <w:sz w:val="18"/>
                <w:szCs w:val="18"/>
                <w:color w:val="auto"/>
              </w:rPr>
              <w:t>Date:</w:t>
            </w:r>
          </w:p>
        </w:tc>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1"/>
        </w:trPr>
        <w:tc>
          <w:tcPr>
            <w:tcW w:w="40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317"/>
        </w:trPr>
        <w:tc>
          <w:tcPr>
            <w:tcW w:w="2680" w:type="dxa"/>
            <w:vAlign w:val="bottom"/>
            <w:gridSpan w:val="3"/>
          </w:tcPr>
          <w:p>
            <w:pPr>
              <w:spacing w:after="0"/>
              <w:rPr>
                <w:sz w:val="20"/>
                <w:szCs w:val="20"/>
                <w:color w:val="auto"/>
              </w:rPr>
            </w:pPr>
            <w:r>
              <w:rPr>
                <w:rFonts w:ascii="Arial" w:cs="Arial" w:eastAsia="Arial" w:hAnsi="Arial"/>
                <w:sz w:val="18"/>
                <w:szCs w:val="18"/>
                <w:color w:val="auto"/>
              </w:rPr>
              <w:t>Signature must be</w:t>
            </w: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Signature of Signature Guarantee</w:t>
            </w: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guaranteed by a participant</w:t>
            </w:r>
          </w:p>
        </w:tc>
        <w:tc>
          <w:tcPr>
            <w:tcW w:w="2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w w:val="96"/>
              </w:rPr>
              <w:t>in a recognized signature guaranty</w:t>
            </w:r>
          </w:p>
        </w:tc>
        <w:tc>
          <w:tcPr>
            <w:tcW w:w="2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medallion program</w:t>
            </w:r>
          </w:p>
        </w:tc>
        <w:tc>
          <w:tcPr>
            <w:tcW w:w="2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or other signature guarantor</w:t>
            </w:r>
          </w:p>
        </w:tc>
        <w:tc>
          <w:tcPr>
            <w:tcW w:w="2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2680" w:type="dxa"/>
            <w:vAlign w:val="bottom"/>
            <w:gridSpan w:val="3"/>
          </w:tcPr>
          <w:p>
            <w:pPr>
              <w:spacing w:after="0"/>
              <w:rPr>
                <w:sz w:val="20"/>
                <w:szCs w:val="20"/>
                <w:color w:val="auto"/>
              </w:rPr>
            </w:pPr>
            <w:r>
              <w:rPr>
                <w:rFonts w:ascii="Arial" w:cs="Arial" w:eastAsia="Arial" w:hAnsi="Arial"/>
                <w:sz w:val="18"/>
                <w:szCs w:val="18"/>
                <w:color w:val="auto"/>
              </w:rPr>
              <w:t>program reasonably</w:t>
            </w:r>
          </w:p>
        </w:tc>
        <w:tc>
          <w:tcPr>
            <w:tcW w:w="2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268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c>
          <w:tcPr>
            <w:tcW w:w="2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378"/>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tcPr>
          <w:p>
            <w:pPr>
              <w:ind w:left="2380"/>
              <w:spacing w:after="0"/>
              <w:rPr>
                <w:sz w:val="20"/>
                <w:szCs w:val="20"/>
                <w:color w:val="auto"/>
              </w:rPr>
            </w:pPr>
            <w:r>
              <w:rPr>
                <w:rFonts w:ascii="Arial" w:cs="Arial" w:eastAsia="Arial" w:hAnsi="Arial"/>
                <w:sz w:val="18"/>
                <w:szCs w:val="18"/>
                <w:color w:val="auto"/>
              </w:rPr>
              <w:t>A-1-10</w:t>
            </w:r>
          </w:p>
        </w:tc>
      </w:tr>
    </w:tbl>
    <w:p>
      <w:pPr>
        <w:sectPr>
          <w:pgSz w:w="11900" w:h="16838" w:orient="portrait"/>
          <w:cols w:equalWidth="0" w:num="1">
            <w:col w:w="11040"/>
          </w:cols>
          <w:pgMar w:left="440" w:top="274" w:right="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5.000% SENIOR NOTE DUE 2028]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0" w:right="4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 Senior Notes due 2028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 AS9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US37045VAS97</w:t>
      </w:r>
    </w:p>
    <w:p>
      <w:pPr>
        <w:spacing w:after="0" w:line="238" w:lineRule="exact"/>
        <w:rPr>
          <w:sz w:val="20"/>
          <w:szCs w:val="20"/>
          <w:color w:val="auto"/>
        </w:rPr>
      </w:pPr>
    </w:p>
    <w:p>
      <w:pPr>
        <w:spacing w:after="0"/>
        <w:tabs>
          <w:tab w:leader="none" w:pos="580" w:val="left"/>
          <w:tab w:leader="none" w:pos="5840" w:val="left"/>
          <w:tab w:leader="none" w:pos="620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tab/>
        <w:t>]</w:t>
      </w:r>
    </w:p>
    <w:p>
      <w:pPr>
        <w:spacing w:after="0" w:line="22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13"/>
          <w:szCs w:val="13"/>
          <w:color w:val="auto"/>
        </w:rPr>
        <w:t>1</w:t>
      </w:r>
      <w:r>
        <w:rPr>
          <w:rFonts w:ascii="Arial" w:cs="Arial" w:eastAsia="Arial" w:hAnsi="Arial"/>
          <w:sz w:val="16"/>
          <w:szCs w:val="16"/>
          <w:color w:val="auto"/>
        </w:rPr>
        <w:t xml:space="preserve"> on October 1, 2028, and to pay interest thereon from September 10, 2018 or from the most recent Interest Payment Date to which interest has been paid or duly provided for, semi-annually in arrears on April 1 and October 1 of each year, commencing on April 1, 2019, at the rate of 5.000%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6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4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5" w:lineRule="exact"/>
        <w:rPr>
          <w:sz w:val="20"/>
          <w:szCs w:val="20"/>
          <w:color w:val="auto"/>
        </w:rPr>
      </w:pPr>
    </w:p>
    <w:p>
      <w:pPr>
        <w:ind w:left="440" w:hanging="436"/>
        <w:spacing w:after="0"/>
        <w:tabs>
          <w:tab w:leader="none" w:pos="440" w:val="left"/>
        </w:tabs>
        <w:numPr>
          <w:ilvl w:val="0"/>
          <w:numId w:val="61"/>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00"/>
          </w:cols>
          <w:pgMar w:left="440" w:top="270" w:right="45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95" w:name="page96"/>
    <w:bookmarkEnd w:id="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019"/>
          </w:cols>
          <w:pgMar w:left="440" w:top="274" w:right="1440" w:bottom="1440" w:gutter="0" w:footer="0" w:header="0"/>
        </w:sectPr>
      </w:pPr>
    </w:p>
    <w:bookmarkStart w:id="96" w:name="page97"/>
    <w:bookmarkEnd w:id="9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ind w:firstLine="444"/>
        <w:spacing w:after="0" w:line="291" w:lineRule="auto"/>
        <w:tabs>
          <w:tab w:leader="none" w:pos="62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Fifth Supplemental Indenture relating to the Notes dated as of September 10, 2018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4"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70" w:lineRule="exact"/>
        <w:rPr>
          <w:sz w:val="20"/>
          <w:szCs w:val="20"/>
          <w:color w:val="auto"/>
        </w:rPr>
      </w:pPr>
    </w:p>
    <w:p>
      <w:pPr>
        <w:ind w:right="60" w:firstLine="444"/>
        <w:spacing w:after="0" w:line="255" w:lineRule="auto"/>
        <w:tabs>
          <w:tab w:leader="none" w:pos="6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any time prior to July 1, 2028,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35 basis points.</w:t>
      </w:r>
    </w:p>
    <w:p>
      <w:pPr>
        <w:spacing w:after="0" w:line="193"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On or after July 1, 2028,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60"/>
          </w:cols>
          <w:pgMar w:left="440" w:top="270" w:right="49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2, the following terms shall have the following specified meanings:</w:t>
      </w:r>
    </w:p>
    <w:p>
      <w:pPr>
        <w:spacing w:after="0" w:line="117"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Issue</w:t>
      </w:r>
      <w:r>
        <w:rPr>
          <w:rFonts w:ascii="Arial" w:cs="Arial" w:eastAsia="Arial" w:hAnsi="Arial"/>
          <w:sz w:val="16"/>
          <w:szCs w:val="16"/>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47"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means, with respect to any redemption date, as determined by the Company, (A) the average of the five Reference Treasury Dealer Quotations for such redemption date, after excluding the highest and lowest of the Reference Treasury Dealer Quotations or (B) if the Company obtains fewer than five Reference Treasury Dealer Quotations, the average of all Reference Treasury Dealer Quotations so received.</w:t>
      </w:r>
    </w:p>
    <w:p>
      <w:pPr>
        <w:spacing w:after="0" w:line="14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Barclays Capital Inc., Deutsche Bank Securities Inc. and SG Americas Securities, LLC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Dealer</w:t>
      </w:r>
      <w:r>
        <w:rPr>
          <w:rFonts w:ascii="Arial" w:cs="Arial" w:eastAsia="Arial" w:hAnsi="Arial"/>
          <w:sz w:val="16"/>
          <w:szCs w:val="16"/>
          <w:color w:val="auto"/>
        </w:rPr>
        <w:t>”), in which case the Company will substitute therefor another nationally recognized investment banking firm that is a Primary Treasury Dealer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(ii) two other nationally recognized investment banking firms that are Primary Treasury Dealers as selected by the Company.</w:t>
      </w:r>
    </w:p>
    <w:p>
      <w:pPr>
        <w:spacing w:after="0" w:line="154"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87"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80" w:firstLine="444"/>
        <w:spacing w:after="0" w:line="277" w:lineRule="auto"/>
        <w:tabs>
          <w:tab w:leader="none" w:pos="6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firstLine="444"/>
        <w:spacing w:after="0" w:line="259" w:lineRule="auto"/>
        <w:tabs>
          <w:tab w:leader="none" w:pos="6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40"/>
          </w:cols>
          <w:pgMar w:left="440" w:top="274" w:right="519" w:bottom="1440" w:gutter="0" w:footer="0" w:header="0"/>
        </w:sectPr>
      </w:pPr>
    </w:p>
    <w:bookmarkStart w:id="98" w:name="page99"/>
    <w:bookmarkEnd w:id="9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58" w:lineRule="exact"/>
        <w:rPr>
          <w:sz w:val="20"/>
          <w:szCs w:val="20"/>
          <w:color w:val="auto"/>
        </w:rPr>
      </w:pPr>
    </w:p>
    <w:p>
      <w:pPr>
        <w:ind w:right="100" w:firstLine="444"/>
        <w:spacing w:after="0" w:line="277" w:lineRule="auto"/>
        <w:tabs>
          <w:tab w:leader="none" w:pos="6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54"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340" w:firstLine="444"/>
        <w:spacing w:after="0" w:line="264" w:lineRule="auto"/>
        <w:tabs>
          <w:tab w:leader="none" w:pos="6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1" w:lineRule="exact"/>
        <w:rPr>
          <w:rFonts w:ascii="Arial" w:cs="Arial" w:eastAsia="Arial" w:hAnsi="Arial"/>
          <w:sz w:val="18"/>
          <w:szCs w:val="18"/>
          <w:color w:val="auto"/>
        </w:rPr>
      </w:pPr>
    </w:p>
    <w:p>
      <w:pPr>
        <w:ind w:right="40" w:firstLine="444"/>
        <w:spacing w:after="0" w:line="255" w:lineRule="auto"/>
        <w:tabs>
          <w:tab w:leader="none" w:pos="6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The Notes are issuable only in registered form without coupons in denominations of $2,000 and integral multiples of $1,000 in excess thereof. A-2-7</w:t>
      </w:r>
    </w:p>
    <w:p>
      <w:pPr>
        <w:sectPr>
          <w:pgSz w:w="11900" w:h="16838" w:orient="portrait"/>
          <w:cols w:equalWidth="0" w:num="1">
            <w:col w:w="11020"/>
          </w:cols>
          <w:pgMar w:left="440" w:top="274" w:right="439" w:bottom="1440" w:gutter="0" w:footer="0" w:header="0"/>
        </w:sectPr>
      </w:pPr>
    </w:p>
    <w:bookmarkStart w:id="99" w:name="page100"/>
    <w:bookmarkEnd w:id="99"/>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b w:val="1"/>
          <w:bCs w:val="1"/>
          <w:color w:val="auto"/>
        </w:rPr>
        <w:t>8. This Note and the Indenture shall be governed by and construed in accordance with the law of the State of New York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694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440" w:top="274" w:right="459" w:bottom="1440" w:gutter="0" w:footer="0" w:header="0"/>
        </w:sectPr>
      </w:pPr>
    </w:p>
    <w:bookmarkStart w:id="100" w:name="page101"/>
    <w:bookmarkEnd w:id="100"/>
    <w:p>
      <w:pPr>
        <w:ind w:left="3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5"/>
          <w:szCs w:val="15"/>
          <w:color w:val="auto"/>
        </w:rPr>
        <w:t>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and decreases in this Global Security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decrease in</w:t>
            </w: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Amount of increase in</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Amount of this</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26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Principal Amount of this</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Global Security following</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Global Security</w:t>
            </w:r>
          </w:p>
        </w:tc>
        <w:tc>
          <w:tcPr>
            <w:tcW w:w="24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Global Security</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such decrease or 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hanging="436"/>
        <w:spacing w:after="0"/>
        <w:tabs>
          <w:tab w:leader="none" w:pos="4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8" w:lineRule="auto"/>
        <w:rPr>
          <w:sz w:val="20"/>
          <w:szCs w:val="20"/>
          <w:color w:val="auto"/>
        </w:rPr>
      </w:pPr>
      <w:r>
        <w:rPr>
          <w:rFonts w:ascii="Arial" w:cs="Arial" w:eastAsia="Arial" w:hAnsi="Arial"/>
          <w:sz w:val="13"/>
          <w:szCs w:val="13"/>
          <w:b w:val="1"/>
          <w:bCs w:val="1"/>
          <w:color w:val="auto"/>
        </w:rPr>
        <w:t>Signature of authorized signatory of Trustee or Security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-11430</wp:posOffset>
            </wp:positionV>
            <wp:extent cx="11836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ectPr>
          <w:pgSz w:w="11900" w:h="16838" w:orient="portrait"/>
          <w:cols w:equalWidth="0" w:num="2">
            <w:col w:w="8960" w:space="400"/>
            <w:col w:w="1460"/>
          </w:cols>
          <w:pgMar w:left="440" w:top="274" w:right="6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40" w:type="dxa"/>
            <w:vAlign w:val="bottom"/>
            <w:gridSpan w:val="3"/>
          </w:tcPr>
          <w:p>
            <w:pPr>
              <w:jc w:val="center"/>
              <w:ind w:right="202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257"/>
        </w:trPr>
        <w:tc>
          <w:tcPr>
            <w:tcW w:w="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4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(Insert assignee’s soc. sec. or tax I.D. No.)</w:t>
            </w:r>
          </w:p>
        </w:tc>
      </w:tr>
      <w:tr>
        <w:trPr>
          <w:trHeight w:val="432"/>
        </w:trPr>
        <w:tc>
          <w:tcPr>
            <w:tcW w:w="200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459"/>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1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Your Signature:</w:t>
            </w:r>
          </w:p>
        </w:tc>
        <w:tc>
          <w:tcPr>
            <w:tcW w:w="4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6997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3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330"/>
        </w:trPr>
        <w:tc>
          <w:tcPr>
            <w:tcW w:w="4040" w:type="dxa"/>
            <w:vAlign w:val="bottom"/>
            <w:gridSpan w:val="3"/>
          </w:tcPr>
          <w:p>
            <w:pPr>
              <w:spacing w:after="0"/>
              <w:rPr>
                <w:sz w:val="20"/>
                <w:szCs w:val="20"/>
                <w:color w:val="auto"/>
              </w:rPr>
            </w:pPr>
            <w:r>
              <w:rPr>
                <w:rFonts w:ascii="Arial" w:cs="Arial" w:eastAsia="Arial" w:hAnsi="Arial"/>
                <w:sz w:val="18"/>
                <w:szCs w:val="18"/>
                <w:color w:val="auto"/>
                <w:w w:val="99"/>
              </w:rPr>
              <w:t>Signature must be guaranteed by a participant in a</w:t>
            </w:r>
          </w:p>
        </w:tc>
        <w:tc>
          <w:tcPr>
            <w:tcW w:w="3960" w:type="dxa"/>
            <w:vAlign w:val="bottom"/>
            <w:gridSpan w:val="2"/>
          </w:tcPr>
          <w:p>
            <w:pPr>
              <w:jc w:val="center"/>
              <w:ind w:right="910"/>
              <w:spacing w:after="0"/>
              <w:rPr>
                <w:sz w:val="20"/>
                <w:szCs w:val="20"/>
                <w:color w:val="auto"/>
              </w:rPr>
            </w:pPr>
            <w:r>
              <w:rPr>
                <w:rFonts w:ascii="Arial" w:cs="Arial" w:eastAsia="Arial" w:hAnsi="Arial"/>
                <w:sz w:val="18"/>
                <w:szCs w:val="18"/>
                <w:color w:val="auto"/>
                <w:w w:val="89"/>
              </w:rPr>
              <w:t>Signature of Signature Guarantee</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w w:val="96"/>
              </w:rPr>
              <w:t>recognized signature guaranty medallion program or</w:t>
            </w:r>
          </w:p>
        </w:tc>
        <w:tc>
          <w:tcPr>
            <w:tcW w:w="28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other signature guarantor program reasonably</w:t>
            </w:r>
          </w:p>
        </w:tc>
        <w:tc>
          <w:tcPr>
            <w:tcW w:w="28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acceptable to the Trustee</w:t>
            </w:r>
          </w:p>
        </w:tc>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Pr>
          <w:p>
            <w:pPr>
              <w:jc w:val="center"/>
              <w:ind w:right="1190"/>
              <w:spacing w:after="0"/>
              <w:rPr>
                <w:sz w:val="20"/>
                <w:szCs w:val="20"/>
                <w:color w:val="auto"/>
              </w:rPr>
            </w:pPr>
            <w:r>
              <w:rPr>
                <w:rFonts w:ascii="Arial" w:cs="Arial" w:eastAsia="Arial" w:hAnsi="Arial"/>
                <w:sz w:val="18"/>
                <w:szCs w:val="18"/>
                <w:color w:val="auto"/>
                <w:w w:val="96"/>
              </w:rPr>
              <w:t>A-2-10</w:t>
            </w:r>
          </w:p>
        </w:tc>
      </w:tr>
    </w:tbl>
    <w:p>
      <w:pPr>
        <w:sectPr>
          <w:pgSz w:w="11900" w:h="16838" w:orient="portrait"/>
          <w:cols w:equalWidth="0" w:num="1">
            <w:col w:w="11040"/>
          </w:cols>
          <w:pgMar w:left="440" w:top="274" w:right="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5.950% SENIOR NOTE DUE 2049]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0"/>
          </w:cols>
          <w:pgMar w:left="440" w:top="270" w:right="4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5.950% Senior Notes due 2049</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 AT7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US37045VAT70</w:t>
      </w:r>
    </w:p>
    <w:p>
      <w:pPr>
        <w:spacing w:after="0" w:line="238" w:lineRule="exact"/>
        <w:rPr>
          <w:sz w:val="20"/>
          <w:szCs w:val="20"/>
          <w:color w:val="auto"/>
        </w:rPr>
      </w:pPr>
    </w:p>
    <w:p>
      <w:pPr>
        <w:spacing w:after="0"/>
        <w:tabs>
          <w:tab w:leader="none" w:pos="580" w:val="left"/>
          <w:tab w:leader="none" w:pos="5840" w:val="left"/>
          <w:tab w:leader="none" w:pos="620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tab/>
        <w:t>]</w:t>
      </w:r>
    </w:p>
    <w:p>
      <w:pPr>
        <w:spacing w:after="0" w:line="22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13"/>
          <w:szCs w:val="13"/>
          <w:color w:val="auto"/>
        </w:rPr>
        <w:t>1</w:t>
      </w:r>
      <w:r>
        <w:rPr>
          <w:rFonts w:ascii="Arial" w:cs="Arial" w:eastAsia="Arial" w:hAnsi="Arial"/>
          <w:sz w:val="16"/>
          <w:szCs w:val="16"/>
          <w:color w:val="auto"/>
        </w:rPr>
        <w:t xml:space="preserve"> on April 1, 2049, and to pay interest thereon from September 10, 2018 or from the most recent Interest Payment Date to which interest has been paid or duly provided for, semi-annually in arrears on April 1 and October 1 of each year, commencing on April 1, 2019, at the rate of 5.950%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6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694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67" w:lineRule="exact"/>
        <w:rPr>
          <w:sz w:val="20"/>
          <w:szCs w:val="20"/>
          <w:color w:val="auto"/>
        </w:rPr>
      </w:pPr>
    </w:p>
    <w:p>
      <w:pPr>
        <w:ind w:left="440" w:hanging="436"/>
        <w:spacing w:after="0"/>
        <w:tabs>
          <w:tab w:leader="none" w:pos="4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000"/>
          </w:cols>
          <w:pgMar w:left="440" w:top="270" w:right="45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019"/>
          </w:cols>
          <w:pgMar w:left="440" w:top="274" w:right="1440"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420"/>
          </w:cols>
          <w:pgMar w:left="440" w:top="274" w:right="10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444"/>
        <w:spacing w:after="0" w:line="291" w:lineRule="auto"/>
        <w:tabs>
          <w:tab w:leader="none" w:pos="62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Fifth Supplemental Indenture relating to the Notes dated as of September 10, 2018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$900,000,000;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4"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70" w:lineRule="exact"/>
        <w:rPr>
          <w:sz w:val="20"/>
          <w:szCs w:val="20"/>
          <w:color w:val="auto"/>
        </w:rPr>
      </w:pPr>
    </w:p>
    <w:p>
      <w:pPr>
        <w:ind w:firstLine="444"/>
        <w:spacing w:after="0" w:line="255" w:lineRule="auto"/>
        <w:tabs>
          <w:tab w:leader="none" w:pos="6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any time prior to October 1, 2048,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45 basis points.</w:t>
      </w:r>
    </w:p>
    <w:p>
      <w:pPr>
        <w:spacing w:after="0" w:line="193"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On or after October 1, 2048,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000"/>
          </w:cols>
          <w:pgMar w:left="440" w:top="270" w:right="45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2, the following terms shall have the following specified meanings:</w:t>
      </w:r>
    </w:p>
    <w:p>
      <w:pPr>
        <w:spacing w:after="0" w:line="117"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Issue</w:t>
      </w:r>
      <w:r>
        <w:rPr>
          <w:rFonts w:ascii="Arial" w:cs="Arial" w:eastAsia="Arial" w:hAnsi="Arial"/>
          <w:sz w:val="16"/>
          <w:szCs w:val="16"/>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47"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means, with respect to any redemption date, as determined by the Company, (A) the average of the five Reference Treasury Dealer Quotations for such redemption date, after excluding the highest and lowest of the Reference Treasury Dealer Quotations or (B) if the Company obtains fewer than five Reference Treasury Dealer Quotations, the average of all Reference Treasury Dealer Quotations so received.</w:t>
      </w:r>
    </w:p>
    <w:p>
      <w:pPr>
        <w:spacing w:after="0" w:line="14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Barclays Capital Inc., Deutsche Bank Securities Inc. and SG Americas Securities, LLC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Dealer</w:t>
      </w:r>
      <w:r>
        <w:rPr>
          <w:rFonts w:ascii="Arial" w:cs="Arial" w:eastAsia="Arial" w:hAnsi="Arial"/>
          <w:sz w:val="16"/>
          <w:szCs w:val="16"/>
          <w:color w:val="auto"/>
        </w:rPr>
        <w:t>”), in which case the Company will substitute therefor another nationally recognized investment banking firm that is a Primary Treasury Dealer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(ii) two other nationally recognized investment banking firms that are Primary Treasury Dealers as selected by the Company.</w:t>
      </w:r>
    </w:p>
    <w:p>
      <w:pPr>
        <w:spacing w:after="0" w:line="154"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87"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80" w:firstLine="444"/>
        <w:spacing w:after="0" w:line="277" w:lineRule="auto"/>
        <w:tabs>
          <w:tab w:leader="none" w:pos="6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firstLine="444"/>
        <w:spacing w:after="0" w:line="259" w:lineRule="auto"/>
        <w:tabs>
          <w:tab w:leader="none" w:pos="6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0940"/>
          </w:cols>
          <w:pgMar w:left="440" w:top="274" w:right="519" w:bottom="1440" w:gutter="0" w:footer="0" w:header="0"/>
        </w:sectPr>
      </w:pPr>
    </w:p>
    <w:bookmarkStart w:id="108" w:name="page109"/>
    <w:bookmarkEnd w:id="10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58" w:lineRule="exact"/>
        <w:rPr>
          <w:sz w:val="20"/>
          <w:szCs w:val="20"/>
          <w:color w:val="auto"/>
        </w:rPr>
      </w:pPr>
    </w:p>
    <w:p>
      <w:pPr>
        <w:ind w:right="100" w:firstLine="444"/>
        <w:spacing w:after="0" w:line="277" w:lineRule="auto"/>
        <w:tabs>
          <w:tab w:leader="none" w:pos="6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54"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340" w:firstLine="444"/>
        <w:spacing w:after="0" w:line="264" w:lineRule="auto"/>
        <w:tabs>
          <w:tab w:leader="none" w:pos="6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1" w:lineRule="exact"/>
        <w:rPr>
          <w:rFonts w:ascii="Arial" w:cs="Arial" w:eastAsia="Arial" w:hAnsi="Arial"/>
          <w:sz w:val="18"/>
          <w:szCs w:val="18"/>
          <w:color w:val="auto"/>
        </w:rPr>
      </w:pPr>
    </w:p>
    <w:p>
      <w:pPr>
        <w:ind w:right="40" w:firstLine="444"/>
        <w:spacing w:after="0" w:line="255" w:lineRule="auto"/>
        <w:tabs>
          <w:tab w:leader="none" w:pos="6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The Notes are issuable only in registered form without coupons in denominations of $2,000 and integral multiples of $1,000 in excess thereof. A-3-7</w:t>
      </w:r>
    </w:p>
    <w:p>
      <w:pPr>
        <w:sectPr>
          <w:pgSz w:w="11900" w:h="16838" w:orient="portrait"/>
          <w:cols w:equalWidth="0" w:num="1">
            <w:col w:w="11020"/>
          </w:cols>
          <w:pgMar w:left="440" w:top="274" w:right="439" w:bottom="1440" w:gutter="0" w:footer="0" w:header="0"/>
        </w:sectPr>
      </w:pPr>
    </w:p>
    <w:bookmarkStart w:id="109" w:name="page110"/>
    <w:bookmarkEnd w:id="109"/>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This Note and the Indenture shall be governed by and construed in accordance with the law of the State of New York in the United</w:t>
      </w:r>
      <w:r>
        <w:rPr>
          <w:rFonts w:ascii="Arial" w:cs="Arial" w:eastAsia="Arial" w:hAnsi="Arial"/>
          <w:sz w:val="18"/>
          <w:szCs w:val="18"/>
          <w:color w:val="auto"/>
        </w:rPr>
        <w:t xml:space="preserve"> </w:t>
      </w:r>
      <w:r>
        <w:rPr>
          <w:rFonts w:ascii="Arial" w:cs="Arial" w:eastAsia="Arial" w:hAnsi="Arial"/>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694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6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000"/>
          </w:cols>
          <w:pgMar w:left="440" w:top="274" w:right="459" w:bottom="1440" w:gutter="0" w:footer="0" w:header="0"/>
        </w:sectPr>
      </w:pPr>
    </w:p>
    <w:bookmarkStart w:id="110" w:name="page111"/>
    <w:bookmarkEnd w:id="110"/>
    <w:p>
      <w:pPr>
        <w:ind w:left="3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5"/>
          <w:szCs w:val="15"/>
          <w:color w:val="auto"/>
        </w:rPr>
        <w:t>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and decreases in this Global Security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decrease in</w:t>
            </w: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Amount of increase in</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Amount of this</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26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Principal Amount of this</w:t>
            </w: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Global Security following</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Global Security</w:t>
            </w:r>
          </w:p>
        </w:tc>
        <w:tc>
          <w:tcPr>
            <w:tcW w:w="24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Global Security</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such decrease or 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hanging="436"/>
        <w:spacing w:after="0"/>
        <w:tabs>
          <w:tab w:leader="none" w:pos="4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8" w:lineRule="auto"/>
        <w:rPr>
          <w:sz w:val="20"/>
          <w:szCs w:val="20"/>
          <w:color w:val="auto"/>
        </w:rPr>
      </w:pPr>
      <w:r>
        <w:rPr>
          <w:rFonts w:ascii="Arial" w:cs="Arial" w:eastAsia="Arial" w:hAnsi="Arial"/>
          <w:sz w:val="13"/>
          <w:szCs w:val="13"/>
          <w:b w:val="1"/>
          <w:bCs w:val="1"/>
          <w:color w:val="auto"/>
        </w:rPr>
        <w:t>Signature of authorized signatory of Trustee or Security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-11430</wp:posOffset>
            </wp:positionV>
            <wp:extent cx="11836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ectPr>
          <w:pgSz w:w="11900" w:h="16838" w:orient="portrait"/>
          <w:cols w:equalWidth="0" w:num="2">
            <w:col w:w="8960" w:space="400"/>
            <w:col w:w="1460"/>
          </w:cols>
          <w:pgMar w:left="440" w:top="274" w:right="639" w:bottom="1440" w:gutter="0" w:footer="0" w:header="0"/>
        </w:sectPr>
      </w:pPr>
    </w:p>
    <w:bookmarkStart w:id="111" w:name="page112"/>
    <w:bookmarkEnd w:id="111"/>
    <w:p>
      <w:pPr>
        <w:ind w:left="4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agent to transfer this Note on the books of the Company. The agent may substitute another to act for him.</w:t>
      </w:r>
    </w:p>
    <w:p>
      <w:pPr>
        <w:spacing w:after="0" w:line="275"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14605</wp:posOffset>
            </wp:positionV>
            <wp:extent cx="65004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w w:val="92"/>
              </w:rPr>
              <w:t>Sign exactly as your name appears on the other side of this Note.</w:t>
            </w:r>
          </w:p>
        </w:tc>
        <w:tc>
          <w:tcPr>
            <w:tcW w:w="4060" w:type="dxa"/>
            <w:vAlign w:val="bottom"/>
          </w:tcPr>
          <w:p>
            <w:pPr>
              <w:spacing w:after="0"/>
              <w:rPr>
                <w:sz w:val="20"/>
                <w:szCs w:val="20"/>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4060" w:type="dxa"/>
            <w:vAlign w:val="bottom"/>
          </w:tcPr>
          <w:p>
            <w:pPr>
              <w:spacing w:after="0"/>
              <w:rPr>
                <w:sz w:val="24"/>
                <w:szCs w:val="24"/>
                <w:color w:val="auto"/>
              </w:rPr>
            </w:pPr>
          </w:p>
        </w:tc>
      </w:tr>
      <w:tr>
        <w:trPr>
          <w:trHeight w:val="419"/>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36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330"/>
        </w:trPr>
        <w:tc>
          <w:tcPr>
            <w:tcW w:w="4860" w:type="dxa"/>
            <w:vAlign w:val="bottom"/>
            <w:gridSpan w:val="3"/>
          </w:tcPr>
          <w:p>
            <w:pPr>
              <w:spacing w:after="0"/>
              <w:rPr>
                <w:sz w:val="20"/>
                <w:szCs w:val="20"/>
                <w:color w:val="auto"/>
              </w:rPr>
            </w:pPr>
            <w:r>
              <w:rPr>
                <w:rFonts w:ascii="Arial" w:cs="Arial" w:eastAsia="Arial" w:hAnsi="Arial"/>
                <w:sz w:val="18"/>
                <w:szCs w:val="18"/>
                <w:color w:val="auto"/>
                <w:w w:val="97"/>
              </w:rPr>
              <w:t>Signature must be guaranteed by a participant in a recognized</w:t>
            </w:r>
          </w:p>
        </w:tc>
        <w:tc>
          <w:tcPr>
            <w:tcW w:w="4060" w:type="dxa"/>
            <w:vAlign w:val="bottom"/>
          </w:tcPr>
          <w:p>
            <w:pPr>
              <w:spacing w:after="0"/>
              <w:rPr>
                <w:sz w:val="20"/>
                <w:szCs w:val="20"/>
                <w:color w:val="auto"/>
              </w:rPr>
            </w:pPr>
            <w:r>
              <w:rPr>
                <w:rFonts w:ascii="Arial" w:cs="Arial" w:eastAsia="Arial" w:hAnsi="Arial"/>
                <w:sz w:val="18"/>
                <w:szCs w:val="18"/>
                <w:color w:val="auto"/>
              </w:rPr>
              <w:t>Signature of Signature Guarantee</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signature guaranty medallion program or other signature</w:t>
            </w:r>
          </w:p>
        </w:tc>
        <w:tc>
          <w:tcPr>
            <w:tcW w:w="4060" w:type="dxa"/>
            <w:vAlign w:val="bottom"/>
          </w:tcPr>
          <w:p>
            <w:pPr>
              <w:spacing w:after="0"/>
              <w:rPr>
                <w:sz w:val="18"/>
                <w:szCs w:val="18"/>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guarantor program reasonably acceptable to the Trustee</w:t>
            </w:r>
          </w:p>
        </w:tc>
        <w:tc>
          <w:tcPr>
            <w:tcW w:w="406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A-3-10</w:t>
            </w:r>
          </w:p>
        </w:tc>
      </w:tr>
    </w:tbl>
    <w:p>
      <w:pPr>
        <w:sectPr>
          <w:pgSz w:w="11900" w:h="16838" w:orient="portrait"/>
          <w:cols w:equalWidth="0" w:num="1">
            <w:col w:w="10019"/>
          </w:cols>
          <w:pgMar w:left="440" w:top="27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AGENCY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FLOATING RATE SENIOR NOTES DUE 2021</w:t>
      </w:r>
    </w:p>
    <w:p>
      <w:pPr>
        <w:spacing w:after="0" w:line="225" w:lineRule="exact"/>
        <w:rPr>
          <w:sz w:val="20"/>
          <w:szCs w:val="20"/>
          <w:color w:val="auto"/>
        </w:rPr>
      </w:pPr>
    </w:p>
    <w:p>
      <w:pPr>
        <w:ind w:right="460" w:firstLine="881"/>
        <w:spacing w:after="0" w:line="279" w:lineRule="auto"/>
        <w:rPr>
          <w:sz w:val="20"/>
          <w:szCs w:val="20"/>
          <w:color w:val="auto"/>
        </w:rPr>
      </w:pPr>
      <w:r>
        <w:rPr>
          <w:rFonts w:ascii="Arial" w:cs="Arial" w:eastAsia="Arial" w:hAnsi="Arial"/>
          <w:sz w:val="17"/>
          <w:szCs w:val="17"/>
          <w:color w:val="auto"/>
        </w:rPr>
        <w:t>THIS AGREEMENT is made as of September 10, 2018, between GENERAL MOTORS COMPANY, a Delaware corporation, whose principal executive office is at 300 Renaissance Center, Detroit, Michigan 48265-3000 (the “Corporation”), and THE BANK OF NEW YORK MELLON, a New York banking corporation, whose designated corporate trust office is at 240 Greenwich Street, 7W, New York, New York 10286 (together with any successor, referred to herein in its capacity hereunder as the “Calculation Agent”).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WHEREAS, the Corporation proposes to issue and sell $450,000,000 aggregate principal amount of its securities designated as Floating Rate Senior Notes due 2021 (the “Notes”). The Notes are to be issued on the date hereof pursuant to the Indenture (the “Base Indenture”) dated as of September 27, 2013 between the Corporation and The Bank of New York Mellon, as trustee (the “Trustee”), as amended and supplemented by the Fifth Supplemental Indenture (the “Supplemental Indenture”) to be dated on or about September 10, 2018 between the Corporation and the Trustee. The Base Indenture and the Supplemental Indenture, each as amended and supplemented, are together referred to herein as the “Indenture.” Terms used but not defined herein shall have the meanings assigned to them in the Indenture.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Notes will bear interest at a rate, reset quarterly, equal to three-month LIBOR plus 0.900%.</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WHEREAS, on the terms and subject to the conditions contained herein, the Corporation desires to appoint the Calculation Agent as its agent, and the Calculation Agent desires to accept such appointment as the Corporation’s agent, to calculate the interest rates on the Notes.</w:t>
      </w:r>
    </w:p>
    <w:p>
      <w:pPr>
        <w:spacing w:after="0" w:line="14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in consideration of the mutual promises contained herein, the Corporation and The Bank of New York Mellon hereby agree as follows:</w:t>
      </w:r>
    </w:p>
    <w:p>
      <w:pPr>
        <w:sectPr>
          <w:pgSz w:w="11900" w:h="16838" w:orient="portrait"/>
          <w:cols w:equalWidth="0" w:num="1">
            <w:col w:w="11020"/>
          </w:cols>
          <w:pgMar w:left="440" w:top="121" w:right="439" w:bottom="1440" w:gutter="0" w:footer="0" w:header="0"/>
        </w:sectPr>
      </w:pPr>
    </w:p>
    <w:bookmarkStart w:id="113" w:name="page114"/>
    <w:bookmarkEnd w:id="113"/>
    <w:p>
      <w:pPr>
        <w:ind w:left="-444" w:right="60" w:firstLine="444"/>
        <w:spacing w:after="0" w:line="264" w:lineRule="auto"/>
        <w:tabs>
          <w:tab w:leader="none" w:pos="176"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Agency. Upon the terms and subject to the conditions contained herein, the Corporation hereby appoints the Calculation Agent as its agent, and Calculation Agent hereby accepts such appointment as the Corporation’s agent, for the purpose of calculating the interest rates on the Notes in the manner and at the times provided in the Notes and the Indenture.</w:t>
      </w:r>
    </w:p>
    <w:p>
      <w:pPr>
        <w:spacing w:after="0" w:line="181" w:lineRule="exact"/>
        <w:rPr>
          <w:rFonts w:ascii="Arial" w:cs="Arial" w:eastAsia="Arial" w:hAnsi="Arial"/>
          <w:sz w:val="18"/>
          <w:szCs w:val="18"/>
          <w:color w:val="auto"/>
        </w:rPr>
      </w:pPr>
    </w:p>
    <w:p>
      <w:pPr>
        <w:ind w:left="-444" w:right="40" w:firstLine="444"/>
        <w:spacing w:after="0" w:line="255" w:lineRule="auto"/>
        <w:tabs>
          <w:tab w:leader="none" w:pos="176"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Duties of Calculation Agent. The Calculation Agent shall exercise due care to determine the interest rates on the Notes, in accordance with the procedures provided in the Notes and the Indenture, and shall communicate the same to the Corporation, the Trustee, The Depository Trust Company and any paying agent identified to it in writing as soon as practicable after each determination. The Calculation Agent will, upon the request of any holder or owner of the Notes, provide the interest rate then in effect with respect to such Note and, if determined, the interest rate with respect to such Note which will become effective on the next Interest Reset Date. No amendment to the provisions of the Indenture or the Notes relating to the duties or obligations of the Calculation Agent hereunder may become effective without the prior written consent of the Calculation Agent, which consent shall not be unreasonably withheld.</w:t>
      </w:r>
    </w:p>
    <w:p>
      <w:pPr>
        <w:spacing w:after="0" w:line="189" w:lineRule="exact"/>
        <w:rPr>
          <w:rFonts w:ascii="Arial" w:cs="Arial" w:eastAsia="Arial" w:hAnsi="Arial"/>
          <w:sz w:val="18"/>
          <w:szCs w:val="18"/>
          <w:color w:val="auto"/>
        </w:rPr>
      </w:pPr>
    </w:p>
    <w:p>
      <w:pPr>
        <w:ind w:left="-444" w:right="480" w:firstLine="444"/>
        <w:spacing w:after="0" w:line="277" w:lineRule="auto"/>
        <w:tabs>
          <w:tab w:leader="none" w:pos="176"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Terms and Conditions. The Calculation Agent accepts its obligations set forth herein, upon the terms and subject to the conditions hereof, including the following, to all of which the Corporation agrees:</w:t>
      </w:r>
    </w:p>
    <w:p>
      <w:pPr>
        <w:spacing w:after="0" w:line="62" w:lineRule="exact"/>
        <w:rPr>
          <w:rFonts w:ascii="Arial" w:cs="Arial" w:eastAsia="Arial" w:hAnsi="Arial"/>
          <w:sz w:val="18"/>
          <w:szCs w:val="18"/>
          <w:color w:val="auto"/>
        </w:rPr>
      </w:pPr>
    </w:p>
    <w:p>
      <w:pPr>
        <w:ind w:left="-444" w:firstLine="885"/>
        <w:spacing w:after="0" w:line="287" w:lineRule="auto"/>
        <w:tabs>
          <w:tab w:leader="none" w:pos="68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Calculation Agent shall be entitled to such compensation as may be agreed in writing with the Corporation for all services rendered by the Calculation Agent, and the Corporation promises to pay such compensation and to reimburse the Calculation Agent for the reasonable out-of-pocket expenses (including reasonable out-of-pocket attorneys’ and other professionals’ fees and expenses) incurred by it in connection with the services rendered by it hereunder upon receipt of such invoices as the Corporation shall reasonably require. The Corporation also agrees to indemnify the Calculation Agent for, and to hold it harmless against, any and all loss, liability, damage, claim or expense (including the costs and expenses of defending against any claim of liability) incurred by the Calculation Agent that arises out of or in connection with its accepting appointment as, or acting as, Calculation Agent hereunder, except such as may result from the gross negligence, willful misconduct or bad faith of the Calculation Agent or any of its agents or employees. The Calculation Agent shall incur no liability and shall be indemnified and held harmless by the Corporation for, or in respect of, any actions taken, omitted to be taken or suffered to be taken in good faith by the Calculation Agent in reliance upon (i) the written opinion or advice of legal or other professional advisors satisfactory to it or (ii) written instructions from the Corporation. The Calculation Agent shall not be liable for any error resulting from the use of or reliance on a source of information used in good faith and with due care to calculate any interest rate hereunder. The indemnification provisions of this section shall survive the termination of this Agreement.</w:t>
      </w:r>
    </w:p>
    <w:p>
      <w:pPr>
        <w:spacing w:after="0" w:line="101" w:lineRule="exact"/>
        <w:rPr>
          <w:rFonts w:ascii="Arial" w:cs="Arial" w:eastAsia="Arial" w:hAnsi="Arial"/>
          <w:sz w:val="16"/>
          <w:szCs w:val="16"/>
          <w:color w:val="auto"/>
        </w:rPr>
      </w:pPr>
    </w:p>
    <w:p>
      <w:pPr>
        <w:ind w:left="5016" w:hanging="96"/>
        <w:spacing w:after="0"/>
        <w:tabs>
          <w:tab w:leader="none" w:pos="5016" w:val="left"/>
        </w:tabs>
        <w:numPr>
          <w:ilvl w:val="2"/>
          <w:numId w:val="7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76"/>
          </w:cols>
          <w:pgMar w:left="884" w:top="274" w:right="439" w:bottom="1440" w:gutter="0" w:footer="0" w:header="0"/>
        </w:sectPr>
      </w:pPr>
    </w:p>
    <w:bookmarkStart w:id="114" w:name="page115"/>
    <w:bookmarkEnd w:id="114"/>
    <w:p>
      <w:pPr>
        <w:ind w:left="-885" w:firstLine="885"/>
        <w:spacing w:after="0" w:line="308" w:lineRule="auto"/>
        <w:tabs>
          <w:tab w:leader="none" w:pos="251"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acting under this Agreement in connection with the Notes, the Calculation Agent is acting solely as agent of the Corporation and does not assume any obligations to or relationship of agency or trust for or with any of the owners or holders of the Notes.</w:t>
      </w:r>
    </w:p>
    <w:p>
      <w:pPr>
        <w:spacing w:after="0" w:line="38" w:lineRule="exact"/>
        <w:rPr>
          <w:rFonts w:ascii="Arial" w:cs="Arial" w:eastAsia="Arial" w:hAnsi="Arial"/>
          <w:sz w:val="17"/>
          <w:szCs w:val="17"/>
          <w:color w:val="auto"/>
        </w:rPr>
      </w:pPr>
    </w:p>
    <w:p>
      <w:pPr>
        <w:ind w:left="-885" w:right="460" w:firstLine="885"/>
        <w:spacing w:after="0" w:line="259" w:lineRule="auto"/>
        <w:tabs>
          <w:tab w:leader="none" w:pos="2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Calculation Agent shall be protected and shall incur no liability for or in respect of any action taken or omitted to be taken or anything suffered by it in reliance upon the terms of the Notes or any notice, direction, certificate, affidavit, statement or other paper, document or communication on which it is entitled to rely pursuant to the terms hereof and which is reasonably believed by it to be genuine and to have been approved or signed by the proper party or parties.</w:t>
      </w:r>
    </w:p>
    <w:p>
      <w:pPr>
        <w:spacing w:after="0" w:line="78" w:lineRule="exact"/>
        <w:rPr>
          <w:rFonts w:ascii="Arial" w:cs="Arial" w:eastAsia="Arial" w:hAnsi="Arial"/>
          <w:sz w:val="18"/>
          <w:szCs w:val="18"/>
          <w:color w:val="auto"/>
        </w:rPr>
      </w:pPr>
    </w:p>
    <w:p>
      <w:pPr>
        <w:jc w:val="both"/>
        <w:ind w:left="-885" w:right="300" w:firstLine="885"/>
        <w:spacing w:after="0" w:line="264" w:lineRule="auto"/>
        <w:tabs>
          <w:tab w:leader="none" w:pos="25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Calculation Agent, its officers, directors, employees and shareholders may become the owners of, or acquire any interest in, any Notes, with the same rights that it or they would have if it were not the Calculation Agent, and may engage or be interested in any financial or other transaction with the Corporation as freely as if it were not the Calculation Agent.</w:t>
      </w:r>
    </w:p>
    <w:p>
      <w:pPr>
        <w:spacing w:after="0" w:line="73" w:lineRule="exact"/>
        <w:rPr>
          <w:rFonts w:ascii="Arial" w:cs="Arial" w:eastAsia="Arial" w:hAnsi="Arial"/>
          <w:sz w:val="18"/>
          <w:szCs w:val="18"/>
          <w:color w:val="auto"/>
        </w:rPr>
      </w:pPr>
    </w:p>
    <w:p>
      <w:pPr>
        <w:ind w:left="-885" w:right="140" w:firstLine="885"/>
        <w:spacing w:after="0" w:line="264" w:lineRule="auto"/>
        <w:tabs>
          <w:tab w:leader="none" w:pos="2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Neither the Calculation Agent nor its officers, directors, employees, agents or attorneys shall be liable to the Corporation for any act or omission hereunder, or for any error of judgment made in good faith by it or them in connection with the performance of its obligations hereunder, except in the case of its or their gross negligence, willful misconduct or bad faith.</w:t>
      </w:r>
    </w:p>
    <w:p>
      <w:pPr>
        <w:spacing w:after="0" w:line="73" w:lineRule="exact"/>
        <w:rPr>
          <w:rFonts w:ascii="Arial" w:cs="Arial" w:eastAsia="Arial" w:hAnsi="Arial"/>
          <w:sz w:val="18"/>
          <w:szCs w:val="18"/>
          <w:color w:val="auto"/>
        </w:rPr>
      </w:pPr>
    </w:p>
    <w:p>
      <w:pPr>
        <w:ind w:left="-885" w:right="220" w:firstLine="885"/>
        <w:spacing w:after="0" w:line="342" w:lineRule="auto"/>
        <w:tabs>
          <w:tab w:leader="none" w:pos="221"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Calculation Agent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left="-885" w:right="60" w:firstLine="885"/>
        <w:spacing w:after="0" w:line="277" w:lineRule="auto"/>
        <w:tabs>
          <w:tab w:leader="none" w:pos="25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Calculation Agent shall be obligated to perform such duties and only such duties as are herein specifically set forth, and no implied duties or obligations shall be read into this Agreement against the Calculation Agent.</w:t>
      </w:r>
    </w:p>
    <w:p>
      <w:pPr>
        <w:spacing w:after="0" w:line="62" w:lineRule="exact"/>
        <w:rPr>
          <w:rFonts w:ascii="Arial" w:cs="Arial" w:eastAsia="Arial" w:hAnsi="Arial"/>
          <w:sz w:val="18"/>
          <w:szCs w:val="18"/>
          <w:color w:val="auto"/>
        </w:rPr>
      </w:pPr>
    </w:p>
    <w:p>
      <w:pPr>
        <w:ind w:left="-885" w:right="680" w:firstLine="885"/>
        <w:spacing w:after="0" w:line="342" w:lineRule="auto"/>
        <w:tabs>
          <w:tab w:leader="none" w:pos="251"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herein otherwise specifically provided, any order, certificate, notice, request, direction or other communication from the Corporation made or given by it under any provision of this Agreement shall be sufficient if signed by any officer of the Corporation.</w:t>
      </w:r>
    </w:p>
    <w:p>
      <w:pPr>
        <w:spacing w:after="0" w:line="15" w:lineRule="exact"/>
        <w:rPr>
          <w:rFonts w:ascii="Arial" w:cs="Arial" w:eastAsia="Arial" w:hAnsi="Arial"/>
          <w:sz w:val="16"/>
          <w:szCs w:val="16"/>
          <w:color w:val="auto"/>
        </w:rPr>
      </w:pPr>
    </w:p>
    <w:p>
      <w:pPr>
        <w:jc w:val="both"/>
        <w:ind w:left="-885" w:firstLine="885"/>
        <w:spacing w:after="0" w:line="264" w:lineRule="auto"/>
        <w:tabs>
          <w:tab w:leader="none" w:pos="2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no event shall the Calculation Agent be responsible or liable for special, indirect, punitive or consequential loss or damage of any kind whatsoever (including, but not limited to, loss of profit) irrespective of whether the Calculation Agent has been advised of the likelihood of such loss or damage and regardless of the form of action.</w:t>
      </w:r>
    </w:p>
    <w:p>
      <w:pPr>
        <w:spacing w:after="0" w:line="113" w:lineRule="exact"/>
        <w:rPr>
          <w:rFonts w:ascii="Arial" w:cs="Arial" w:eastAsia="Arial" w:hAnsi="Arial"/>
          <w:sz w:val="18"/>
          <w:szCs w:val="18"/>
          <w:color w:val="auto"/>
        </w:rPr>
      </w:pPr>
    </w:p>
    <w:p>
      <w:pPr>
        <w:ind w:left="4575" w:hanging="96"/>
        <w:spacing w:after="0"/>
        <w:tabs>
          <w:tab w:leader="none" w:pos="45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095"/>
          </w:cols>
          <w:pgMar w:left="1325" w:top="274" w:right="479" w:bottom="1440" w:gutter="0" w:footer="0" w:header="0"/>
        </w:sectPr>
      </w:pPr>
    </w:p>
    <w:bookmarkStart w:id="115" w:name="page116"/>
    <w:bookmarkEnd w:id="115"/>
    <w:p>
      <w:pPr>
        <w:ind w:left="-444" w:right="140" w:firstLine="885"/>
        <w:spacing w:after="0" w:line="255" w:lineRule="auto"/>
        <w:tabs>
          <w:tab w:leader="none" w:pos="652"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Calculation Agent be responsible or liable for any failure or delay in the performance of its obligations under this Agreement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Calculation Agent shall use commercially reasonable efforts which are consistent with accepted practices in the banking industry to resume performance as soon as practicable under the circumstances.</w:t>
      </w:r>
    </w:p>
    <w:p>
      <w:pPr>
        <w:spacing w:after="0" w:line="85" w:lineRule="exact"/>
        <w:rPr>
          <w:rFonts w:ascii="Arial" w:cs="Arial" w:eastAsia="Arial" w:hAnsi="Arial"/>
          <w:sz w:val="18"/>
          <w:szCs w:val="18"/>
          <w:color w:val="auto"/>
        </w:rPr>
      </w:pPr>
    </w:p>
    <w:p>
      <w:pPr>
        <w:ind w:left="-444" w:firstLine="885"/>
        <w:spacing w:after="0" w:line="264" w:lineRule="auto"/>
        <w:tabs>
          <w:tab w:leader="none" w:pos="6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no event shall the Calculation Agent be required to expend or risk its own funds in the performance of any of its duties hereunder or the exercise of any of its rights or powers hereunder, or otherwise incur any financial liability in the performance of its duties or the exercise of any of its rights or powers hereunder.</w:t>
      </w:r>
    </w:p>
    <w:p>
      <w:pPr>
        <w:spacing w:after="0" w:line="73" w:lineRule="exact"/>
        <w:rPr>
          <w:rFonts w:ascii="Arial" w:cs="Arial" w:eastAsia="Arial" w:hAnsi="Arial"/>
          <w:sz w:val="18"/>
          <w:szCs w:val="18"/>
          <w:color w:val="auto"/>
        </w:rPr>
      </w:pPr>
    </w:p>
    <w:p>
      <w:pPr>
        <w:ind w:left="-444" w:right="100" w:firstLine="885"/>
        <w:spacing w:after="0" w:line="308" w:lineRule="auto"/>
        <w:tabs>
          <w:tab w:leader="none" w:pos="652"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Calculation Agent may perform any duties hereunder either directly or by or through agents or attorneys, and the Calculation Agent shall not be responsible for any misconduct or negligence on the part of any agent or attorney appointed with due care by it hereunder.</w:t>
      </w:r>
    </w:p>
    <w:p>
      <w:pPr>
        <w:spacing w:after="0" w:line="146" w:lineRule="exact"/>
        <w:rPr>
          <w:rFonts w:ascii="Arial" w:cs="Arial" w:eastAsia="Arial" w:hAnsi="Arial"/>
          <w:sz w:val="17"/>
          <w:szCs w:val="17"/>
          <w:color w:val="auto"/>
        </w:rPr>
      </w:pPr>
    </w:p>
    <w:p>
      <w:pPr>
        <w:ind w:left="176" w:hanging="176"/>
        <w:spacing w:after="0"/>
        <w:tabs>
          <w:tab w:leader="none" w:pos="1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Resignation and Removal; Successors.</w:t>
      </w:r>
    </w:p>
    <w:p>
      <w:pPr>
        <w:spacing w:after="0" w:line="117" w:lineRule="exact"/>
        <w:rPr>
          <w:rFonts w:ascii="Arial" w:cs="Arial" w:eastAsia="Arial" w:hAnsi="Arial"/>
          <w:sz w:val="18"/>
          <w:szCs w:val="18"/>
          <w:color w:val="auto"/>
        </w:rPr>
      </w:pPr>
    </w:p>
    <w:p>
      <w:pPr>
        <w:ind w:left="-444" w:right="20" w:firstLine="885"/>
        <w:spacing w:after="0" w:line="286" w:lineRule="auto"/>
        <w:tabs>
          <w:tab w:leader="none" w:pos="682"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The Calculation Agent may at any time resign as Calculation Agent by giving written notice to the Corporation of such intention on its part, specifying the date on which its desired resignation shall become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date shall never be earlier than 60 days after the receipt of such notice by the Corporation, unless the Corporation agrees in writing to accept less notice. The Calculation Agent may be removed at any time upon 60 days notice by the filing with it of any instrument in writing signed on behalf of the Corporation and specifying such removal and the date when it is intended to become effective; provided, however, that the Calculation Agent may agree in writing to accept less notice. Such resignation or removal shall take effect upon the date of the appointment by the Corporation, as hereinafter provided, of a successor Calculation Agent (which may be the Corporation). If within 60 days after notice of resignation or removal has been given, a successor Calculation Agent has not been appointed, the Calculation Agent may, at the expense of the Corporation, petition a court of competent jurisdiction to appoint a successor Calculation Agent. A successor Calculation Agent shall be appointed by the Corporation by an instrument in writing signed on behalf of the Corporation and the successor Calculation Agent. Upon the appointment of a successor Calculation Agent and acceptance by it of such appointment, the Calculation Agent so succeeded shall cease to be such Calculation Agent hereunder. Upon its resignation or removal, the Calculation Agent shall be entitled to the payment by the Corporation of its compensation, if any is owed to it, for services rendered hereunder and to the reimbursement of all reasonable out-of-pocket expenses incurred in connection with the services rendered by it hereunder and to the payment of all other amounts owed to it hereunder.</w:t>
      </w:r>
    </w:p>
    <w:p>
      <w:pPr>
        <w:spacing w:after="0" w:line="107" w:lineRule="exact"/>
        <w:rPr>
          <w:rFonts w:ascii="Arial" w:cs="Arial" w:eastAsia="Arial" w:hAnsi="Arial"/>
          <w:sz w:val="16"/>
          <w:szCs w:val="16"/>
          <w:color w:val="auto"/>
        </w:rPr>
      </w:pPr>
    </w:p>
    <w:p>
      <w:pPr>
        <w:ind w:left="5016" w:hanging="96"/>
        <w:spacing w:after="0"/>
        <w:tabs>
          <w:tab w:leader="none" w:pos="5016" w:val="left"/>
        </w:tabs>
        <w:numPr>
          <w:ilvl w:val="2"/>
          <w:numId w:val="7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6"/>
          </w:cols>
          <w:pgMar w:left="884" w:top="274" w:right="439" w:bottom="1440" w:gutter="0" w:footer="0" w:header="0"/>
        </w:sectPr>
      </w:pPr>
    </w:p>
    <w:bookmarkStart w:id="116" w:name="page117"/>
    <w:bookmarkEnd w:id="116"/>
    <w:p>
      <w:pPr>
        <w:ind w:right="80" w:firstLine="885"/>
        <w:spacing w:after="0" w:line="255" w:lineRule="auto"/>
        <w:tabs>
          <w:tab w:leader="none" w:pos="113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successor Calculation Agent appointed hereunder shall execute and deliver to its predecessor and to the Corporation an instrument accepting such appointment hereunder, and thereupon such successor Calculation Agent, without any further act, deed or conveyance, shall become vested with all the authority, rights, powers, trusts, immunities, duties and obligations of such predecessor with like effect as if originally named as such Calculation Agent hereunder, and such predecessor, upon payment of its charges and disbursements then unpaid, shall thereupon become obliged to transfer and deliver, and such successor Calculation Agent shall be entitled to receive, copies of any relevant records maintained by such predecessor Calculation Agent.</w:t>
      </w:r>
    </w:p>
    <w:p>
      <w:pPr>
        <w:spacing w:after="0" w:line="85" w:lineRule="exact"/>
        <w:rPr>
          <w:rFonts w:ascii="Arial" w:cs="Arial" w:eastAsia="Arial" w:hAnsi="Arial"/>
          <w:sz w:val="18"/>
          <w:szCs w:val="18"/>
          <w:color w:val="auto"/>
        </w:rPr>
      </w:pPr>
    </w:p>
    <w:p>
      <w:pPr>
        <w:ind w:right="280" w:firstLine="885"/>
        <w:spacing w:after="0" w:line="257" w:lineRule="auto"/>
        <w:tabs>
          <w:tab w:leader="none" w:pos="11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corporation into which the Calculation Agent may be merged, or any corporation with which the Calculation Agent may be consolidated, or any corporation resulting from any merger or consolidation or to which the Calculation Agent shall sell or otherwise transfer all or substantially all of its corporate trust assets or business shall, to the extent permitted by applicable law, be the successor Calculation Agent under this Agreement without the execution or filing of any paper or any further act on the part of any of the parties hereto. Notice of any such merger, consolidation or sale shall forthwith be given to the Corporation and the Trustee.</w:t>
      </w:r>
    </w:p>
    <w:p>
      <w:pPr>
        <w:spacing w:after="0" w:line="188" w:lineRule="exact"/>
        <w:rPr>
          <w:sz w:val="20"/>
          <w:szCs w:val="20"/>
          <w:color w:val="auto"/>
        </w:rPr>
      </w:pPr>
    </w:p>
    <w:p>
      <w:pPr>
        <w:ind w:firstLine="885"/>
        <w:spacing w:after="0" w:line="285" w:lineRule="auto"/>
        <w:tabs>
          <w:tab w:leader="none" w:pos="1061" w:val="left"/>
        </w:tabs>
        <w:numPr>
          <w:ilvl w:val="1"/>
          <w:numId w:val="80"/>
        </w:numPr>
        <w:rPr>
          <w:rFonts w:ascii="Arial" w:cs="Arial" w:eastAsia="Arial" w:hAnsi="Arial"/>
          <w:sz w:val="16"/>
          <w:szCs w:val="16"/>
          <w:color w:val="auto"/>
        </w:rPr>
      </w:pPr>
      <w:r>
        <w:rPr>
          <w:rFonts w:ascii="Arial" w:cs="Arial" w:eastAsia="Arial" w:hAnsi="Arial"/>
          <w:sz w:val="16"/>
          <w:szCs w:val="16"/>
          <w:color w:val="auto"/>
        </w:rPr>
        <w:t>Notice. Any notice required to be given hereunder shall be (i) delivered in person, (ii) sent by letter or, solely with respect to notices given to the Calculation Agent or The Depository Trust Company, facsimile or email, or (iii) communicated by telephone (subject, in the case of communication by telephone, to confirmation dispatched within twenty-four hours by letter or by facsimile), (A) in the case of the Corporation, to General Motors Company, Attn: Secretary, 300 Renaissance Center, Detroit, Michigan 48265-3000 telephone: (313) 665-4927, with a copy, which shall not constitute notice, to General Motors Company, Attn: Treasurer, 300 Renaissance Center, Detroit, Michigan 48265-3000 telephone: (313) 667-1192,</w:t>
      </w:r>
    </w:p>
    <w:p>
      <w:pPr>
        <w:spacing w:after="0" w:line="2" w:lineRule="exact"/>
        <w:rPr>
          <w:rFonts w:ascii="Arial" w:cs="Arial" w:eastAsia="Arial" w:hAnsi="Arial"/>
          <w:sz w:val="16"/>
          <w:szCs w:val="16"/>
          <w:color w:val="auto"/>
        </w:rPr>
      </w:pPr>
    </w:p>
    <w:p>
      <w:pPr>
        <w:ind w:left="280" w:hanging="276"/>
        <w:spacing w:after="0"/>
        <w:tabs>
          <w:tab w:leader="none" w:pos="2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Bank of New York Mellon, to Corporate Trust Administration, 240 Greenwich Street, 7W, New York, New York 10286, telephone: (212)</w:t>
      </w:r>
    </w:p>
    <w:p>
      <w:pPr>
        <w:spacing w:after="0" w:line="2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815-2274, facsimile: (212) 815-5595 and, (C) in the case of The Depository Trust Company, to Manager Announcements, Dividend Department, The Depository Trust Company, 55 Water Street - 25th Floor, New York, New York 10041, facsimile: (212) 855-4555 or (212) 709-1263, or to any other address of which any party shall have notified the others in writing as herein provided. Any notice hereunder given by telephone, facsimile (as applicable hereunder) or letter shall be deemed to be received when in the ordinary course of transmission or post, as the case may be, it would be received.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4" w:right="439" w:bottom="1440" w:gutter="0" w:footer="0" w:header="0"/>
        </w:sectPr>
      </w:pPr>
    </w:p>
    <w:bookmarkStart w:id="117" w:name="page118"/>
    <w:bookmarkEnd w:id="117"/>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Calculation Agent agrees to accept and act upon instructions or directions pursuant to this Agreement sent by unsecured e-mail, pdf, facsimile transmission or other similar unsecured electronic methods,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Calculation Agent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Corporation elects to give the Calculation Agent e-mail or facsimile instructions (or instructions by a similar electronic method) and the Calculation Agent in its discretion elects to act upon such instructions, the Calculation Agent’s reasonable understanding of such instructions shall be deemed controlling. The Calculation Agent shall not be liable for any losses, costs or expenses arising directly or indirectly from the Calculation Agent’s reasonable reliance upon and compliance with such instructions prior to receipt of a subsequent written instruction, notwithstanding such instructions conflict or are inconsistent with such subsequent written instruction. The Corporation agrees to assume all risks arising out of the use of such electronic methods to submit instructions and directions to the Calculation Agent including without limitation the risk of the Calculation Agent acting on unauthorized instructions, and the risk of interception and misuse by third parties.</w:t>
      </w:r>
    </w:p>
    <w:p>
      <w:pPr>
        <w:spacing w:after="0" w:line="183" w:lineRule="exact"/>
        <w:rPr>
          <w:sz w:val="20"/>
          <w:szCs w:val="20"/>
          <w:color w:val="auto"/>
        </w:rPr>
      </w:pPr>
    </w:p>
    <w:p>
      <w:pPr>
        <w:ind w:right="20" w:firstLine="444"/>
        <w:spacing w:after="0" w:line="259" w:lineRule="auto"/>
        <w:tabs>
          <w:tab w:leader="none" w:pos="6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Governing Law. This Agreement and the Calculation Agent’s appointment as Calculation Agent hereunder shall be construed and enforced in accordance with the laws of the State of New York applicable to agreements made and to be performed entirely within such state, and without regard to conflicts of laws principles, and shall inure to the benefit of, and the obligations created hereby shall be binding upon, the successors and assigns of each of the parties hereto.</w:t>
      </w:r>
    </w:p>
    <w:p>
      <w:pPr>
        <w:spacing w:after="0" w:line="186" w:lineRule="exact"/>
        <w:rPr>
          <w:rFonts w:ascii="Arial" w:cs="Arial" w:eastAsia="Arial" w:hAnsi="Arial"/>
          <w:sz w:val="18"/>
          <w:szCs w:val="18"/>
          <w:color w:val="auto"/>
        </w:rPr>
      </w:pPr>
    </w:p>
    <w:p>
      <w:pPr>
        <w:ind w:right="200" w:firstLine="444"/>
        <w:spacing w:after="0" w:line="264" w:lineRule="auto"/>
        <w:tabs>
          <w:tab w:leader="none" w:pos="6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Counterparts. This Agreement may be executed by each of the parties hereto in any number of counterparts (including by means of electronic (e.g., “pdf” or “tif”) transmission), each of which counterparts, when so executed and delivered, shall be deemed to be an original and all such counterparts shall together constitute one and the same agreement.</w:t>
      </w:r>
    </w:p>
    <w:p>
      <w:pPr>
        <w:spacing w:after="0" w:line="181" w:lineRule="exact"/>
        <w:rPr>
          <w:rFonts w:ascii="Arial" w:cs="Arial" w:eastAsia="Arial" w:hAnsi="Arial"/>
          <w:sz w:val="18"/>
          <w:szCs w:val="18"/>
          <w:color w:val="auto"/>
        </w:rPr>
      </w:pPr>
    </w:p>
    <w:p>
      <w:pPr>
        <w:ind w:right="720" w:firstLine="444"/>
        <w:spacing w:after="0" w:line="308" w:lineRule="auto"/>
        <w:tabs>
          <w:tab w:leader="none" w:pos="621"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Conflicting Provisions. In the event of any conflict relating to the rights or obligations of the Calculation Agent in connection with the calculation of the interest rates on the Notes, the relevant terms of this Agreement shall govern such rights and obligations.</w:t>
      </w:r>
    </w:p>
    <w:p>
      <w:pPr>
        <w:spacing w:after="0" w:line="146" w:lineRule="exact"/>
        <w:rPr>
          <w:rFonts w:ascii="Arial" w:cs="Arial" w:eastAsia="Arial" w:hAnsi="Arial"/>
          <w:sz w:val="17"/>
          <w:szCs w:val="17"/>
          <w:color w:val="auto"/>
        </w:rPr>
      </w:pPr>
    </w:p>
    <w:p>
      <w:pPr>
        <w:ind w:right="40" w:firstLine="444"/>
        <w:spacing w:after="0" w:line="273" w:lineRule="auto"/>
        <w:tabs>
          <w:tab w:leader="none" w:pos="621" w:val="left"/>
        </w:tabs>
        <w:numPr>
          <w:ilvl w:val="0"/>
          <w:numId w:val="82"/>
        </w:numPr>
        <w:rPr>
          <w:rFonts w:ascii="Arial" w:cs="Arial" w:eastAsia="Arial" w:hAnsi="Arial"/>
          <w:sz w:val="17"/>
          <w:szCs w:val="17"/>
          <w:color w:val="auto"/>
        </w:rPr>
      </w:pPr>
      <w:r>
        <w:rPr>
          <w:rFonts w:ascii="Arial" w:cs="Arial" w:eastAsia="Arial" w:hAnsi="Arial"/>
          <w:sz w:val="17"/>
          <w:szCs w:val="17"/>
          <w:color w:val="auto"/>
        </w:rPr>
        <w:t>WAIVER OF JURY TRIAL; VENUE. EACH OF THE CORPORATION AND THE CALCULATION AGENT HEREBY IRREVOCABLY WAIVES, TO THE FULLEST EXTENT PERMITTED BY APPLICABLE LAW, ANY AND ALL RIGHT TO TRIAL BY JURY IN ANY LEGAL PROCEEDING ARISING OUT OF OR RELATING TO THIS AGREEMENT OR THE TRANSACTION CONTEMPLATED HEREBY. Any legal action or proceeding with respect to this Agreement shall be brought exclusively in the courts of the State of New York located in the City of New York, Borough of Manhattan, or of the United States of America for the Southern District of New York in the Borough of Manhattan and, by execution and delivery of this Agreement, each party hereto hereby accepts for itself and in respect of its property,</w:t>
      </w:r>
    </w:p>
    <w:p>
      <w:pPr>
        <w:spacing w:after="0" w:line="110" w:lineRule="exact"/>
        <w:rPr>
          <w:rFonts w:ascii="Arial" w:cs="Arial" w:eastAsia="Arial" w:hAnsi="Arial"/>
          <w:sz w:val="17"/>
          <w:szCs w:val="17"/>
          <w:color w:val="auto"/>
        </w:rPr>
      </w:pPr>
    </w:p>
    <w:p>
      <w:pPr>
        <w:ind w:left="5460" w:hanging="96"/>
        <w:spacing w:after="0"/>
        <w:tabs>
          <w:tab w:leader="none" w:pos="54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20"/>
          </w:cols>
          <w:pgMar w:left="440" w:top="274" w:right="439" w:bottom="1440" w:gutter="0" w:footer="0" w:header="0"/>
        </w:sectPr>
      </w:pPr>
    </w:p>
    <w:bookmarkStart w:id="118" w:name="page119"/>
    <w:bookmarkEnd w:id="118"/>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and unconditionally, the jurisdiction of the aforesaid courts. The parties hereto hereby irrevocably waive any objection, including any objection to the laying of venue or based on the grounds of forum non conveniens, that any of them may now or hereafter have to the bringing of any such action or proceeding in such jurisdiction.</w:t>
      </w:r>
    </w:p>
    <w:p>
      <w:pPr>
        <w:spacing w:after="0" w:line="181" w:lineRule="exact"/>
        <w:rPr>
          <w:sz w:val="20"/>
          <w:szCs w:val="20"/>
          <w:color w:val="auto"/>
        </w:rPr>
      </w:pPr>
    </w:p>
    <w:p>
      <w:pPr>
        <w:ind w:firstLine="444"/>
        <w:spacing w:after="0" w:line="264"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Initial Interest Rate Determination. The Calculation Agent, at the request of the Corporation, has determined, prior to the date of execution and delivery of this Agreement, the initial interest rate for the Notes. In connection with such determination, the Calculation Agent shall be entitled to the same rights, protections, exculpations and immunities otherwise available to it under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Manish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25901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Manish Gulati</w:t>
      </w:r>
    </w:p>
    <w:p>
      <w:pPr>
        <w:spacing w:after="0" w:line="23"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ectPr>
          <w:pgSz w:w="11900" w:h="16838" w:orient="portrait"/>
          <w:cols w:equalWidth="0" w:num="1">
            <w:col w:w="9579"/>
          </w:cols>
          <w:pgMar w:left="880" w:top="274" w:right="1440" w:bottom="1440" w:gutter="0" w:footer="0" w:header="0"/>
        </w:sectPr>
      </w:pPr>
    </w:p>
    <w:bookmarkStart w:id="120" w:name="page121"/>
    <w:bookmarkEnd w:id="12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Calculation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Laurence J. O’Brien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4"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Skadden, Arps, Slate, Meagher &amp; Flom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General Motors Company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RegistrationStatement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We have acted as special counsel to General Motors Company, a Delaware corporation (the “Company”), in connection with the public offering of $450,000,000 aggregate principal amount of the Company’s Floating Rate Senior Notes due 2021 (the “Floating Rate Notes”), $750,000,000 aggregate principal amount of the Company’s 5.000% Senior Notes due 2028 (the “2028 Notes”) and $900,000,000 aggregate principal amount of the Company’s 5.950% Senior Notes due 2049 (the “2049 Notes” and, together with the Floating Rate Notes and the 2028 Notes, the “Securities”) to be issued under the Indenture, dated as of September 27, 2013 (the “Base Indenture”), between the Company and The Bank of New York Mellon, as trustee (the “Trustee”), as supplemented by the fifth supplemental indenture dated as of the date hereof (the “Fifth Supplemental Indenture” and, together with the Base Indenture, the “Indenture”), between the Company and the Trustee.</w:t>
      </w:r>
    </w:p>
    <w:p>
      <w:pPr>
        <w:spacing w:after="0" w:line="178"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“Securities Act”).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117" w:lineRule="exact"/>
        <w:rPr>
          <w:sz w:val="20"/>
          <w:szCs w:val="20"/>
          <w:color w:val="auto"/>
        </w:rPr>
      </w:pPr>
    </w:p>
    <w:p>
      <w:pPr>
        <w:ind w:firstLine="885"/>
        <w:spacing w:after="0" w:line="276" w:lineRule="auto"/>
        <w:tabs>
          <w:tab w:leader="none" w:pos="112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registration statement on Form S-3 (File No. 333-215924) of the Company relating to debt securities and other securities of the Company filed on February 7, 2017 with the Securities and Exchange Commission (the “Commission”) under the Securities Act of 1933 (the “Securities Act”) allowing for delayed offerings pursuant to Rule 415 of the General Rules and Regulations under the Securities Act (the “Rules and Regulations”), including information deemed to be a part of the registration statement pursuant to Rule 430B of the Rules and Regulations (such registration statement, at the time it became effective, being hereinafter referred to as the “Registration Statement”);</w:t>
      </w:r>
    </w:p>
    <w:p>
      <w:pPr>
        <w:sectPr>
          <w:pgSz w:w="11900" w:h="16838" w:orient="portrait"/>
          <w:cols w:equalWidth="0" w:num="1">
            <w:col w:w="11020"/>
          </w:cols>
          <w:pgMar w:left="440" w:top="121" w:right="439" w:bottom="1440" w:gutter="0" w:footer="0" w:header="0"/>
        </w:sectPr>
      </w:pPr>
    </w:p>
    <w:bookmarkStart w:id="122" w:name="page123"/>
    <w:bookmarkEnd w:id="122"/>
    <w:p>
      <w:pPr>
        <w:ind w:left="1140" w:hanging="255"/>
        <w:spacing w:after="0"/>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prospectus, dated February 7, 2017 (the “Base Prospectus”), which forms a part of and is included in the Registration Statement;</w:t>
      </w:r>
    </w:p>
    <w:p>
      <w:pPr>
        <w:spacing w:after="0" w:line="140" w:lineRule="exact"/>
        <w:rPr>
          <w:rFonts w:ascii="Arial" w:cs="Arial" w:eastAsia="Arial" w:hAnsi="Arial"/>
          <w:sz w:val="16"/>
          <w:szCs w:val="16"/>
          <w:color w:val="auto"/>
        </w:rPr>
      </w:pPr>
    </w:p>
    <w:p>
      <w:pPr>
        <w:ind w:right="360" w:firstLine="885"/>
        <w:spacing w:after="0" w:line="342" w:lineRule="auto"/>
        <w:tabs>
          <w:tab w:leader="none" w:pos="112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preliminary prospectus supplement, dated September 5, 2018 (together with the Base Prospectus, the “Preliminary Prospectus”), relating to the offering of the Securities, in the form filed with the Commission pursuant to Rule 424(b) of the Rules and Regulations;</w:t>
      </w:r>
    </w:p>
    <w:p>
      <w:pPr>
        <w:spacing w:after="0" w:line="15" w:lineRule="exact"/>
        <w:rPr>
          <w:rFonts w:ascii="Arial" w:cs="Arial" w:eastAsia="Arial" w:hAnsi="Arial"/>
          <w:sz w:val="16"/>
          <w:szCs w:val="16"/>
          <w:color w:val="auto"/>
        </w:rPr>
      </w:pPr>
    </w:p>
    <w:p>
      <w:pPr>
        <w:ind w:firstLine="885"/>
        <w:spacing w:after="0" w:line="277" w:lineRule="auto"/>
        <w:tabs>
          <w:tab w:leader="none" w:pos="11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prospectus supplement, dated September 5, 2018 (together with the Base Prospectus, the “Prospectus”), relating to the offering of the Securities, in the form filed with the Commission pursuant to Rule 424(b) of the Rules and Regulations;</w:t>
      </w:r>
    </w:p>
    <w:p>
      <w:pPr>
        <w:spacing w:after="0" w:line="62" w:lineRule="exact"/>
        <w:rPr>
          <w:rFonts w:ascii="Arial" w:cs="Arial" w:eastAsia="Arial" w:hAnsi="Arial"/>
          <w:sz w:val="18"/>
          <w:szCs w:val="18"/>
          <w:color w:val="auto"/>
        </w:rPr>
      </w:pPr>
    </w:p>
    <w:p>
      <w:pPr>
        <w:ind w:right="120" w:firstLine="885"/>
        <w:spacing w:after="0" w:line="264" w:lineRule="auto"/>
        <w:tabs>
          <w:tab w:leader="none" w:pos="112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September 5, 2018 (the “Underwriting Agreement”), among the Company and Barclays Capital Inc., Deutsche Bank Securities Inc. and SG Americas Securities, LLC, as representatives of the several Underwriters named therein (the “Underwriters”), relating to the sale by the Company to the Underwriters of the Securities;</w:t>
      </w:r>
    </w:p>
    <w:p>
      <w:pPr>
        <w:spacing w:after="0" w:line="73" w:lineRule="exact"/>
        <w:rPr>
          <w:rFonts w:ascii="Arial" w:cs="Arial" w:eastAsia="Arial" w:hAnsi="Arial"/>
          <w:sz w:val="18"/>
          <w:szCs w:val="18"/>
          <w:color w:val="auto"/>
        </w:rPr>
      </w:pPr>
    </w:p>
    <w:p>
      <w:pPr>
        <w:ind w:left="1120" w:hanging="235"/>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executed copy of the Base Indenture;</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executed copy of the Fifth Supplemental Indenture;</w:t>
      </w:r>
    </w:p>
    <w:p>
      <w:pPr>
        <w:spacing w:after="0" w:line="117" w:lineRule="exact"/>
        <w:rPr>
          <w:rFonts w:ascii="Arial" w:cs="Arial" w:eastAsia="Arial" w:hAnsi="Arial"/>
          <w:sz w:val="18"/>
          <w:szCs w:val="18"/>
          <w:color w:val="auto"/>
        </w:rPr>
      </w:pPr>
    </w:p>
    <w:p>
      <w:pPr>
        <w:ind w:right="120" w:firstLine="885"/>
        <w:spacing w:after="0" w:line="277" w:lineRule="auto"/>
        <w:tabs>
          <w:tab w:leader="none" w:pos="11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global certificates evidencing the Securities registered in the name of Cede &amp; Co. (the “Note Certificates”) in the form delivered by the Company to the Trustee for authentication and delivery;</w:t>
      </w:r>
    </w:p>
    <w:p>
      <w:pPr>
        <w:spacing w:after="0" w:line="62" w:lineRule="exact"/>
        <w:rPr>
          <w:rFonts w:ascii="Arial" w:cs="Arial" w:eastAsia="Arial" w:hAnsi="Arial"/>
          <w:sz w:val="18"/>
          <w:szCs w:val="18"/>
          <w:color w:val="auto"/>
        </w:rPr>
      </w:pPr>
    </w:p>
    <w:p>
      <w:pPr>
        <w:ind w:right="340" w:firstLine="885"/>
        <w:spacing w:after="0" w:line="277" w:lineRule="auto"/>
        <w:tabs>
          <w:tab w:leader="none" w:pos="10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executed copy of a certificate of Rick Hansen, Assistant General Counsel and Corporate Secretary of the Company, dated the date hereof (the “Secretary’s Certificate”);</w:t>
      </w:r>
    </w:p>
    <w:p>
      <w:pPr>
        <w:spacing w:after="0" w:line="62" w:lineRule="exact"/>
        <w:rPr>
          <w:rFonts w:ascii="Arial" w:cs="Arial" w:eastAsia="Arial" w:hAnsi="Arial"/>
          <w:sz w:val="18"/>
          <w:szCs w:val="18"/>
          <w:color w:val="auto"/>
        </w:rPr>
      </w:pPr>
    </w:p>
    <w:p>
      <w:pPr>
        <w:ind w:right="300" w:firstLine="885"/>
        <w:spacing w:after="0" w:line="264" w:lineRule="auto"/>
        <w:tabs>
          <w:tab w:leader="none" w:pos="10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copy of the Company’s Restated Certificate of Incorporation, dated as of December 9, 2010, as amended and in effect as of the date hereof and at all times since September 27, 2013, certified by the Secretary of State of the State of Delaware as of August 31, 2018 and certified pursuant to the Secretary’s Certificate (the “Charter”);</w:t>
      </w:r>
    </w:p>
    <w:p>
      <w:pPr>
        <w:spacing w:after="0" w:line="73"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copy of the Company’s Amended and Restated Bylaws, dated as of December 11, 2012 and a copy of the Company’s Amended and Restated Bylaws, dated as of August 14, 2018, as in effect as of the date hereof (the “Current Bylaws”), in each case certified pursuant to the Secretary’s Certificate;</w:t>
      </w:r>
    </w:p>
    <w:p>
      <w:pPr>
        <w:spacing w:after="0" w:line="73" w:lineRule="exact"/>
        <w:rPr>
          <w:rFonts w:ascii="Arial" w:cs="Arial" w:eastAsia="Arial" w:hAnsi="Arial"/>
          <w:sz w:val="18"/>
          <w:szCs w:val="18"/>
          <w:color w:val="auto"/>
        </w:rPr>
      </w:pPr>
    </w:p>
    <w:p>
      <w:pPr>
        <w:ind w:right="260" w:firstLine="885"/>
        <w:spacing w:after="0" w:line="286" w:lineRule="auto"/>
        <w:tabs>
          <w:tab w:leader="none" w:pos="1096"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copy of certain resolutions of the Board of Directors of the Company, adopted on August 20, 2013, February 6, 2017, June 12, 2018 and August 13, 2018, resolutions of the Finance Committee thereof, adopted on June 12, 2018, and August 13, 2018, and resolutions of the Pricing Committee of the Company, adopted on September 5, 2018, each certified pursuant to the Secretary’s Certificate;</w:t>
      </w:r>
    </w:p>
    <w:p>
      <w:pPr>
        <w:spacing w:after="0" w:line="166" w:lineRule="exact"/>
        <w:rPr>
          <w:sz w:val="20"/>
          <w:szCs w:val="20"/>
          <w:color w:val="auto"/>
        </w:rPr>
      </w:pPr>
    </w:p>
    <w:p>
      <w:pPr>
        <w:ind w:right="260" w:firstLine="881"/>
        <w:spacing w:after="0" w:line="286"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38" w:orient="portrait"/>
          <w:cols w:equalWidth="0" w:num="1">
            <w:col w:w="11000"/>
          </w:cols>
          <w:pgMar w:left="440" w:top="274" w:right="459" w:bottom="1440" w:gutter="0" w:footer="0" w:header="0"/>
        </w:sectPr>
      </w:pPr>
    </w:p>
    <w:bookmarkStart w:id="123" w:name="page124"/>
    <w:bookmarkEnd w:id="123"/>
    <w:p>
      <w:pPr>
        <w:ind w:firstLine="88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those in the Secretary’s Certificate and the factual representations and warranties contained in the Underwriting Agreement.</w:t>
      </w:r>
    </w:p>
    <w:p>
      <w:pPr>
        <w:spacing w:after="0" w:line="193" w:lineRule="exact"/>
        <w:rPr>
          <w:sz w:val="20"/>
          <w:szCs w:val="20"/>
          <w:color w:val="auto"/>
        </w:rPr>
      </w:pPr>
    </w:p>
    <w:p>
      <w:pPr>
        <w:ind w:right="420" w:firstLine="881"/>
        <w:spacing w:after="0" w:line="308" w:lineRule="auto"/>
        <w:rPr>
          <w:sz w:val="20"/>
          <w:szCs w:val="20"/>
          <w:color w:val="auto"/>
        </w:rPr>
      </w:pPr>
      <w:r>
        <w:rPr>
          <w:rFonts w:ascii="Arial" w:cs="Arial" w:eastAsia="Arial" w:hAnsi="Arial"/>
          <w:sz w:val="17"/>
          <w:szCs w:val="17"/>
          <w:color w:val="auto"/>
        </w:rPr>
        <w:t>We do not express any opinion with respect to the laws of any jurisdiction other than (i) the laws of the State of New York and (ii) the General Corporation Law of the State of Delaware (the “DGCL”) (all of the foregoing being referred to as “Opined on Law”).</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used herein, “Transaction Agreements” means the Underwriting Agreement, the Indenture and the Note Certificates.</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 the Note Certificates have been duly authorized by all requisite corporate action on the part of the Company and duly executed by the Company under the DGCL, and when duly authenticated by the Trustee and issued and delivered by the Company against payment therefor in accordance with the terms of the Underwriting Agreement and the Indenture, the Note Certificates will constitute valid and binding obligations of the Company, enforceable against the Company in accordance with their terms under the laws of the State of New York.</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117" w:lineRule="exact"/>
        <w:rPr>
          <w:sz w:val="20"/>
          <w:szCs w:val="20"/>
          <w:color w:val="auto"/>
        </w:rPr>
      </w:pPr>
    </w:p>
    <w:p>
      <w:pPr>
        <w:ind w:firstLine="885"/>
        <w:spacing w:after="0" w:line="264" w:lineRule="auto"/>
        <w:tabs>
          <w:tab w:leader="none" w:pos="11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opinions stated herein are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73" w:lineRule="exact"/>
        <w:rPr>
          <w:rFonts w:ascii="Arial" w:cs="Arial" w:eastAsia="Arial" w:hAnsi="Arial"/>
          <w:sz w:val="18"/>
          <w:szCs w:val="18"/>
          <w:color w:val="auto"/>
        </w:rPr>
      </w:pPr>
    </w:p>
    <w:p>
      <w:pPr>
        <w:ind w:right="220" w:firstLine="885"/>
        <w:spacing w:after="0" w:line="286" w:lineRule="auto"/>
        <w:tabs>
          <w:tab w:leader="none" w:pos="11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57" w:lineRule="exact"/>
        <w:rPr>
          <w:rFonts w:ascii="Arial" w:cs="Arial" w:eastAsia="Arial" w:hAnsi="Arial"/>
          <w:sz w:val="17"/>
          <w:szCs w:val="17"/>
          <w:color w:val="auto"/>
        </w:rPr>
      </w:pPr>
    </w:p>
    <w:p>
      <w:pPr>
        <w:ind w:right="160" w:firstLine="885"/>
        <w:spacing w:after="0" w:line="342" w:lineRule="auto"/>
        <w:tabs>
          <w:tab w:leader="none" w:pos="112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ectPr>
          <w:pgSz w:w="11900" w:h="16838" w:orient="portrait"/>
          <w:cols w:equalWidth="0" w:num="1">
            <w:col w:w="10940"/>
          </w:cols>
          <w:pgMar w:left="440" w:top="274" w:right="519" w:bottom="1440" w:gutter="0" w:footer="0" w:header="0"/>
        </w:sectPr>
      </w:pPr>
    </w:p>
    <w:bookmarkStart w:id="124" w:name="page125"/>
    <w:bookmarkEnd w:id="124"/>
    <w:p>
      <w:pPr>
        <w:jc w:val="both"/>
        <w:ind w:right="280" w:firstLine="885"/>
        <w:spacing w:after="0" w:line="264" w:lineRule="auto"/>
        <w:tabs>
          <w:tab w:leader="none" w:pos="1136"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do not express any opinion with respect to the enforceability of any provision contained in any Transaction Agreement relating to any indemnification, contribution, exculpation, release or waiver that may be contrary to public policy or violative of federal or state securities laws, rules or regulations;</w:t>
      </w:r>
    </w:p>
    <w:p>
      <w:pPr>
        <w:spacing w:after="0" w:line="73" w:lineRule="exact"/>
        <w:rPr>
          <w:rFonts w:ascii="Arial" w:cs="Arial" w:eastAsia="Arial" w:hAnsi="Arial"/>
          <w:sz w:val="18"/>
          <w:szCs w:val="18"/>
          <w:color w:val="auto"/>
        </w:rPr>
      </w:pPr>
    </w:p>
    <w:p>
      <w:pPr>
        <w:ind w:right="200" w:firstLine="885"/>
        <w:spacing w:after="0" w:line="279" w:lineRule="auto"/>
        <w:tabs>
          <w:tab w:leader="none" w:pos="1126"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call to your attention that irrespective of the agreement of the parties to any Transaction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 and</w:t>
      </w:r>
    </w:p>
    <w:p>
      <w:pPr>
        <w:spacing w:after="0" w:line="63" w:lineRule="exact"/>
        <w:rPr>
          <w:rFonts w:ascii="Arial" w:cs="Arial" w:eastAsia="Arial" w:hAnsi="Arial"/>
          <w:sz w:val="17"/>
          <w:szCs w:val="17"/>
          <w:color w:val="auto"/>
        </w:rPr>
      </w:pPr>
    </w:p>
    <w:p>
      <w:pPr>
        <w:ind w:right="260" w:firstLine="885"/>
        <w:spacing w:after="0" w:line="259" w:lineRule="auto"/>
        <w:tabs>
          <w:tab w:leader="none" w:pos="110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in rendering the foregoing opinions we have assumed that, at all applicable times:</w:t>
      </w:r>
    </w:p>
    <w:p>
      <w:pPr>
        <w:spacing w:after="0" w:line="117" w:lineRule="exact"/>
        <w:rPr>
          <w:sz w:val="20"/>
          <w:szCs w:val="20"/>
          <w:color w:val="auto"/>
        </w:rPr>
      </w:pPr>
    </w:p>
    <w:p>
      <w:pPr>
        <w:ind w:right="300" w:firstLine="885"/>
        <w:spacing w:after="0" w:line="308" w:lineRule="auto"/>
        <w:tabs>
          <w:tab w:leader="none" w:pos="1126"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subsequent to the effectiveness of the Base Indenture, the Base Indenture has not been amended, restated, supplemented or otherwise modified in any way that affects or relates to the Securities (other than by the Fifth Supplemental Indenture);</w:t>
      </w:r>
    </w:p>
    <w:p>
      <w:pPr>
        <w:spacing w:after="0" w:line="38" w:lineRule="exact"/>
        <w:rPr>
          <w:rFonts w:ascii="Arial" w:cs="Arial" w:eastAsia="Arial" w:hAnsi="Arial"/>
          <w:sz w:val="17"/>
          <w:szCs w:val="17"/>
          <w:color w:val="auto"/>
        </w:rPr>
      </w:pPr>
    </w:p>
    <w:p>
      <w:pPr>
        <w:ind w:firstLine="885"/>
        <w:spacing w:after="0" w:line="291" w:lineRule="auto"/>
        <w:tabs>
          <w:tab w:leader="none" w:pos="11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the Transaction Agreements nor the performance by the Company of its obligations thereunder, including the issuance and sale of the Securities: (i) constituted or will constitute a violation of, or a default under, any lease, indenture, instrument or other agreement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(ii) contravened or will contravene any order or decree of any governmental authority to which the Company or its property is subject, or (iii) violated or will violate any law, rule or regulation to which the Company or its property is subject (except that we do not make the assumption set forth in this clause (iii) with respect to the Opined-on Law); and</w:t>
      </w:r>
    </w:p>
    <w:p>
      <w:pPr>
        <w:spacing w:after="0" w:line="59" w:lineRule="exact"/>
        <w:rPr>
          <w:rFonts w:ascii="Arial" w:cs="Arial" w:eastAsia="Arial" w:hAnsi="Arial"/>
          <w:sz w:val="16"/>
          <w:szCs w:val="16"/>
          <w:color w:val="auto"/>
        </w:rPr>
      </w:pPr>
    </w:p>
    <w:p>
      <w:pPr>
        <w:ind w:right="140" w:firstLine="885"/>
        <w:spacing w:after="0" w:line="286" w:lineRule="auto"/>
        <w:tabs>
          <w:tab w:leader="none" w:pos="1126" w:val="left"/>
        </w:tabs>
        <w:numPr>
          <w:ilvl w:val="0"/>
          <w:numId w:val="8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and sale of the Securities, required or will require the consent, approval, licensing or authorization of, or any filing, recording or registration with, any governmental authority under any law, rule or regulation of any jurisdiction.</w:t>
      </w:r>
    </w:p>
    <w:p>
      <w:pPr>
        <w:spacing w:after="0" w:line="166"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w:t>
      </w:r>
    </w:p>
    <w:p>
      <w:pPr>
        <w:sectPr>
          <w:pgSz w:w="11900" w:h="16838" w:orient="portrait"/>
          <w:cols w:equalWidth="0" w:num="1">
            <w:col w:w="11000"/>
          </w:cols>
          <w:pgMar w:left="440" w:top="274" w:right="459" w:bottom="1440" w:gutter="0" w:footer="0" w:header="0"/>
        </w:sectPr>
      </w:pPr>
    </w:p>
    <w:bookmarkStart w:id="125" w:name="page126"/>
    <w:bookmarkEnd w:id="12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Commission as an exhibit to the Company’s Current Report on Form 8-K being filed on the date hereof and incorporated by reference into the Registration Statement.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GAF</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lowerLetter"/>
      <w:start w:val="1"/>
    </w:lvl>
  </w:abstractNum>
  <w:abstractNum w:abstractNumId="2">
    <w:nsid w:val="7A6D8D3C"/>
    <w:multiLevelType w:val="hybridMultilevel"/>
    <w:lvl w:ilvl="0">
      <w:lvlJc w:val="left"/>
      <w:lvlText w:val="(%1)"/>
      <w:numFmt w:val="lowerLetter"/>
      <w:start w:val="2"/>
    </w:lvl>
  </w:abstractNum>
  <w:abstractNum w:abstractNumId="3">
    <w:nsid w:val="4B588F54"/>
    <w:multiLevelType w:val="hybridMultilevel"/>
    <w:lvl w:ilvl="0">
      <w:lvlJc w:val="left"/>
      <w:lvlText w:val="(%1)"/>
      <w:numFmt w:val="lowerLetter"/>
      <w:start w:val="6"/>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1)"/>
      <w:numFmt w:val="lowerLetter"/>
      <w:start w:val="4"/>
    </w:lvl>
  </w:abstractNum>
  <w:abstractNum w:abstractNumId="6">
    <w:nsid w:val="38437FDB"/>
    <w:multiLevelType w:val="hybridMultilevel"/>
    <w:lvl w:ilvl="0">
      <w:lvlJc w:val="left"/>
      <w:lvlText w:val="(%1)"/>
      <w:numFmt w:val="lowerLetter"/>
      <w:start w:val="8"/>
    </w:lvl>
  </w:abstractNum>
  <w:abstractNum w:abstractNumId="7">
    <w:nsid w:val="7644A45C"/>
    <w:multiLevelType w:val="hybridMultilevel"/>
    <w:lvl w:ilvl="0">
      <w:lvlJc w:val="left"/>
      <w:lvlText w:val="(%1)"/>
      <w:numFmt w:val="lowerLetter"/>
      <w:start w:val="1"/>
    </w:lvl>
    <w:lvl w:ilvl="1">
      <w:lvlJc w:val="left"/>
      <w:lvlText w:val="(%2)"/>
      <w:numFmt w:val="lowerRoman"/>
      <w:start w:val="1"/>
    </w:lvl>
  </w:abstractNum>
  <w:abstractNum w:abstractNumId="8">
    <w:nsid w:val="32FFF902"/>
    <w:multiLevelType w:val="hybridMultilevel"/>
    <w:lvl w:ilvl="0">
      <w:lvlJc w:val="left"/>
      <w:lvlText w:val="%1"/>
      <w:numFmt w:val="lowerLetter"/>
      <w:start w:val="1"/>
    </w:lvl>
    <w:lvl w:ilvl="1">
      <w:lvlJc w:val="left"/>
      <w:lvlText w:val="(%2)"/>
      <w:numFmt w:val="lowerRoman"/>
      <w:start w:val="4"/>
    </w:lvl>
  </w:abstractNum>
  <w:abstractNum w:abstractNumId="9">
    <w:nsid w:val="684A481A"/>
    <w:multiLevelType w:val="hybridMultilevel"/>
    <w:lvl w:ilvl="0">
      <w:lvlJc w:val="left"/>
      <w:lvlText w:val="(%1)"/>
      <w:numFmt w:val="lowerLetter"/>
      <w:start w:val="2"/>
    </w:lvl>
    <w:lvl w:ilvl="1">
      <w:lvlJc w:val="left"/>
      <w:lvlText w:val="(%2)"/>
      <w:numFmt w:val="lowerRoman"/>
      <w:start w:val="1"/>
    </w:lvl>
  </w:abstractNum>
  <w:abstractNum w:abstractNumId="10">
    <w:nsid w:val="579478FE"/>
    <w:multiLevelType w:val="hybridMultilevel"/>
    <w:lvl w:ilvl="0">
      <w:lvlJc w:val="left"/>
      <w:lvlText w:val="%1"/>
      <w:numFmt w:val="upperLetter"/>
      <w:start w:val="1"/>
    </w:lvl>
    <w:lvl w:ilvl="1">
      <w:lvlJc w:val="left"/>
      <w:lvlText w:val="(%2)"/>
      <w:numFmt w:val="lowerRoman"/>
      <w:start w:val="2"/>
    </w:lvl>
  </w:abstractNum>
  <w:abstractNum w:abstractNumId="11">
    <w:nsid w:val="749ABB43"/>
    <w:multiLevelType w:val="hybridMultilevel"/>
    <w:lvl w:ilvl="0">
      <w:lvlJc w:val="left"/>
      <w:lvlText w:val="(%1)"/>
      <w:numFmt w:val="upperLetter"/>
      <w:start w:val="2"/>
    </w:lvl>
    <w:lvl w:ilvl="1">
      <w:lvlJc w:val="left"/>
      <w:lvlText w:val="(%2)"/>
      <w:numFmt w:val="lowerRoman"/>
      <w:start w:val="3"/>
    </w:lvl>
  </w:abstractNum>
  <w:abstractNum w:abstractNumId="12">
    <w:nsid w:val="3DC240FB"/>
    <w:multiLevelType w:val="hybridMultilevel"/>
    <w:lvl w:ilvl="0">
      <w:lvlJc w:val="left"/>
      <w:lvlText w:val="(%1)"/>
      <w:numFmt w:val="lowerLetter"/>
      <w:start w:val="1"/>
    </w:lvl>
  </w:abstractNum>
  <w:abstractNum w:abstractNumId="13">
    <w:nsid w:val="1BA026FA"/>
    <w:multiLevelType w:val="hybridMultilevel"/>
    <w:lvl w:ilvl="0">
      <w:lvlJc w:val="left"/>
      <w:lvlText w:val="(%1)"/>
      <w:numFmt w:val="lowerLetter"/>
      <w:start w:val="4"/>
    </w:lvl>
  </w:abstractNum>
  <w:abstractNum w:abstractNumId="14">
    <w:nsid w:val="79A1DEAA"/>
    <w:multiLevelType w:val="hybridMultilevel"/>
    <w:lvl w:ilvl="0">
      <w:lvlJc w:val="left"/>
      <w:lvlText w:val="(%1)"/>
      <w:numFmt w:val="lowerLetter"/>
      <w:start w:val="10"/>
    </w:lvl>
  </w:abstractNum>
  <w:abstractNum w:abstractNumId="15">
    <w:nsid w:val="75C6C33A"/>
    <w:multiLevelType w:val="hybridMultilevel"/>
    <w:lvl w:ilvl="0">
      <w:lvlJc w:val="left"/>
      <w:lvlText w:val="(%1)"/>
      <w:numFmt w:val="lowerLetter"/>
      <w:start w:val="13"/>
    </w:lvl>
  </w:abstractNum>
  <w:abstractNum w:abstractNumId="16">
    <w:nsid w:val="12E685FB"/>
    <w:multiLevelType w:val="hybridMultilevel"/>
    <w:lvl w:ilvl="0">
      <w:lvlJc w:val="left"/>
      <w:lvlText w:val="(%1)"/>
      <w:numFmt w:val="lowerLetter"/>
      <w:start w:val="61"/>
    </w:lvl>
    <w:lvl w:ilvl="1">
      <w:lvlJc w:val="left"/>
      <w:lvlText w:val="(%2)"/>
      <w:numFmt w:val="lowerLetter"/>
      <w:start w:val="17"/>
    </w:lvl>
  </w:abstractNum>
  <w:abstractNum w:abstractNumId="17">
    <w:nsid w:val="70C6A529"/>
    <w:multiLevelType w:val="hybridMultilevel"/>
    <w:lvl w:ilvl="0">
      <w:lvlJc w:val="left"/>
      <w:lvlText w:val="(%1)"/>
      <w:numFmt w:val="lowerLetter"/>
      <w:start w:val="23"/>
    </w:lvl>
  </w:abstractNum>
  <w:abstractNum w:abstractNumId="18">
    <w:nsid w:val="520EEDD1"/>
    <w:multiLevelType w:val="hybridMultilevel"/>
    <w:lvl w:ilvl="0">
      <w:lvlJc w:val="left"/>
      <w:lvlText w:val="(%1)"/>
      <w:numFmt w:val="lowerLetter"/>
      <w:start w:val="27"/>
    </w:lvl>
  </w:abstractNum>
  <w:abstractNum w:abstractNumId="19">
    <w:nsid w:val="374A3FE6"/>
    <w:multiLevelType w:val="hybridMultilevel"/>
    <w:lvl w:ilvl="0">
      <w:lvlJc w:val="left"/>
      <w:lvlText w:val="(%1)"/>
      <w:numFmt w:val="lowerLetter"/>
      <w:start w:val="29"/>
    </w:lvl>
  </w:abstractNum>
  <w:abstractNum w:abstractNumId="20">
    <w:nsid w:val="4F4EF005"/>
    <w:multiLevelType w:val="hybridMultilevel"/>
    <w:lvl w:ilvl="0">
      <w:lvlJc w:val="left"/>
      <w:lvlText w:val="(%1)"/>
      <w:numFmt w:val="lowerLetter"/>
      <w:start w:val="30"/>
    </w:lvl>
  </w:abstractNum>
  <w:abstractNum w:abstractNumId="21">
    <w:nsid w:val="23F9C13C"/>
    <w:multiLevelType w:val="hybridMultilevel"/>
    <w:lvl w:ilvl="0">
      <w:lvlJc w:val="left"/>
      <w:lvlText w:val="(%1)"/>
      <w:numFmt w:val="lowerLetter"/>
      <w:start w:val="31"/>
    </w:lvl>
  </w:abstractNum>
  <w:abstractNum w:abstractNumId="22">
    <w:nsid w:val="649BB77C"/>
    <w:multiLevelType w:val="hybridMultilevel"/>
    <w:lvl w:ilvl="0">
      <w:lvlJc w:val="left"/>
      <w:lvlText w:val="(%1)"/>
      <w:numFmt w:val="lowerLetter"/>
      <w:start w:val="35"/>
    </w:lvl>
  </w:abstractNum>
  <w:abstractNum w:abstractNumId="23">
    <w:nsid w:val="275AC794"/>
    <w:multiLevelType w:val="hybridMultilevel"/>
    <w:lvl w:ilvl="0">
      <w:lvlJc w:val="left"/>
      <w:lvlText w:val="(%1)"/>
      <w:numFmt w:val="lowerRoman"/>
      <w:start w:val="2"/>
    </w:lvl>
  </w:abstractNum>
  <w:abstractNum w:abstractNumId="24">
    <w:nsid w:val="39386575"/>
    <w:multiLevelType w:val="hybridMultilevel"/>
    <w:lvl w:ilvl="0">
      <w:lvlJc w:val="left"/>
      <w:lvlText w:val="(%1)"/>
      <w:numFmt w:val="lowerRoman"/>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lowerRoman"/>
      <w:start w:val="2"/>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8"/>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2"/>
    </w:lvl>
  </w:abstractNum>
  <w:abstractNum w:abstractNumId="36">
    <w:nsid w:val="7E0C57B1"/>
    <w:multiLevelType w:val="hybridMultilevel"/>
    <w:lvl w:ilvl="0">
      <w:lvlJc w:val="left"/>
      <w:lvlText w:val="(%1)"/>
      <w:numFmt w:val="lowerRoman"/>
      <w:start w:val="1"/>
    </w:lvl>
    <w:lvl w:ilvl="1">
      <w:lvlJc w:val="left"/>
      <w:lvlText w:val="%2."/>
      <w:numFmt w:val="lowerLetter"/>
      <w:start w:val="1"/>
    </w:lvl>
  </w:abstractNum>
  <w:abstractNum w:abstractNumId="37">
    <w:nsid w:val="77AE35EB"/>
    <w:multiLevelType w:val="hybridMultilevel"/>
    <w:lvl w:ilvl="0">
      <w:lvlJc w:val="left"/>
      <w:lvlText w:val="(%1)"/>
      <w:numFmt w:val="lowerLetter"/>
      <w:start w:val="1"/>
    </w:lvl>
  </w:abstractNum>
  <w:abstractNum w:abstractNumId="38">
    <w:nsid w:val="579BE4F1"/>
    <w:multiLevelType w:val="hybridMultilevel"/>
    <w:lvl w:ilvl="0">
      <w:lvlJc w:val="left"/>
      <w:lvlText w:val="%1"/>
      <w:numFmt w:val="lowerRoman"/>
      <w:start w:val="1"/>
    </w:lvl>
    <w:lvl w:ilvl="1">
      <w:lvlJc w:val="left"/>
      <w:lvlText w:val="(%2)"/>
      <w:numFmt w:val="lowerRoman"/>
      <w:start w:val="1"/>
    </w:lvl>
  </w:abstractNum>
  <w:abstractNum w:abstractNumId="39">
    <w:nsid w:val="310C50B3"/>
    <w:multiLevelType w:val="hybridMultilevel"/>
    <w:lvl w:ilvl="0">
      <w:lvlJc w:val="left"/>
      <w:lvlText w:val="(%1)"/>
      <w:numFmt w:val="lowerRoman"/>
      <w:start w:val="2"/>
    </w:lvl>
    <w:lvl w:ilvl="1">
      <w:lvlJc w:val="left"/>
      <w:lvlText w:val="(%2)"/>
      <w:numFmt w:val="lowerRoman"/>
      <w:start w:val="2"/>
    </w:lvl>
  </w:abstractNum>
  <w:abstractNum w:abstractNumId="40">
    <w:nsid w:val="5FF87E05"/>
    <w:multiLevelType w:val="hybridMultilevel"/>
    <w:lvl w:ilvl="0">
      <w:lvlJc w:val="left"/>
      <w:lvlText w:val="(%1)"/>
      <w:numFmt w:val="lowerRoman"/>
      <w:start w:val="3"/>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3"/>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lowerRoman"/>
      <w:start w:val="1"/>
    </w:lvl>
  </w:abstractNum>
  <w:abstractNum w:abstractNumId="47">
    <w:nsid w:val="5DB70AE5"/>
    <w:multiLevelType w:val="hybridMultilevel"/>
    <w:lvl w:ilvl="0">
      <w:lvlJc w:val="left"/>
      <w:lvlText w:val="(%1)"/>
      <w:numFmt w:val="lowerRoman"/>
      <w:start w:val="5"/>
    </w:lvl>
  </w:abstractNum>
  <w:abstractNum w:abstractNumId="48">
    <w:nsid w:val="100F8FCA"/>
    <w:multiLevelType w:val="hybridMultilevel"/>
    <w:lvl w:ilvl="0">
      <w:lvlJc w:val="left"/>
      <w:lvlText w:val="(%1)"/>
      <w:numFmt w:val="lowerRoman"/>
      <w:start w:val="1"/>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1"/>
    </w:lvl>
    <w:lvl w:ilvl="1">
      <w:lvlJc w:val="left"/>
      <w:lvlText w:val="(%2)"/>
      <w:numFmt w:val="lowerLetter"/>
      <w:start w:val="35"/>
    </w:lvl>
  </w:abstractNum>
  <w:abstractNum w:abstractNumId="51">
    <w:nsid w:val="5F5E7FD0"/>
    <w:multiLevelType w:val="hybridMultilevel"/>
    <w:lvl w:ilvl="0">
      <w:lvlJc w:val="left"/>
      <w:lvlText w:val="(%1)"/>
      <w:numFmt w:val="lowerLetter"/>
      <w:start w:val="2"/>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bullet"/>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2"/>
    </w:lvl>
  </w:abstractNum>
  <w:abstractNum w:abstractNumId="56">
    <w:nsid w:val="168E121F"/>
    <w:multiLevelType w:val="hybridMultilevel"/>
    <w:lvl w:ilvl="0">
      <w:lvlJc w:val="left"/>
      <w:lvlText w:val="%1."/>
      <w:numFmt w:val="decimal"/>
      <w:start w:val="6"/>
    </w:lvl>
  </w:abstractNum>
  <w:abstractNum w:abstractNumId="57">
    <w:nsid w:val="1EBA5D23"/>
    <w:multiLevelType w:val="hybridMultilevel"/>
    <w:lvl w:ilvl="0">
      <w:lvlJc w:val="left"/>
      <w:lvlText w:val="1"/>
      <w:numFmt w:val="bullet"/>
      <w:start w:val="1"/>
    </w:lvl>
  </w:abstractNum>
  <w:abstractNum w:abstractNumId="58">
    <w:nsid w:val="661E3F1E"/>
    <w:multiLevelType w:val="hybridMultilevel"/>
    <w:lvl w:ilvl="0">
      <w:lvlJc w:val="left"/>
      <w:lvlText w:val="%1."/>
      <w:numFmt w:val="decimal"/>
      <w:start w:val="8"/>
    </w:lvl>
  </w:abstractNum>
  <w:abstractNum w:abstractNumId="59">
    <w:nsid w:val="5DC79EA8"/>
    <w:multiLevelType w:val="hybridMultilevel"/>
    <w:lvl w:ilvl="0">
      <w:lvlJc w:val="left"/>
      <w:lvlText w:val="1"/>
      <w:numFmt w:val="bullet"/>
      <w:start w:val="1"/>
    </w:lvl>
  </w:abstractNum>
  <w:abstractNum w:abstractNumId="60">
    <w:nsid w:val="540A471C"/>
    <w:multiLevelType w:val="hybridMultilevel"/>
    <w:lvl w:ilvl="0">
      <w:lvlJc w:val="left"/>
      <w:lvlText w:val="1"/>
      <w:numFmt w:val="bullet"/>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2"/>
    </w:lvl>
  </w:abstractNum>
  <w:abstractNum w:abstractNumId="63">
    <w:nsid w:val="613EFDC5"/>
    <w:multiLevelType w:val="hybridMultilevel"/>
    <w:lvl w:ilvl="0">
      <w:lvlJc w:val="left"/>
      <w:lvlText w:val="%1."/>
      <w:numFmt w:val="decimal"/>
      <w:start w:val="3"/>
    </w:lvl>
  </w:abstractNum>
  <w:abstractNum w:abstractNumId="64">
    <w:nsid w:val="BF72B14"/>
    <w:multiLevelType w:val="hybridMultilevel"/>
    <w:lvl w:ilvl="0">
      <w:lvlJc w:val="left"/>
      <w:lvlText w:val="%1."/>
      <w:numFmt w:val="decimal"/>
      <w:start w:val="5"/>
    </w:lvl>
  </w:abstractNum>
  <w:abstractNum w:abstractNumId="65">
    <w:nsid w:val="11447B73"/>
    <w:multiLevelType w:val="hybridMultilevel"/>
    <w:lvl w:ilvl="0">
      <w:lvlJc w:val="left"/>
      <w:lvlText w:val="%1."/>
      <w:numFmt w:val="decimal"/>
      <w:start w:val="6"/>
    </w:lvl>
  </w:abstractNum>
  <w:abstractNum w:abstractNumId="66">
    <w:nsid w:val="42963E5A"/>
    <w:multiLevelType w:val="hybridMultilevel"/>
    <w:lvl w:ilvl="0">
      <w:lvlJc w:val="left"/>
      <w:lvlText w:val="1"/>
      <w:numFmt w:val="bullet"/>
      <w:start w:val="1"/>
    </w:lvl>
  </w:abstractNum>
  <w:abstractNum w:abstractNumId="67">
    <w:nsid w:val="A0382C5"/>
    <w:multiLevelType w:val="hybridMultilevel"/>
    <w:lvl w:ilvl="0">
      <w:lvlJc w:val="left"/>
      <w:lvlText w:val="1"/>
      <w:numFmt w:val="bullet"/>
      <w:start w:val="1"/>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1."/>
      <w:numFmt w:val="decimal"/>
      <w:start w:val="2"/>
    </w:lvl>
  </w:abstractNum>
  <w:abstractNum w:abstractNumId="70">
    <w:nsid w:val="3B0FD379"/>
    <w:multiLevelType w:val="hybridMultilevel"/>
    <w:lvl w:ilvl="0">
      <w:lvlJc w:val="left"/>
      <w:lvlText w:val="%1."/>
      <w:numFmt w:val="decimal"/>
      <w:start w:val="3"/>
    </w:lvl>
  </w:abstractNum>
  <w:abstractNum w:abstractNumId="71">
    <w:nsid w:val="68EB2F63"/>
    <w:multiLevelType w:val="hybridMultilevel"/>
    <w:lvl w:ilvl="0">
      <w:lvlJc w:val="left"/>
      <w:lvlText w:val="%1."/>
      <w:numFmt w:val="decimal"/>
      <w:start w:val="5"/>
    </w:lvl>
  </w:abstractNum>
  <w:abstractNum w:abstractNumId="72">
    <w:nsid w:val="4962813B"/>
    <w:multiLevelType w:val="hybridMultilevel"/>
    <w:lvl w:ilvl="0">
      <w:lvlJc w:val="left"/>
      <w:lvlText w:val="%1."/>
      <w:numFmt w:val="decimal"/>
      <w:start w:val="6"/>
    </w:lvl>
  </w:abstractNum>
  <w:abstractNum w:abstractNumId="73">
    <w:nsid w:val="60B6DF70"/>
    <w:multiLevelType w:val="hybridMultilevel"/>
    <w:lvl w:ilvl="0">
      <w:lvlJc w:val="left"/>
      <w:lvlText w:val="1"/>
      <w:numFmt w:val="bullet"/>
      <w:start w:val="1"/>
    </w:lvl>
  </w:abstractNum>
  <w:abstractNum w:abstractNumId="74">
    <w:nsid w:val="6A5EE6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5">
    <w:nsid w:val="14330624"/>
    <w:multiLevelType w:val="hybridMultilevel"/>
    <w:lvl w:ilvl="0">
      <w:lvlJc w:val="left"/>
      <w:lvlText w:val="(%1)"/>
      <w:numFmt w:val="lowerLetter"/>
      <w:start w:val="2"/>
    </w:lvl>
    <w:lvl w:ilvl="1">
      <w:lvlJc w:val="left"/>
      <w:lvlText w:val="-"/>
      <w:numFmt w:val="bullet"/>
      <w:start w:val="1"/>
    </w:lvl>
  </w:abstractNum>
  <w:abstractNum w:abstractNumId="76">
    <w:nsid w:val="7FFFCA11"/>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77">
    <w:nsid w:val="1A27709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78">
    <w:nsid w:val="71EA1109"/>
    <w:multiLevelType w:val="hybridMultilevel"/>
    <w:lvl w:ilvl="0">
      <w:lvlJc w:val="left"/>
      <w:lvlText w:val="(%1)"/>
      <w:numFmt w:val="lowerLetter"/>
      <w:start w:val="2"/>
    </w:lvl>
  </w:abstractNum>
  <w:abstractNum w:abstractNumId="79">
    <w:nsid w:val="100F59DC"/>
    <w:multiLevelType w:val="hybridMultilevel"/>
    <w:lvl w:ilvl="0">
      <w:lvlJc w:val="left"/>
      <w:lvlText w:val="%1"/>
      <w:numFmt w:val="upperLetter"/>
      <w:start w:val="1"/>
    </w:lvl>
    <w:lvl w:ilvl="1">
      <w:lvlJc w:val="left"/>
      <w:lvlText w:val="%2."/>
      <w:numFmt w:val="decimal"/>
      <w:start w:val="5"/>
    </w:lvl>
  </w:abstractNum>
  <w:abstractNum w:abstractNumId="80">
    <w:nsid w:val="7FB7E0AA"/>
    <w:multiLevelType w:val="hybridMultilevel"/>
    <w:lvl w:ilvl="0">
      <w:lvlJc w:val="left"/>
      <w:lvlText w:val="(%1)"/>
      <w:numFmt w:val="upperLetter"/>
      <w:start w:val="2"/>
    </w:lvl>
    <w:lvl w:ilvl="1">
      <w:lvlJc w:val="left"/>
      <w:lvlText w:val="%2"/>
      <w:numFmt w:val="decimal"/>
      <w:start w:val="1"/>
    </w:lvl>
  </w:abstractNum>
  <w:abstractNum w:abstractNumId="81">
    <w:nsid w:val="6EB5BD4"/>
    <w:multiLevelType w:val="hybridMultilevel"/>
    <w:lvl w:ilvl="0">
      <w:lvlJc w:val="left"/>
      <w:lvlText w:val="%1."/>
      <w:numFmt w:val="decimal"/>
      <w:start w:val="6"/>
    </w:lvl>
    <w:lvl w:ilvl="1">
      <w:lvlJc w:val="left"/>
      <w:lvlText w:val="-"/>
      <w:numFmt w:val="bullet"/>
      <w:start w:val="1"/>
    </w:lvl>
  </w:abstractNum>
  <w:abstractNum w:abstractNumId="82">
    <w:nsid w:val="6F6DD9AC"/>
    <w:multiLevelType w:val="hybridMultilevel"/>
    <w:lvl w:ilvl="0">
      <w:lvlJc w:val="left"/>
      <w:lvlText w:val="%1."/>
      <w:numFmt w:val="decimal"/>
      <w:start w:val="10"/>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2"/>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lowerLetter"/>
      <w:start w:val="4"/>
    </w:lvl>
  </w:abstractNum>
  <w:abstractNum w:abstractNumId="87">
    <w:nsid w:val="1716703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9" Type="http://schemas.openxmlformats.org/officeDocument/2006/relationships/hyperlink" Target="http://www.sec.gov/Archives/edgar/data/1467858/000146785814000133/ex42043014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2019-12-28T19:33:37Z</dcterms:created>
  <dcterms:modified xsi:type="dcterms:W3CDTF">2019-12-28T19:33:37Z</dcterms:modified>
</cp:coreProperties>
</file>