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73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7309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Davlin James A</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10"/>
        <w:spacing w:after="0"/>
        <w:rPr>
          <w:sz w:val="20"/>
          <w:szCs w:val="20"/>
          <w:color w:val="auto"/>
        </w:rPr>
      </w:pPr>
      <w:r>
        <w:rPr>
          <w:rFonts w:ascii="Arial" w:cs="Arial" w:eastAsia="Arial" w:hAnsi="Arial"/>
          <w:sz w:val="17"/>
          <w:szCs w:val="17"/>
          <w:color w:val="0000FF"/>
        </w:rPr>
        <w:t>Vice President &amp; Treasurer</w:t>
      </w:r>
    </w:p>
    <w:p>
      <w:pPr>
        <w:spacing w:after="0" w:line="449"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80" w:type="dxa"/>
            <w:vAlign w:val="bottom"/>
            <w:gridSpan w:val="6"/>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12/31/2012</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53"/>
              <w:spacing w:after="0"/>
              <w:rPr>
                <w:sz w:val="20"/>
                <w:szCs w:val="20"/>
                <w:color w:val="auto"/>
              </w:rPr>
            </w:pPr>
            <w:r>
              <w:rPr>
                <w:rFonts w:ascii="Arial" w:cs="Arial" w:eastAsia="Arial" w:hAnsi="Arial"/>
                <w:sz w:val="17"/>
                <w:szCs w:val="17"/>
                <w:color w:val="0000FF"/>
                <w:w w:val="92"/>
              </w:rPr>
              <w:t>10,948</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140"/>
              <w:spacing w:after="0" w:line="318"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82,276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12/31/2012</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center"/>
              <w:ind w:left="53"/>
              <w:spacing w:after="0"/>
              <w:rPr>
                <w:sz w:val="20"/>
                <w:szCs w:val="20"/>
                <w:color w:val="auto"/>
              </w:rPr>
            </w:pPr>
            <w:r>
              <w:rPr>
                <w:rFonts w:ascii="Arial" w:cs="Arial" w:eastAsia="Arial" w:hAnsi="Arial"/>
                <w:sz w:val="17"/>
                <w:szCs w:val="17"/>
                <w:color w:val="0000FF"/>
                <w:w w:val="93"/>
              </w:rPr>
              <w:t>7,415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74,861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12/31/2012</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53"/>
              <w:spacing w:after="0"/>
              <w:rPr>
                <w:sz w:val="20"/>
                <w:szCs w:val="20"/>
                <w:color w:val="auto"/>
              </w:rPr>
            </w:pPr>
            <w:r>
              <w:rPr>
                <w:rFonts w:ascii="Arial" w:cs="Arial" w:eastAsia="Arial" w:hAnsi="Arial"/>
                <w:sz w:val="17"/>
                <w:szCs w:val="17"/>
                <w:color w:val="0000FF"/>
                <w:w w:val="93"/>
              </w:rPr>
              <w:t>3,533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71,328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10,948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154"/>
              <w:spacing w:after="0" w:line="142" w:lineRule="exact"/>
              <w:rPr>
                <w:sz w:val="20"/>
                <w:szCs w:val="20"/>
                <w:color w:val="auto"/>
              </w:rPr>
            </w:pPr>
            <w:r>
              <w:rPr>
                <w:rFonts w:ascii="Arial" w:cs="Arial" w:eastAsia="Arial" w:hAnsi="Arial"/>
                <w:sz w:val="13"/>
                <w:szCs w:val="13"/>
                <w:color w:val="0000FF"/>
              </w:rPr>
              <w:t>12/31/2012</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2"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12"/>
                <w:szCs w:val="12"/>
                <w:color w:val="auto"/>
              </w:rPr>
            </w:pPr>
          </w:p>
        </w:tc>
        <w:tc>
          <w:tcPr>
            <w:tcW w:w="520" w:type="dxa"/>
            <w:vAlign w:val="bottom"/>
          </w:tcPr>
          <w:p>
            <w:pPr>
              <w:ind w:left="60"/>
              <w:spacing w:after="0" w:line="142" w:lineRule="exact"/>
              <w:rPr>
                <w:sz w:val="20"/>
                <w:szCs w:val="20"/>
                <w:color w:val="auto"/>
              </w:rPr>
            </w:pPr>
            <w:r>
              <w:rPr>
                <w:rFonts w:ascii="Arial" w:cs="Arial" w:eastAsia="Arial" w:hAnsi="Arial"/>
                <w:sz w:val="13"/>
                <w:szCs w:val="13"/>
                <w:color w:val="0000FF"/>
              </w:rPr>
              <w:t>10,948</w:t>
            </w:r>
          </w:p>
        </w:tc>
        <w:tc>
          <w:tcPr>
            <w:tcW w:w="800" w:type="dxa"/>
            <w:vAlign w:val="bottom"/>
          </w:tcPr>
          <w:p>
            <w:pPr>
              <w:ind w:left="320"/>
              <w:spacing w:after="0"/>
              <w:rPr>
                <w:sz w:val="20"/>
                <w:szCs w:val="20"/>
                <w:color w:val="auto"/>
              </w:rPr>
            </w:pPr>
            <w:r>
              <w:rPr>
                <w:rFonts w:ascii="Arial" w:cs="Arial" w:eastAsia="Arial" w:hAnsi="Arial"/>
                <w:sz w:val="11"/>
                <w:szCs w:val="11"/>
                <w:color w:val="008000"/>
              </w:rPr>
              <w:t>(3)</w:t>
            </w:r>
          </w:p>
        </w:tc>
        <w:tc>
          <w:tcPr>
            <w:tcW w:w="720" w:type="dxa"/>
            <w:vAlign w:val="bottom"/>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79"/>
              <w:spacing w:after="0"/>
              <w:rPr>
                <w:sz w:val="20"/>
                <w:szCs w:val="20"/>
                <w:color w:val="auto"/>
              </w:rPr>
            </w:pPr>
            <w:r>
              <w:rPr>
                <w:rFonts w:ascii="Arial" w:cs="Arial" w:eastAsia="Arial" w:hAnsi="Arial"/>
                <w:sz w:val="11"/>
                <w:szCs w:val="11"/>
                <w:color w:val="008000"/>
              </w:rPr>
              <w:t>(2)</w:t>
            </w: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0000FF"/>
              </w:rPr>
              <w:t>21,895</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5,795</w:t>
            </w:r>
          </w:p>
        </w:tc>
        <w:tc>
          <w:tcPr>
            <w:tcW w:w="80" w:type="dxa"/>
            <w:vAlign w:val="bottom"/>
          </w:tcPr>
          <w:p>
            <w:pPr>
              <w:spacing w:after="0"/>
              <w:rPr>
                <w:sz w:val="16"/>
                <w:szCs w:val="16"/>
                <w:color w:val="auto"/>
              </w:rPr>
            </w:pPr>
          </w:p>
        </w:tc>
        <w:tc>
          <w:tcPr>
            <w:tcW w:w="700" w:type="dxa"/>
            <w:vAlign w:val="bottom"/>
            <w:gridSpan w:val="2"/>
            <w:vMerge w:val="restart"/>
          </w:tcPr>
          <w:p>
            <w:pPr>
              <w:jc w:val="center"/>
              <w:ind w:right="199"/>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right"/>
              <w:ind w:right="154"/>
              <w:spacing w:after="0" w:line="142" w:lineRule="exact"/>
              <w:rPr>
                <w:sz w:val="20"/>
                <w:szCs w:val="20"/>
                <w:color w:val="auto"/>
              </w:rPr>
            </w:pPr>
            <w:r>
              <w:rPr>
                <w:rFonts w:ascii="Arial" w:cs="Arial" w:eastAsia="Arial" w:hAnsi="Arial"/>
                <w:sz w:val="13"/>
                <w:szCs w:val="13"/>
                <w:color w:val="0000FF"/>
              </w:rPr>
              <w:t>12/31/2012</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5,795</w:t>
            </w:r>
          </w:p>
        </w:tc>
        <w:tc>
          <w:tcPr>
            <w:tcW w:w="520" w:type="dxa"/>
            <w:vAlign w:val="bottom"/>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5,795</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2011 pursuant to the Company's Salary Stock Plan (the "GMSSP") and vested upon grant. The portion of this award currently payable was settled on December 31, 2012 in cash, less a portion withheld for taxes.</w:t>
      </w:r>
    </w:p>
    <w:p>
      <w:pPr>
        <w:spacing w:after="0" w:line="16" w:lineRule="exact"/>
        <w:rPr>
          <w:rFonts w:ascii="Arial" w:cs="Arial" w:eastAsia="Arial" w:hAnsi="Arial"/>
          <w:sz w:val="13"/>
          <w:szCs w:val="13"/>
          <w:color w:val="008000"/>
        </w:rPr>
      </w:pPr>
    </w:p>
    <w:p>
      <w:pPr>
        <w:ind w:left="40" w:right="18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$28.26.</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2012 and will be settled in three equal, annual installments beginning December 31, 2013.</w:t>
      </w:r>
    </w:p>
    <w:p>
      <w:pPr>
        <w:spacing w:after="0" w:line="6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01/03/2013</w:t>
            </w:r>
          </w:p>
        </w:tc>
        <w:tc>
          <w:tcPr>
            <w:tcW w:w="0" w:type="dxa"/>
            <w:vAlign w:val="bottom"/>
          </w:tcPr>
          <w:p>
            <w:pPr>
              <w:spacing w:after="0"/>
              <w:rPr>
                <w:sz w:val="1"/>
                <w:szCs w:val="1"/>
                <w:color w:val="auto"/>
              </w:rPr>
            </w:pPr>
          </w:p>
        </w:tc>
      </w:tr>
      <w:tr>
        <w:trPr>
          <w:trHeight w:val="91"/>
        </w:trPr>
        <w:tc>
          <w:tcPr>
            <w:tcW w:w="1320" w:type="dxa"/>
            <w:vAlign w:val="bottom"/>
            <w:tcBorders>
              <w:top w:val="single" w:sz="8" w:color="auto"/>
              <w:bottom w:val="single" w:sz="8" w:color="auto"/>
            </w:tcBorders>
            <w:vMerge w:val="restart"/>
          </w:tcPr>
          <w:p>
            <w:pPr>
              <w:spacing w:after="0" w:line="193" w:lineRule="exact"/>
              <w:rPr>
                <w:sz w:val="20"/>
                <w:szCs w:val="20"/>
                <w:color w:val="auto"/>
              </w:rPr>
            </w:pPr>
            <w:r>
              <w:rPr>
                <w:rFonts w:ascii="Arial" w:cs="Arial" w:eastAsia="Arial" w:hAnsi="Arial"/>
                <w:sz w:val="17"/>
                <w:szCs w:val="17"/>
                <w:color w:val="0000FF"/>
                <w:w w:val="97"/>
              </w:rPr>
              <w:t>fact for Mr. Davlin</w:t>
            </w:r>
          </w:p>
        </w:tc>
        <w:tc>
          <w:tcPr>
            <w:tcW w:w="76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320" w:type="dxa"/>
            <w:vAlign w:val="bottom"/>
            <w:tcBorders>
              <w:bottom w:val="single" w:sz="8" w:color="auto"/>
            </w:tcBorders>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118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2019-12-17T01:37:25Z</dcterms:created>
  <dcterms:modified xsi:type="dcterms:W3CDTF">2019-12-17T01:37:25Z</dcterms:modified>
</cp:coreProperties>
</file>