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4"/>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3"/>
              </w:rPr>
              <w:t>UNITED STATES</w:t>
            </w:r>
          </w:p>
        </w:tc>
        <w:tc>
          <w:tcPr>
            <w:tcW w:w="1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80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5"/>
              </w:rPr>
              <w:t>SECURITIES AND EXCHANGE COMMISSION</w:t>
            </w:r>
          </w:p>
        </w:tc>
        <w:tc>
          <w:tcPr>
            <w:tcW w:w="184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80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440" w:type="dxa"/>
            <w:vAlign w:val="bottom"/>
            <w:gridSpan w:val="2"/>
            <w:vMerge w:val="restart"/>
          </w:tcPr>
          <w:p>
            <w:pPr>
              <w:jc w:val="center"/>
              <w:ind w:right="1020"/>
              <w:spacing w:after="0"/>
              <w:rPr>
                <w:sz w:val="20"/>
                <w:szCs w:val="20"/>
                <w:color w:val="auto"/>
              </w:rPr>
            </w:pPr>
            <w:r>
              <w:rPr>
                <w:rFonts w:ascii="Arial" w:cs="Arial" w:eastAsia="Arial" w:hAnsi="Arial"/>
                <w:sz w:val="22"/>
                <w:szCs w:val="22"/>
                <w:color w:val="auto"/>
                <w:w w:val="89"/>
              </w:rPr>
              <w:t>Washington, D.C. 20549</w:t>
            </w:r>
          </w:p>
        </w:tc>
        <w:tc>
          <w:tcPr>
            <w:tcW w:w="1840" w:type="dxa"/>
            <w:vAlign w:val="bottom"/>
          </w:tcPr>
          <w:p>
            <w:pPr>
              <w:ind w:left="60"/>
              <w:spacing w:after="0"/>
              <w:rPr>
                <w:sz w:val="20"/>
                <w:szCs w:val="20"/>
                <w:color w:val="auto"/>
              </w:rPr>
            </w:pPr>
            <w:r>
              <w:rPr>
                <w:rFonts w:ascii="Arial" w:cs="Arial" w:eastAsia="Arial" w:hAnsi="Arial"/>
                <w:sz w:val="22"/>
                <w:szCs w:val="22"/>
                <w:color w:val="auto"/>
              </w:rPr>
              <w:t>Expires:</w:t>
            </w:r>
          </w:p>
        </w:tc>
        <w:tc>
          <w:tcPr>
            <w:tcW w:w="1800" w:type="dxa"/>
            <w:vAlign w:val="bottom"/>
          </w:tcPr>
          <w:p>
            <w:pPr>
              <w:ind w:left="12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4"/>
              </w:rPr>
              <w:t>FORM 25</w:t>
            </w:r>
          </w:p>
        </w:tc>
        <w:tc>
          <w:tcPr>
            <w:tcW w:w="184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89"/>
              </w:rPr>
              <w:t>hours per response:</w:t>
            </w:r>
          </w:p>
        </w:tc>
        <w:tc>
          <w:tcPr>
            <w:tcW w:w="180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4578350</wp:posOffset>
            </wp:positionH>
            <wp:positionV relativeFrom="page">
              <wp:posOffset>170815</wp:posOffset>
            </wp:positionV>
            <wp:extent cx="2392045" cy="1089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2045" cy="1089025"/>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4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398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001-34960</w:t>
        </w:r>
      </w:hyperlink>
    </w:p>
    <w:p>
      <w:pPr>
        <w:spacing w:after="0" w:line="125" w:lineRule="exact"/>
        <w:rPr>
          <w:sz w:val="24"/>
          <w:szCs w:val="24"/>
          <w:color w:val="auto"/>
        </w:rPr>
      </w:pPr>
    </w:p>
    <w:p>
      <w:pPr>
        <w:ind w:left="2700"/>
        <w:spacing w:after="0"/>
        <w:tabs>
          <w:tab w:leader="none" w:pos="366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General Motors Co</w:t>
        </w:r>
      </w:hyperlink>
    </w:p>
    <w:p>
      <w:pPr>
        <w:spacing w:after="0" w:line="44" w:lineRule="exact"/>
        <w:rPr>
          <w:sz w:val="24"/>
          <w:szCs w:val="24"/>
          <w:color w:val="auto"/>
        </w:rPr>
      </w:pPr>
    </w:p>
    <w:p>
      <w:pPr>
        <w:ind w:left="2700"/>
        <w:spacing w:after="0"/>
        <w:rPr>
          <w:sz w:val="20"/>
          <w:szCs w:val="20"/>
          <w:color w:val="auto"/>
        </w:rPr>
      </w:pPr>
      <w:r>
        <w:rPr>
          <w:rFonts w:ascii="Arial" w:cs="Arial" w:eastAsia="Arial" w:hAnsi="Arial"/>
          <w:sz w:val="22"/>
          <w:szCs w:val="22"/>
          <w:color w:val="auto"/>
        </w:rPr>
        <w:t>Exchange: 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41910</wp:posOffset>
            </wp:positionV>
            <wp:extent cx="55397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Arial" w:cs="Arial" w:eastAsia="Arial" w:hAnsi="Arial"/>
          <w:sz w:val="21"/>
          <w:szCs w:val="21"/>
          <w:color w:val="auto"/>
        </w:rPr>
        <w:t>(Exact name of Issuer as specified in its charter, and name of Exchange where security is listed</w:t>
      </w:r>
    </w:p>
    <w:p>
      <w:pPr>
        <w:spacing w:after="0" w:line="20"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3140"/>
        <w:spacing w:after="0"/>
        <w:rPr>
          <w:sz w:val="20"/>
          <w:szCs w:val="20"/>
          <w:color w:val="auto"/>
        </w:rPr>
      </w:pPr>
      <w:r>
        <w:rPr>
          <w:rFonts w:ascii="Arial" w:cs="Arial" w:eastAsia="Arial" w:hAnsi="Arial"/>
          <w:sz w:val="22"/>
          <w:szCs w:val="22"/>
          <w:color w:val="auto"/>
        </w:rPr>
        <w:t>Address: 300 Renaissance Center</w:t>
      </w:r>
    </w:p>
    <w:p>
      <w:pPr>
        <w:spacing w:after="0" w:line="44"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P.O. BOX 300</w:t>
      </w:r>
    </w:p>
    <w:p>
      <w:pPr>
        <w:spacing w:after="0" w:line="44"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Detroit MICHIGAN 48265</w:t>
      </w:r>
    </w:p>
    <w:p>
      <w:pPr>
        <w:spacing w:after="0" w:line="44" w:lineRule="exact"/>
        <w:rPr>
          <w:sz w:val="24"/>
          <w:szCs w:val="24"/>
          <w:color w:val="auto"/>
        </w:rPr>
      </w:pPr>
    </w:p>
    <w:tbl>
      <w:tblPr>
        <w:tblLayout w:type="fixed"/>
        <w:tblInd w:w="2240" w:type="dxa"/>
        <w:tblCellMar>
          <w:top w:w="0" w:type="dxa"/>
          <w:left w:w="0" w:type="dxa"/>
          <w:bottom w:w="0" w:type="dxa"/>
          <w:right w:w="0" w:type="dxa"/>
        </w:tblCellMar>
      </w:tblPr>
      <w:tr>
        <w:trPr>
          <w:trHeight w:val="275"/>
        </w:trPr>
        <w:tc>
          <w:tcPr>
            <w:tcW w:w="2920" w:type="dxa"/>
            <w:vAlign w:val="bottom"/>
          </w:tcPr>
          <w:p>
            <w:pPr>
              <w:spacing w:after="0"/>
              <w:rPr>
                <w:sz w:val="20"/>
                <w:szCs w:val="20"/>
                <w:color w:val="auto"/>
              </w:rPr>
            </w:pPr>
            <w:r>
              <w:rPr>
                <w:rFonts w:ascii="Arial" w:cs="Arial" w:eastAsia="Arial" w:hAnsi="Arial"/>
                <w:sz w:val="22"/>
                <w:szCs w:val="22"/>
                <w:color w:val="auto"/>
              </w:rPr>
              <w:t>Telephone number:</w:t>
            </w:r>
          </w:p>
        </w:tc>
        <w:tc>
          <w:tcPr>
            <w:tcW w:w="2600" w:type="dxa"/>
            <w:vAlign w:val="bottom"/>
          </w:tcPr>
          <w:p>
            <w:pPr>
              <w:jc w:val="right"/>
              <w:spacing w:after="0"/>
              <w:rPr>
                <w:sz w:val="20"/>
                <w:szCs w:val="20"/>
                <w:color w:val="auto"/>
              </w:rPr>
            </w:pPr>
            <w:r>
              <w:rPr>
                <w:rFonts w:ascii="Arial" w:cs="Arial" w:eastAsia="Arial" w:hAnsi="Arial"/>
                <w:sz w:val="22"/>
                <w:szCs w:val="22"/>
                <w:color w:val="auto"/>
              </w:rPr>
              <w:t>(313) 556-5000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27940</wp:posOffset>
            </wp:positionV>
            <wp:extent cx="55397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70" w:lineRule="exact"/>
        <w:rPr>
          <w:sz w:val="24"/>
          <w:szCs w:val="24"/>
          <w:color w:val="auto"/>
        </w:rPr>
      </w:pPr>
    </w:p>
    <w:p>
      <w:pPr>
        <w:jc w:val="center"/>
        <w:ind w:right="20"/>
        <w:spacing w:after="0" w:line="251"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Warrants (expiring 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15875</wp:posOffset>
            </wp:positionV>
            <wp:extent cx="55397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60"/>
        <w:spacing w:after="0" w:line="251"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7"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60" w:right="1200" w:firstLine="61"/>
        <w:spacing w:after="0" w:line="287" w:lineRule="auto"/>
        <w:rPr>
          <w:rFonts w:ascii="Arial" w:cs="Arial" w:eastAsia="Arial" w:hAnsi="Arial"/>
          <w:sz w:val="20"/>
          <w:szCs w:val="20"/>
          <w:color w:val="auto"/>
        </w:rPr>
      </w:pPr>
      <w:r>
        <w:rPr>
          <w:sz w:val="1"/>
          <w:szCs w:val="1"/>
          <w:color w:val="auto"/>
        </w:rPr>
        <w:drawing>
          <wp:inline distT="0" distB="0" distL="0" distR="0">
            <wp:extent cx="111760"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3"/>
            <w:szCs w:val="33"/>
            <w:u w:val="single" w:color="auto"/>
            <w:color w:val="0000EE"/>
            <w:vertAlign w:val="superscript"/>
          </w:rPr>
          <w:t>1</w:t>
        </w:r>
      </w:hyperlink>
    </w:p>
    <w:p>
      <w:pPr>
        <w:spacing w:after="0" w:line="1" w:lineRule="exact"/>
        <w:rPr>
          <w:sz w:val="24"/>
          <w:szCs w:val="24"/>
          <w:color w:val="auto"/>
        </w:rPr>
      </w:pPr>
    </w:p>
    <w:p>
      <w:pPr>
        <w:ind w:left="760" w:right="800" w:firstLine="61"/>
        <w:spacing w:after="0"/>
        <w:rPr>
          <w:sz w:val="20"/>
          <w:szCs w:val="20"/>
          <w:color w:val="auto"/>
        </w:rPr>
      </w:pPr>
      <w:r>
        <w:rPr>
          <w:sz w:val="1"/>
          <w:szCs w:val="1"/>
          <w:color w:val="auto"/>
        </w:rPr>
        <w:drawing>
          <wp:inline distT="0" distB="0" distL="0" distR="0">
            <wp:extent cx="111760" cy="1117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ind w:right="60"/>
        <w:spacing w:after="0" w:line="297" w:lineRule="auto"/>
        <w:rPr>
          <w:sz w:val="20"/>
          <w:szCs w:val="20"/>
          <w:color w:val="auto"/>
        </w:rPr>
      </w:pPr>
      <w:r>
        <w:rPr>
          <w:rFonts w:ascii="Arial" w:cs="Arial" w:eastAsia="Arial" w:hAnsi="Arial"/>
          <w:sz w:val="19"/>
          <w:szCs w:val="19"/>
          <w:color w:val="auto"/>
        </w:rPr>
        <w:t>Pursuant to the requirements fo the Securities Exchange Act of 1934, NEW YORK STOCK EXCHANGE LLC certifies that it has reasonable grounds to believe that it meets all of the requirements for filing the Form 25 and has caused this notification to be signed on its behalf by the undersigned duly authorized person.</w:t>
      </w:r>
    </w:p>
    <w:p>
      <w:pPr>
        <w:spacing w:after="0" w:line="13"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color w:val="auto"/>
              </w:rPr>
              <w:t>2015-12-31</w:t>
            </w:r>
          </w:p>
        </w:tc>
        <w:tc>
          <w:tcPr>
            <w:tcW w:w="920" w:type="dxa"/>
            <w:vAlign w:val="bottom"/>
          </w:tcPr>
          <w:p>
            <w:pPr>
              <w:ind w:left="640"/>
              <w:spacing w:after="0"/>
              <w:rPr>
                <w:sz w:val="20"/>
                <w:szCs w:val="20"/>
                <w:color w:val="auto"/>
              </w:rPr>
            </w:pPr>
            <w:r>
              <w:rPr>
                <w:rFonts w:ascii="Arial" w:cs="Arial" w:eastAsia="Arial" w:hAnsi="Arial"/>
                <w:sz w:val="22"/>
                <w:szCs w:val="22"/>
                <w:color w:val="auto"/>
              </w:rPr>
              <w:t>By</w:t>
            </w:r>
          </w:p>
        </w:tc>
        <w:tc>
          <w:tcPr>
            <w:tcW w:w="3420" w:type="dxa"/>
            <w:vAlign w:val="bottom"/>
            <w:tcBorders>
              <w:bottom w:val="single" w:sz="8" w:color="auto"/>
            </w:tcBorders>
          </w:tcPr>
          <w:p>
            <w:pPr>
              <w:ind w:left="940"/>
              <w:spacing w:after="0"/>
              <w:rPr>
                <w:sz w:val="20"/>
                <w:szCs w:val="20"/>
                <w:color w:val="auto"/>
              </w:rPr>
            </w:pPr>
            <w:r>
              <w:rPr>
                <w:rFonts w:ascii="Arial" w:cs="Arial" w:eastAsia="Arial" w:hAnsi="Arial"/>
                <w:sz w:val="22"/>
                <w:szCs w:val="22"/>
                <w:color w:val="auto"/>
              </w:rPr>
              <w:t>Benjamin Sawyer</w:t>
            </w:r>
          </w:p>
        </w:tc>
        <w:tc>
          <w:tcPr>
            <w:tcW w:w="26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Manager</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20" w:type="dxa"/>
            <w:vAlign w:val="bottom"/>
          </w:tcPr>
          <w:p>
            <w:pPr>
              <w:spacing w:after="0"/>
              <w:rPr>
                <w:sz w:val="24"/>
                <w:szCs w:val="24"/>
                <w:color w:val="auto"/>
              </w:rPr>
            </w:pPr>
          </w:p>
        </w:tc>
        <w:tc>
          <w:tcPr>
            <w:tcW w:w="342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40" w:right="900" w:hanging="588"/>
        <w:spacing w:after="0" w:line="251"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2" w:lineRule="exact"/>
        <w:rPr>
          <w:sz w:val="24"/>
          <w:szCs w:val="24"/>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40" w:top="309" w:right="939" w:bottom="1440" w:gutter="0" w:footer="0" w:header="0"/>
        </w:sectPr>
      </w:pPr>
    </w:p>
    <w:bookmarkStart w:id="1" w:name="page2"/>
    <w:bookmarkEnd w:id="1"/>
    <w:p>
      <w:pPr>
        <w:spacing w:after="0" w:line="245" w:lineRule="auto"/>
        <w:rPr>
          <w:sz w:val="20"/>
          <w:szCs w:val="20"/>
          <w:color w:val="auto"/>
        </w:rPr>
      </w:pPr>
      <w:r>
        <w:rPr>
          <w:rFonts w:ascii="Arial" w:cs="Arial" w:eastAsia="Arial" w:hAnsi="Arial"/>
          <w:sz w:val="21"/>
          <w:szCs w:val="21"/>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January 11, 2016, pursuant to the provisions of Rule 12d2-2 (a). [ X ] 17 CFR 240.12d2-2(a)(3) That on December 28, 2015 the instruments representing the securities comprising the entire class of this security came to evidence, by operation of law or otherwise, other securities in substitution therefore and represent no other right except, if such be the fact, the right to receive an immediate cash payment. Pursuant to the terms of the Warrants Agreement, the Warrants (Expiring December 31, 2015) of General Motors Company expired on December 31, 2015. The Exchange also notifies the Securities and Exchange Commission that as a result of the above indicated conditions this security was suspended from trading on December 28, 2015.</w:t>
      </w:r>
    </w:p>
    <w:sectPr>
      <w:pgSz w:w="11900" w:h="16838" w:orient="portrait"/>
      <w:cols w:equalWidth="0" w:num="1">
        <w:col w:w="11400"/>
      </w:cols>
      <w:pgMar w:left="240" w:top="11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34960" TargetMode="External"/><Relationship Id="rId10" Type="http://schemas.openxmlformats.org/officeDocument/2006/relationships/hyperlink" Target="http://www.sec.gov/cgi-bin/browse-edgar?action=getcompany&amp;CIK=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2019-12-08T21:59:47Z</dcterms:created>
  <dcterms:modified xsi:type="dcterms:W3CDTF">2019-12-08T21:59:47Z</dcterms:modified>
</cp:coreProperties>
</file>