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Washington, DC 20549</w:t>
      </w:r>
    </w:p>
    <w:p>
      <w:pPr>
        <w:spacing w:after="0" w:line="1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8-K</w:t>
      </w:r>
    </w:p>
    <w:p>
      <w:pPr>
        <w:spacing w:after="0" w:line="4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Date of Report (Date of earliest event reported): July 25, 2023</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3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172" w:right="559" w:bottom="1440" w:gutter="0" w:footer="0" w:header="0"/>
        </w:sectPr>
      </w:pPr>
    </w:p>
    <w:p>
      <w:pPr>
        <w:spacing w:after="0" w:line="109"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224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27-0756180</w:t>
      </w:r>
    </w:p>
    <w:p>
      <w:pPr>
        <w:spacing w:after="0" w:line="78" w:lineRule="exact"/>
        <w:rPr>
          <w:sz w:val="24"/>
          <w:szCs w:val="24"/>
          <w:color w:val="auto"/>
        </w:rPr>
      </w:pPr>
    </w:p>
    <w:p>
      <w:pPr>
        <w:sectPr>
          <w:pgSz w:w="11900" w:h="16838" w:orient="portrait"/>
          <w:cols w:equalWidth="0" w:num="3">
            <w:col w:w="4780" w:space="720"/>
            <w:col w:w="2840" w:space="720"/>
            <w:col w:w="1980"/>
          </w:cols>
          <w:pgMar w:left="300" w:top="1172"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172" w:right="559" w:bottom="1440" w:gutter="0" w:footer="0" w:header="0"/>
          <w:type w:val="continuous"/>
        </w:sectPr>
      </w:pPr>
    </w:p>
    <w:p>
      <w:pPr>
        <w:jc w:val="right"/>
        <w:ind w:right="3440"/>
        <w:spacing w:after="0"/>
        <w:tabs>
          <w:tab w:leader="none" w:pos="4700" w:val="left"/>
          <w:tab w:leader="none" w:pos="398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2"/>
          <w:szCs w:val="12"/>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4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198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60" w:space="720"/>
            <w:col w:w="2660"/>
          </w:cols>
          <w:pgMar w:left="300" w:top="1172" w:right="559" w:bottom="1440" w:gutter="0" w:footer="0" w:header="0"/>
          <w:type w:val="continuous"/>
        </w:sectPr>
      </w:pPr>
    </w:p>
    <w:p>
      <w:pPr>
        <w:spacing w:after="0" w:line="7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620" w:hanging="58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20" w:hanging="58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21" w:lineRule="exact"/>
        <w:rPr>
          <w:rFonts w:ascii="MS PGothic" w:cs="MS PGothic" w:eastAsia="MS PGothic" w:hAnsi="MS PGothic"/>
          <w:sz w:val="14"/>
          <w:szCs w:val="14"/>
          <w:color w:val="auto"/>
        </w:rPr>
      </w:pPr>
    </w:p>
    <w:p>
      <w:pPr>
        <w:ind w:left="620" w:hanging="58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21" w:lineRule="exact"/>
        <w:rPr>
          <w:rFonts w:ascii="MS PGothic" w:cs="MS PGothic" w:eastAsia="MS PGothic" w:hAnsi="MS PGothic"/>
          <w:sz w:val="14"/>
          <w:szCs w:val="14"/>
          <w:color w:val="auto"/>
        </w:rPr>
      </w:pPr>
    </w:p>
    <w:p>
      <w:pPr>
        <w:ind w:left="620" w:hanging="584"/>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73"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gridSpan w:val="3"/>
          </w:tcPr>
          <w:p>
            <w:pPr>
              <w:jc w:val="center"/>
              <w:ind w:right="200"/>
              <w:spacing w:after="0"/>
              <w:rPr>
                <w:sz w:val="20"/>
                <w:szCs w:val="20"/>
                <w:color w:val="auto"/>
              </w:rPr>
            </w:pPr>
            <w:r>
              <w:rPr>
                <w:rFonts w:ascii="Arial" w:cs="Arial" w:eastAsia="Arial" w:hAnsi="Arial"/>
                <w:sz w:val="13"/>
                <w:szCs w:val="13"/>
                <w:color w:val="auto"/>
                <w:w w:val="88"/>
              </w:rPr>
              <w:t>Securities registered pursuant to Section 12(b) of the Act:</w:t>
            </w: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8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620" w:type="dxa"/>
            <w:vAlign w:val="bottom"/>
            <w:gridSpan w:val="2"/>
          </w:tcPr>
          <w:p>
            <w:pPr>
              <w:jc w:val="center"/>
              <w:ind w:right="1660"/>
              <w:spacing w:after="0"/>
              <w:rPr>
                <w:sz w:val="20"/>
                <w:szCs w:val="20"/>
                <w:color w:val="auto"/>
              </w:rPr>
            </w:pPr>
            <w:r>
              <w:rPr>
                <w:rFonts w:ascii="Arial" w:cs="Arial" w:eastAsia="Arial" w:hAnsi="Arial"/>
                <w:sz w:val="13"/>
                <w:szCs w:val="13"/>
                <w:color w:val="auto"/>
                <w:w w:val="90"/>
              </w:rPr>
              <w:t>Trading Symbol(s)</w:t>
            </w:r>
          </w:p>
        </w:tc>
        <w:tc>
          <w:tcPr>
            <w:tcW w:w="226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620" w:type="dxa"/>
            <w:vAlign w:val="bottom"/>
            <w:gridSpan w:val="2"/>
          </w:tcPr>
          <w:p>
            <w:pPr>
              <w:jc w:val="center"/>
              <w:ind w:right="1660"/>
              <w:spacing w:after="0"/>
              <w:rPr>
                <w:sz w:val="20"/>
                <w:szCs w:val="20"/>
                <w:color w:val="auto"/>
              </w:rPr>
            </w:pPr>
            <w:r>
              <w:rPr>
                <w:rFonts w:ascii="Arial" w:cs="Arial" w:eastAsia="Arial" w:hAnsi="Arial"/>
                <w:sz w:val="13"/>
                <w:szCs w:val="13"/>
                <w:color w:val="auto"/>
                <w:w w:val="95"/>
              </w:rPr>
              <w:t>GM</w:t>
            </w: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71"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37" w:lineRule="exact"/>
        <w:rPr>
          <w:sz w:val="24"/>
          <w:szCs w:val="24"/>
          <w:color w:val="auto"/>
        </w:rPr>
      </w:pPr>
    </w:p>
    <w:p>
      <w:pPr>
        <w:spacing w:after="0" w:line="16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570865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85090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72"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July 25, 2023, General Motors Company (GM) issued a news release and supplemental materials on the subject of its 2023 second quarter consolidated earnings. The news release and supplemental materials are attached as Exhibit 99.1 and Exhibit 99.2.</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Charts furnished to securities analysts in connection with GM's 2023 second quarter earnings release are available on GM's website at www.gm.com/investors/earnings-releases.html.</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4"/>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8420" w:type="dxa"/>
            <w:vAlign w:val="bottom"/>
            <w:gridSpan w:val="6"/>
          </w:tcPr>
          <w:p>
            <w:pPr>
              <w:spacing w:after="0"/>
              <w:rPr>
                <w:sz w:val="20"/>
                <w:szCs w:val="20"/>
                <w:color w:val="auto"/>
              </w:rPr>
            </w:pPr>
            <w:r>
              <w:rPr>
                <w:rFonts w:ascii="Arial" w:cs="Arial" w:eastAsia="Arial" w:hAnsi="Arial"/>
                <w:sz w:val="14"/>
                <w:szCs w:val="14"/>
                <w:color w:val="0000FF"/>
              </w:rPr>
              <w:t>News Release Dated July 25, 2023</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8420" w:type="dxa"/>
            <w:vAlign w:val="bottom"/>
            <w:gridSpan w:val="6"/>
          </w:tcPr>
          <w:p>
            <w:pPr>
              <w:spacing w:after="0"/>
              <w:rPr>
                <w:sz w:val="20"/>
                <w:szCs w:val="20"/>
                <w:color w:val="auto"/>
              </w:rPr>
            </w:pPr>
            <w:r>
              <w:rPr>
                <w:rFonts w:ascii="Arial" w:cs="Arial" w:eastAsia="Arial" w:hAnsi="Arial"/>
                <w:sz w:val="14"/>
                <w:szCs w:val="14"/>
                <w:color w:val="0000FF"/>
              </w:rPr>
              <w:t>Financial Highlights Dated July 25, 2023</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6"/>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40"/>
        </w:trPr>
        <w:tc>
          <w:tcPr>
            <w:tcW w:w="6080" w:type="dxa"/>
            <w:vAlign w:val="bottom"/>
          </w:tcPr>
          <w:p>
            <w:pPr>
              <w:spacing w:after="0" w:line="139" w:lineRule="exact"/>
              <w:rPr>
                <w:sz w:val="20"/>
                <w:szCs w:val="20"/>
                <w:color w:val="auto"/>
              </w:rPr>
            </w:pPr>
            <w:r>
              <w:rPr>
                <w:rFonts w:ascii="Arial" w:cs="Arial" w:eastAsia="Arial" w:hAnsi="Arial"/>
                <w:sz w:val="14"/>
                <w:szCs w:val="14"/>
                <w:color w:val="auto"/>
              </w:rPr>
              <w:t>Date: July 25, 2023</w:t>
            </w:r>
          </w:p>
        </w:tc>
        <w:tc>
          <w:tcPr>
            <w:tcW w:w="5140" w:type="dxa"/>
            <w:vAlign w:val="bottom"/>
          </w:tcPr>
          <w:p>
            <w:pPr>
              <w:ind w:left="20"/>
              <w:spacing w:after="0" w:line="13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1073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1073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073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10420"/>
        <w:spacing w:after="0"/>
        <w:rPr>
          <w:sz w:val="20"/>
          <w:szCs w:val="20"/>
          <w:color w:val="auto"/>
        </w:rPr>
      </w:pPr>
      <w:r>
        <w:rPr>
          <w:rFonts w:ascii="Arial" w:cs="Arial" w:eastAsia="Arial" w:hAnsi="Arial"/>
          <w:sz w:val="14"/>
          <w:szCs w:val="14"/>
          <w:b w:val="1"/>
          <w:bCs w:val="1"/>
          <w:color w:val="auto"/>
        </w:rPr>
        <w:t>Exhibit 99.2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jc w:val="center"/>
        <w:spacing w:after="0" w:line="213" w:lineRule="auto"/>
        <w:rPr>
          <w:sz w:val="20"/>
          <w:szCs w:val="20"/>
          <w:color w:val="auto"/>
        </w:rPr>
      </w:pPr>
      <w:r>
        <w:rPr>
          <w:rFonts w:ascii="Arial" w:cs="Arial" w:eastAsia="Arial" w:hAnsi="Arial"/>
          <w:sz w:val="13"/>
          <w:szCs w:val="13"/>
          <w:b w:val="1"/>
          <w:bCs w:val="1"/>
          <w:color w:val="auto"/>
        </w:rPr>
        <w:t>Supplemental Material</w:t>
      </w:r>
      <w:r>
        <w:rPr>
          <w:rFonts w:ascii="Arial" w:cs="Arial" w:eastAsia="Arial" w:hAnsi="Arial"/>
          <w:sz w:val="16"/>
          <w:szCs w:val="16"/>
          <w:b w:val="1"/>
          <w:bCs w:val="1"/>
          <w:color w:val="auto"/>
          <w:vertAlign w:val="superscript"/>
        </w:rPr>
        <w:t>1</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0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3" w:lineRule="exact"/>
        <w:rPr>
          <w:sz w:val="20"/>
          <w:szCs w:val="20"/>
          <w:color w:val="auto"/>
        </w:rPr>
      </w:pPr>
    </w:p>
    <w:p>
      <w:pPr>
        <w:jc w:val="both"/>
        <w:ind w:firstLine="127"/>
        <w:spacing w:after="0" w:line="24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7"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8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76"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65"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70"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auto"/>
        </w:rPr>
        <w:t>________</w:t>
      </w:r>
    </w:p>
    <w:p>
      <w:pPr>
        <w:spacing w:after="0" w:line="166" w:lineRule="exact"/>
        <w:rPr>
          <w:sz w:val="20"/>
          <w:szCs w:val="20"/>
          <w:color w:val="auto"/>
        </w:rPr>
      </w:pPr>
    </w:p>
    <w:p>
      <w:pPr>
        <w:ind w:left="80" w:hanging="75"/>
        <w:spacing w:after="0"/>
        <w:tabs>
          <w:tab w:leader="none" w:pos="80"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Certain columns and rows may not add due to rounding.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segment profit (loss) (dollars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3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0"/>
                <w:szCs w:val="10"/>
                <w:b w:val="1"/>
                <w:bCs w:val="1"/>
                <w:color w:val="auto"/>
              </w:rPr>
              <w:t>Three Months Ended</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Six Months Ended</w:t>
            </w:r>
          </w:p>
        </w:tc>
        <w:tc>
          <w:tcPr>
            <w:tcW w:w="1200" w:type="dxa"/>
            <w:vAlign w:val="bottom"/>
            <w:tcBorders>
              <w:bottom w:val="single" w:sz="8" w:color="auto"/>
            </w:tcBorders>
          </w:tcPr>
          <w:p>
            <w:pPr>
              <w:spacing w:after="0"/>
              <w:rPr>
                <w:sz w:val="12"/>
                <w:szCs w:val="12"/>
                <w:color w:val="auto"/>
              </w:rPr>
            </w:pPr>
          </w:p>
        </w:tc>
      </w:tr>
      <w:tr>
        <w:trPr>
          <w:trHeight w:val="137"/>
        </w:trPr>
        <w:tc>
          <w:tcPr>
            <w:tcW w:w="43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June 30, 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0"/>
                <w:szCs w:val="10"/>
                <w:b w:val="1"/>
                <w:bCs w:val="1"/>
                <w:color w:val="auto"/>
              </w:rPr>
              <w:t>June 30, 2022</w:t>
            </w:r>
          </w:p>
        </w:tc>
      </w:tr>
      <w:tr>
        <w:trPr>
          <w:trHeight w:val="166"/>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stockholders(a)</w:t>
            </w:r>
          </w:p>
        </w:tc>
        <w:tc>
          <w:tcPr>
            <w:tcW w:w="1180" w:type="dxa"/>
            <w:vAlign w:val="bottom"/>
            <w:shd w:val="clear" w:color="auto" w:fill="CCEEFF"/>
          </w:tcPr>
          <w:p>
            <w:pPr>
              <w:jc w:val="right"/>
              <w:ind w:right="1021"/>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2,566</w:t>
            </w:r>
          </w:p>
        </w:tc>
        <w:tc>
          <w:tcPr>
            <w:tcW w:w="1320" w:type="dxa"/>
            <w:vAlign w:val="bottom"/>
            <w:gridSpan w:val="2"/>
            <w:shd w:val="clear" w:color="auto" w:fill="CCEEFF"/>
          </w:tcPr>
          <w:p>
            <w:pPr>
              <w:jc w:val="right"/>
              <w:ind w:right="109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4,962</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w:t>
            </w:r>
          </w:p>
        </w:tc>
      </w:tr>
      <w:tr>
        <w:trPr>
          <w:trHeight w:val="168"/>
        </w:trPr>
        <w:tc>
          <w:tcPr>
            <w:tcW w:w="438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462</w:t>
            </w:r>
          </w:p>
        </w:tc>
      </w:tr>
      <w:tr>
        <w:trPr>
          <w:trHeight w:val="172"/>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r>
      <w:tr>
        <w:trPr>
          <w:trHeight w:val="168"/>
        </w:trPr>
        <w:tc>
          <w:tcPr>
            <w:tcW w:w="438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(479)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w:t>
            </w:r>
          </w:p>
        </w:tc>
      </w:tr>
      <w:tr>
        <w:trPr>
          <w:trHeight w:val="172"/>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4380" w:type="dxa"/>
            <w:vAlign w:val="bottom"/>
          </w:tcPr>
          <w:p>
            <w:pPr>
              <w:ind w:left="120"/>
              <w:spacing w:after="0"/>
              <w:rPr>
                <w:sz w:val="20"/>
                <w:szCs w:val="20"/>
                <w:color w:val="auto"/>
              </w:rPr>
            </w:pPr>
            <w:r>
              <w:rPr>
                <w:rFonts w:ascii="Arial" w:cs="Arial" w:eastAsia="Arial" w:hAnsi="Arial"/>
                <w:sz w:val="13"/>
                <w:szCs w:val="13"/>
                <w:color w:val="auto"/>
              </w:rPr>
              <w:t>Voluntary separation program(b)</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Cruise compensation modifications(c)</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r>
      <w:tr>
        <w:trPr>
          <w:trHeight w:val="168"/>
        </w:trPr>
        <w:tc>
          <w:tcPr>
            <w:tcW w:w="4380" w:type="dxa"/>
            <w:vAlign w:val="bottom"/>
          </w:tcPr>
          <w:p>
            <w:pPr>
              <w:ind w:left="120"/>
              <w:spacing w:after="0"/>
              <w:rPr>
                <w:sz w:val="20"/>
                <w:szCs w:val="20"/>
                <w:color w:val="auto"/>
              </w:rPr>
            </w:pPr>
            <w:r>
              <w:rPr>
                <w:rFonts w:ascii="Arial" w:cs="Arial" w:eastAsia="Arial" w:hAnsi="Arial"/>
                <w:sz w:val="13"/>
                <w:szCs w:val="13"/>
                <w:color w:val="auto"/>
              </w:rPr>
              <w:t>Buick dealer strategy(d)</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4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Patent royalty matters(e)</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9"/>
        </w:trPr>
        <w:tc>
          <w:tcPr>
            <w:tcW w:w="4380" w:type="dxa"/>
            <w:vAlign w:val="bottom"/>
          </w:tcPr>
          <w:p>
            <w:pPr>
              <w:ind w:left="120"/>
              <w:spacing w:after="0"/>
              <w:rPr>
                <w:sz w:val="20"/>
                <w:szCs w:val="20"/>
                <w:color w:val="auto"/>
              </w:rPr>
            </w:pPr>
            <w:r>
              <w:rPr>
                <w:rFonts w:ascii="Arial" w:cs="Arial" w:eastAsia="Arial" w:hAnsi="Arial"/>
                <w:sz w:val="13"/>
                <w:szCs w:val="13"/>
                <w:color w:val="auto"/>
              </w:rPr>
              <w:t>GM Korea wage litigation(f)</w:t>
            </w: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1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w:t>
            </w:r>
          </w:p>
        </w:tc>
      </w:tr>
      <w:tr>
        <w:trPr>
          <w:trHeight w:val="160"/>
        </w:trPr>
        <w:tc>
          <w:tcPr>
            <w:tcW w:w="4380" w:type="dxa"/>
            <w:vAlign w:val="bottom"/>
          </w:tcPr>
          <w:p>
            <w:pPr>
              <w:ind w:left="20"/>
              <w:spacing w:after="0"/>
              <w:rPr>
                <w:sz w:val="20"/>
                <w:szCs w:val="20"/>
                <w:color w:val="auto"/>
              </w:rPr>
            </w:pPr>
            <w:r>
              <w:rPr>
                <w:rFonts w:ascii="Arial" w:cs="Arial" w:eastAsia="Arial" w:hAnsi="Arial"/>
                <w:sz w:val="13"/>
                <w:szCs w:val="13"/>
                <w:color w:val="auto"/>
              </w:rPr>
              <w:t>EBIT-adjusted</w:t>
            </w: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3,234</w:t>
            </w:r>
          </w:p>
        </w:tc>
        <w:tc>
          <w:tcPr>
            <w:tcW w:w="1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7,037</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6,387</w:t>
            </w:r>
          </w:p>
        </w:tc>
      </w:tr>
      <w:tr>
        <w:trPr>
          <w:trHeight w:val="16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segments</w:t>
            </w: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4380" w:type="dxa"/>
            <w:vAlign w:val="bottom"/>
          </w:tcPr>
          <w:p>
            <w:pPr>
              <w:ind w:left="120"/>
              <w:spacing w:after="0"/>
              <w:rPr>
                <w:sz w:val="20"/>
                <w:szCs w:val="20"/>
                <w:color w:val="auto"/>
              </w:rPr>
            </w:pPr>
            <w:r>
              <w:rPr>
                <w:rFonts w:ascii="Arial" w:cs="Arial" w:eastAsia="Arial" w:hAnsi="Arial"/>
                <w:sz w:val="13"/>
                <w:szCs w:val="13"/>
                <w:color w:val="auto"/>
              </w:rPr>
              <w:t>GM North America (GMNA)</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3,194</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2,299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6,769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5,440</w:t>
            </w:r>
          </w:p>
        </w:tc>
      </w:tr>
      <w:tr>
        <w:trPr>
          <w:trHeight w:val="172"/>
        </w:trPr>
        <w:tc>
          <w:tcPr>
            <w:tcW w:w="4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International (GMI)</w:t>
            </w:r>
          </w:p>
        </w:tc>
        <w:tc>
          <w:tcPr>
            <w:tcW w:w="1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r>
      <w:tr>
        <w:trPr>
          <w:trHeight w:val="168"/>
        </w:trPr>
        <w:tc>
          <w:tcPr>
            <w:tcW w:w="4380" w:type="dxa"/>
            <w:vAlign w:val="bottom"/>
          </w:tcPr>
          <w:p>
            <w:pPr>
              <w:ind w:left="100"/>
              <w:spacing w:after="0"/>
              <w:rPr>
                <w:sz w:val="20"/>
                <w:szCs w:val="20"/>
                <w:color w:val="auto"/>
              </w:rPr>
            </w:pPr>
            <w:r>
              <w:rPr>
                <w:rFonts w:ascii="Arial" w:cs="Arial" w:eastAsia="Arial" w:hAnsi="Arial"/>
                <w:sz w:val="13"/>
                <w:szCs w:val="13"/>
                <w:color w:val="auto"/>
              </w:rPr>
              <w:t>Cruise</w:t>
            </w:r>
          </w:p>
        </w:tc>
        <w:tc>
          <w:tcPr>
            <w:tcW w:w="1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(1,172)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(868)</w:t>
            </w:r>
          </w:p>
        </w:tc>
      </w:tr>
      <w:tr>
        <w:trPr>
          <w:trHeight w:val="172"/>
        </w:trPr>
        <w:tc>
          <w:tcPr>
            <w:tcW w:w="4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Financial(g)</w:t>
            </w:r>
          </w:p>
        </w:tc>
        <w:tc>
          <w:tcPr>
            <w:tcW w:w="1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2,390</w:t>
            </w:r>
          </w:p>
        </w:tc>
      </w:tr>
      <w:tr>
        <w:trPr>
          <w:trHeight w:val="158"/>
        </w:trPr>
        <w:tc>
          <w:tcPr>
            <w:tcW w:w="4380" w:type="dxa"/>
            <w:vAlign w:val="bottom"/>
          </w:tcPr>
          <w:p>
            <w:pPr>
              <w:ind w:left="20"/>
              <w:spacing w:after="0"/>
              <w:rPr>
                <w:sz w:val="20"/>
                <w:szCs w:val="20"/>
                <w:color w:val="auto"/>
              </w:rPr>
            </w:pPr>
            <w:r>
              <w:rPr>
                <w:rFonts w:ascii="Arial" w:cs="Arial" w:eastAsia="Arial" w:hAnsi="Arial"/>
                <w:sz w:val="13"/>
                <w:szCs w:val="13"/>
                <w:color w:val="auto"/>
              </w:rPr>
              <w:t>Total operating segments</w:t>
            </w:r>
          </w:p>
        </w:tc>
        <w:tc>
          <w:tcPr>
            <w:tcW w:w="1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3,585</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3,072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7,717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7,499</w:t>
            </w:r>
          </w:p>
        </w:tc>
      </w:tr>
      <w:tr>
        <w:trPr>
          <w:trHeight w:val="170"/>
        </w:trPr>
        <w:tc>
          <w:tcPr>
            <w:tcW w:w="4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eliminations(h)</w:t>
            </w:r>
          </w:p>
        </w:tc>
        <w:tc>
          <w:tcPr>
            <w:tcW w:w="11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(1,112)</w:t>
            </w:r>
          </w:p>
        </w:tc>
      </w:tr>
      <w:tr>
        <w:trPr>
          <w:trHeight w:val="163"/>
        </w:trPr>
        <w:tc>
          <w:tcPr>
            <w:tcW w:w="4380" w:type="dxa"/>
            <w:vAlign w:val="bottom"/>
          </w:tcPr>
          <w:p>
            <w:pPr>
              <w:ind w:left="20"/>
              <w:spacing w:after="0"/>
              <w:rPr>
                <w:sz w:val="20"/>
                <w:szCs w:val="20"/>
                <w:color w:val="auto"/>
              </w:rPr>
            </w:pPr>
            <w:r>
              <w:rPr>
                <w:rFonts w:ascii="Arial" w:cs="Arial" w:eastAsia="Arial" w:hAnsi="Arial"/>
                <w:sz w:val="13"/>
                <w:szCs w:val="13"/>
                <w:color w:val="auto"/>
              </w:rPr>
              <w:t>EBIT-adjusted</w:t>
            </w:r>
          </w:p>
        </w:tc>
        <w:tc>
          <w:tcPr>
            <w:tcW w:w="1180" w:type="dxa"/>
            <w:vAlign w:val="bottom"/>
          </w:tcPr>
          <w:p>
            <w:pPr>
              <w:jc w:val="right"/>
              <w:ind w:right="1021"/>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3,234</w:t>
            </w:r>
          </w:p>
        </w:tc>
        <w:tc>
          <w:tcPr>
            <w:tcW w:w="1320" w:type="dxa"/>
            <w:vAlign w:val="bottom"/>
            <w:gridSpan w:val="2"/>
          </w:tcPr>
          <w:p>
            <w:pPr>
              <w:jc w:val="right"/>
              <w:ind w:right="1091"/>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2,343</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7,037</w:t>
            </w:r>
          </w:p>
        </w:tc>
        <w:tc>
          <w:tcPr>
            <w:tcW w:w="5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6,387</w:t>
            </w:r>
          </w:p>
        </w:tc>
      </w:tr>
      <w:tr>
        <w:trPr>
          <w:trHeight w:val="20"/>
        </w:trPr>
        <w:tc>
          <w:tcPr>
            <w:tcW w:w="4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8"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3"/>
          <w:szCs w:val="13"/>
          <w:color w:val="auto"/>
        </w:rPr>
      </w:pPr>
      <w:r>
        <w:rPr>
          <w:rFonts w:ascii="Arial" w:cs="Arial" w:eastAsia="Arial" w:hAnsi="Arial"/>
          <w:sz w:val="11"/>
          <w:szCs w:val="11"/>
          <w:color w:val="auto"/>
        </w:rPr>
        <w:t>This adjustment was excluded because it relates to the acceleration of attrition as part of the cost reduction program announced in January 2023, primarily in the United States.</w:t>
      </w: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9"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Buick dealers out of our dealer network as part of Buick’s EV strategy.</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resolution of substantially all royalty matters accrued with respect to past-year vehicle sales in the three months ended March 31, 2022.</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partial resolution of subcontractor matters in Korea.</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spacing w:after="0" w:line="2" w:lineRule="exact"/>
        <w:rPr>
          <w:rFonts w:ascii="Arial" w:cs="Arial" w:eastAsia="Arial" w:hAnsi="Arial"/>
          <w:sz w:val="11"/>
          <w:szCs w:val="11"/>
          <w:color w:val="auto"/>
        </w:rPr>
      </w:pPr>
    </w:p>
    <w:p>
      <w:pPr>
        <w:ind w:left="260" w:hanging="255"/>
        <w:spacing w:after="0" w:line="280" w:lineRule="auto"/>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Opel/Vauxhall Business (primarily pension costs), corporate expenditures and certain nonsegment 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41"/>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0"/>
                <w:szCs w:val="10"/>
                <w:b w:val="1"/>
                <w:bCs w:val="1"/>
                <w:color w:val="auto"/>
              </w:rPr>
              <w:t>Six Months Ended</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37"/>
        </w:trPr>
        <w:tc>
          <w:tcPr>
            <w:tcW w:w="39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0"/>
                <w:szCs w:val="10"/>
                <w:b w:val="1"/>
                <w:bCs w:val="1"/>
                <w:color w:val="auto"/>
              </w:rPr>
              <w:t>June 30, 2022</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0"/>
                <w:szCs w:val="10"/>
                <w:b w:val="1"/>
                <w:bCs w:val="1"/>
                <w:color w:val="auto"/>
              </w:rPr>
              <w:t>June 30, 2023</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ind w:left="400"/>
              <w:spacing w:after="0"/>
              <w:rPr>
                <w:sz w:val="20"/>
                <w:szCs w:val="20"/>
                <w:color w:val="auto"/>
              </w:rPr>
            </w:pPr>
            <w:r>
              <w:rPr>
                <w:rFonts w:ascii="Arial" w:cs="Arial" w:eastAsia="Arial" w:hAnsi="Arial"/>
                <w:sz w:val="10"/>
                <w:szCs w:val="10"/>
                <w:b w:val="1"/>
                <w:bCs w:val="1"/>
                <w:color w:val="auto"/>
              </w:rPr>
              <w:t>June 30, 2022</w:t>
            </w:r>
          </w:p>
        </w:tc>
      </w:tr>
      <w:tr>
        <w:trPr>
          <w:trHeight w:val="118"/>
        </w:trPr>
        <w:tc>
          <w:tcPr>
            <w:tcW w:w="39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8"/>
                <w:szCs w:val="8"/>
                <w:b w:val="1"/>
                <w:bCs w:val="1"/>
                <w:color w:val="auto"/>
              </w:rPr>
              <w:t>Per Share</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8"/>
                <w:szCs w:val="8"/>
                <w:b w:val="1"/>
                <w:bCs w:val="1"/>
                <w:color w:val="auto"/>
              </w:rPr>
              <w:t>Amount</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Per Share</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8"/>
                <w:szCs w:val="8"/>
                <w:b w:val="1"/>
                <w:bCs w:val="1"/>
                <w:color w:val="auto"/>
              </w:rPr>
              <w:t>Per Share</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Per Share</w:t>
            </w:r>
          </w:p>
        </w:tc>
      </w:tr>
      <w:tr>
        <w:trPr>
          <w:trHeight w:val="166"/>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3.52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3,653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center"/>
              <w:ind w:left="239"/>
              <w:spacing w:after="0"/>
              <w:rPr>
                <w:sz w:val="20"/>
                <w:szCs w:val="20"/>
                <w:color w:val="auto"/>
              </w:rPr>
            </w:pPr>
            <w:r>
              <w:rPr>
                <w:rFonts w:ascii="Arial" w:cs="Arial" w:eastAsia="Arial" w:hAnsi="Arial"/>
                <w:sz w:val="13"/>
                <w:szCs w:val="13"/>
                <w:color w:val="auto"/>
                <w:w w:val="94"/>
              </w:rPr>
              <w:t>2.49</w:t>
            </w:r>
          </w:p>
        </w:tc>
      </w:tr>
      <w:tr>
        <w:trPr>
          <w:trHeight w:val="168"/>
        </w:trPr>
        <w:tc>
          <w:tcPr>
            <w:tcW w:w="392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0.82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957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left="239"/>
              <w:spacing w:after="0"/>
              <w:rPr>
                <w:sz w:val="20"/>
                <w:szCs w:val="20"/>
                <w:color w:val="auto"/>
              </w:rPr>
            </w:pPr>
            <w:r>
              <w:rPr>
                <w:rFonts w:ascii="Arial" w:cs="Arial" w:eastAsia="Arial" w:hAnsi="Arial"/>
                <w:sz w:val="13"/>
                <w:szCs w:val="13"/>
                <w:color w:val="auto"/>
                <w:w w:val="94"/>
              </w:rPr>
              <w:t>0.65</w:t>
            </w:r>
          </w:p>
        </w:tc>
      </w:tr>
      <w:tr>
        <w:trPr>
          <w:trHeight w:val="172"/>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adjustments(b)</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219"/>
              <w:spacing w:after="0"/>
              <w:rPr>
                <w:sz w:val="20"/>
                <w:szCs w:val="20"/>
                <w:color w:val="auto"/>
              </w:rPr>
            </w:pPr>
            <w:r>
              <w:rPr>
                <w:rFonts w:ascii="Arial" w:cs="Arial" w:eastAsia="Arial" w:hAnsi="Arial"/>
                <w:sz w:val="13"/>
                <w:szCs w:val="13"/>
                <w:color w:val="auto"/>
                <w:w w:val="99"/>
              </w:rPr>
              <w:t>(0.20)</w:t>
            </w:r>
          </w:p>
        </w:tc>
      </w:tr>
      <w:tr>
        <w:trPr>
          <w:trHeight w:val="168"/>
        </w:trPr>
        <w:tc>
          <w:tcPr>
            <w:tcW w:w="3920" w:type="dxa"/>
            <w:vAlign w:val="bottom"/>
          </w:tcPr>
          <w:p>
            <w:pPr>
              <w:ind w:left="20"/>
              <w:spacing w:after="0"/>
              <w:rPr>
                <w:sz w:val="20"/>
                <w:szCs w:val="20"/>
                <w:color w:val="auto"/>
              </w:rPr>
            </w:pPr>
            <w:r>
              <w:rPr>
                <w:rFonts w:ascii="Arial" w:cs="Arial" w:eastAsia="Arial" w:hAnsi="Arial"/>
                <w:sz w:val="13"/>
                <w:szCs w:val="13"/>
                <w:color w:val="auto"/>
              </w:rPr>
              <w:t>Tax adjustments(c)</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left="219"/>
              <w:spacing w:after="0"/>
              <w:rPr>
                <w:sz w:val="20"/>
                <w:szCs w:val="20"/>
                <w:color w:val="auto"/>
              </w:rPr>
            </w:pPr>
            <w:r>
              <w:rPr>
                <w:rFonts w:ascii="Arial" w:cs="Arial" w:eastAsia="Arial" w:hAnsi="Arial"/>
                <w:sz w:val="13"/>
                <w:szCs w:val="13"/>
                <w:color w:val="auto"/>
                <w:w w:val="99"/>
              </w:rPr>
              <w:t>(0.33)</w:t>
            </w:r>
          </w:p>
        </w:tc>
      </w:tr>
      <w:tr>
        <w:trPr>
          <w:trHeight w:val="18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Deemed dividend adjustment(d)</w:t>
            </w: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909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ind w:left="239"/>
              <w:spacing w:after="0"/>
              <w:rPr>
                <w:sz w:val="20"/>
                <w:szCs w:val="20"/>
                <w:color w:val="auto"/>
              </w:rPr>
            </w:pPr>
            <w:r>
              <w:rPr>
                <w:rFonts w:ascii="Arial" w:cs="Arial" w:eastAsia="Arial" w:hAnsi="Arial"/>
                <w:sz w:val="13"/>
                <w:szCs w:val="13"/>
                <w:color w:val="auto"/>
                <w:w w:val="94"/>
              </w:rPr>
              <w:t>0.62</w:t>
            </w:r>
          </w:p>
        </w:tc>
      </w:tr>
      <w:tr>
        <w:trPr>
          <w:trHeight w:val="160"/>
        </w:trPr>
        <w:tc>
          <w:tcPr>
            <w:tcW w:w="3920" w:type="dxa"/>
            <w:vAlign w:val="bottom"/>
          </w:tcPr>
          <w:p>
            <w:pPr>
              <w:ind w:left="20"/>
              <w:spacing w:after="0"/>
              <w:rPr>
                <w:sz w:val="20"/>
                <w:szCs w:val="20"/>
                <w:color w:val="auto"/>
              </w:rPr>
            </w:pPr>
            <w:r>
              <w:rPr>
                <w:rFonts w:ascii="Arial" w:cs="Arial" w:eastAsia="Arial" w:hAnsi="Arial"/>
                <w:sz w:val="13"/>
                <w:szCs w:val="13"/>
                <w:color w:val="auto"/>
              </w:rPr>
              <w:t>EPS-diluted-adjusted</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2,650</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1.91</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1,666</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1.14</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5,753</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4.12</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4,741</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jc w:val="center"/>
              <w:ind w:left="239"/>
              <w:spacing w:after="0"/>
              <w:rPr>
                <w:sz w:val="20"/>
                <w:szCs w:val="20"/>
                <w:color w:val="auto"/>
              </w:rPr>
            </w:pPr>
            <w:r>
              <w:rPr>
                <w:rFonts w:ascii="Arial" w:cs="Arial" w:eastAsia="Arial" w:hAnsi="Arial"/>
                <w:sz w:val="13"/>
                <w:szCs w:val="13"/>
                <w:color w:val="auto"/>
                <w:w w:val="94"/>
              </w:rPr>
              <w:t>3.23</w:t>
            </w:r>
          </w:p>
        </w:tc>
      </w:tr>
      <w:tr>
        <w:trPr>
          <w:trHeight w:val="20"/>
        </w:trPr>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9"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spacing w:after="0" w:line="9" w:lineRule="exact"/>
        <w:rPr>
          <w:rFonts w:ascii="Arial" w:cs="Arial" w:eastAsia="Arial" w:hAnsi="Arial"/>
          <w:sz w:val="11"/>
          <w:szCs w:val="11"/>
          <w:color w:val="auto"/>
        </w:rPr>
      </w:pP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1" w:lineRule="exact"/>
        <w:rPr>
          <w:rFonts w:ascii="Arial" w:cs="Arial" w:eastAsia="Arial" w:hAnsi="Arial"/>
          <w:sz w:val="11"/>
          <w:szCs w:val="11"/>
          <w:color w:val="auto"/>
        </w:rPr>
      </w:pPr>
    </w:p>
    <w:p>
      <w:pPr>
        <w:ind w:left="260" w:hanging="255"/>
        <w:spacing w:after="0" w:line="253" w:lineRule="auto"/>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consists of tax benefit related to the release of a valuation allowance against deferred tax assets that are considered realizable as a result of Cruise tax reconsolidation in the six months ended June 30, 2022. This adjustment was excluded because significant impacts of valuation allowances are not considered part of our core operations.</w:t>
      </w: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consists of a deemed dividend related to the redemption of Cruise preferred shares from SoftBank Vision Fund (AIV M2) L.P. (SoftBank) in the six months ended June 30, 2022.</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41"/>
        </w:trPr>
        <w:tc>
          <w:tcPr>
            <w:tcW w:w="1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0"/>
                <w:szCs w:val="10"/>
                <w:b w:val="1"/>
                <w:bCs w:val="1"/>
                <w:color w:val="auto"/>
              </w:rPr>
              <w:t>Six Months Ended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June 30, 2023</w:t>
            </w: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June 30, 2022</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June 30, 2023</w:t>
            </w: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June 30, 2022</w:t>
            </w: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80"/>
              <w:spacing w:after="0" w:line="81" w:lineRule="exact"/>
              <w:rPr>
                <w:sz w:val="20"/>
                <w:szCs w:val="20"/>
                <w:color w:val="auto"/>
              </w:rPr>
            </w:pPr>
            <w:r>
              <w:rPr>
                <w:rFonts w:ascii="Arial" w:cs="Arial" w:eastAsia="Arial" w:hAnsi="Arial"/>
                <w:sz w:val="8"/>
                <w:szCs w:val="8"/>
                <w:b w:val="1"/>
                <w:bCs w:val="1"/>
                <w:color w:val="auto"/>
              </w:rPr>
              <w:t>Income tax</w:t>
            </w: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81" w:lineRule="exact"/>
              <w:rPr>
                <w:sz w:val="20"/>
                <w:szCs w:val="20"/>
                <w:color w:val="auto"/>
              </w:rPr>
            </w:pPr>
            <w:r>
              <w:rPr>
                <w:rFonts w:ascii="Arial" w:cs="Arial" w:eastAsia="Arial" w:hAnsi="Arial"/>
                <w:sz w:val="8"/>
                <w:szCs w:val="8"/>
                <w:b w:val="1"/>
                <w:bCs w:val="1"/>
                <w:color w:val="auto"/>
              </w:rPr>
              <w:t>Income tax</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200"/>
              <w:spacing w:after="0" w:line="81" w:lineRule="exact"/>
              <w:rPr>
                <w:sz w:val="20"/>
                <w:szCs w:val="20"/>
                <w:color w:val="auto"/>
              </w:rPr>
            </w:pPr>
            <w:r>
              <w:rPr>
                <w:rFonts w:ascii="Arial" w:cs="Arial" w:eastAsia="Arial" w:hAnsi="Arial"/>
                <w:sz w:val="8"/>
                <w:szCs w:val="8"/>
                <w:b w:val="1"/>
                <w:bCs w:val="1"/>
                <w:color w:val="auto"/>
              </w:rPr>
              <w:t>Income tax</w:t>
            </w: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81" w:lineRule="exact"/>
              <w:rPr>
                <w:sz w:val="20"/>
                <w:szCs w:val="20"/>
                <w:color w:val="auto"/>
              </w:rPr>
            </w:pPr>
            <w:r>
              <w:rPr>
                <w:rFonts w:ascii="Arial" w:cs="Arial" w:eastAsia="Arial" w:hAnsi="Arial"/>
                <w:sz w:val="8"/>
                <w:szCs w:val="8"/>
                <w:b w:val="1"/>
                <w:bCs w:val="1"/>
                <w:color w:val="auto"/>
              </w:rPr>
              <w:t>Income tax</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7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center"/>
              <w:ind w:right="160"/>
              <w:spacing w:after="0" w:line="85" w:lineRule="exact"/>
              <w:rPr>
                <w:sz w:val="20"/>
                <w:szCs w:val="20"/>
                <w:color w:val="auto"/>
              </w:rPr>
            </w:pPr>
            <w:r>
              <w:rPr>
                <w:rFonts w:ascii="Arial" w:cs="Arial" w:eastAsia="Arial" w:hAnsi="Arial"/>
                <w:sz w:val="8"/>
                <w:szCs w:val="8"/>
                <w:b w:val="1"/>
                <w:bCs w:val="1"/>
                <w:color w:val="auto"/>
              </w:rPr>
              <w:t>expense</w:t>
            </w:r>
          </w:p>
        </w:tc>
        <w:tc>
          <w:tcPr>
            <w:tcW w:w="7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Effective tax rate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180"/>
              <w:spacing w:after="0" w:line="85" w:lineRule="exact"/>
              <w:rPr>
                <w:sz w:val="20"/>
                <w:szCs w:val="20"/>
                <w:color w:val="auto"/>
              </w:rPr>
            </w:pPr>
            <w:r>
              <w:rPr>
                <w:rFonts w:ascii="Arial" w:cs="Arial" w:eastAsia="Arial" w:hAnsi="Arial"/>
                <w:sz w:val="8"/>
                <w:szCs w:val="8"/>
                <w:b w:val="1"/>
                <w:bCs w:val="1"/>
                <w:color w:val="auto"/>
              </w:rPr>
              <w:t>expense</w:t>
            </w:r>
          </w:p>
        </w:tc>
        <w:tc>
          <w:tcPr>
            <w:tcW w:w="7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Effective tax rate</w:t>
            </w: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tcPr>
          <w:p>
            <w:pPr>
              <w:jc w:val="center"/>
              <w:ind w:right="220"/>
              <w:spacing w:after="0" w:line="85" w:lineRule="exact"/>
              <w:rPr>
                <w:sz w:val="20"/>
                <w:szCs w:val="20"/>
                <w:color w:val="auto"/>
              </w:rPr>
            </w:pPr>
            <w:r>
              <w:rPr>
                <w:rFonts w:ascii="Arial" w:cs="Arial" w:eastAsia="Arial" w:hAnsi="Arial"/>
                <w:sz w:val="8"/>
                <w:szCs w:val="8"/>
                <w:b w:val="1"/>
                <w:bCs w:val="1"/>
                <w:color w:val="auto"/>
              </w:rPr>
              <w:t>expense</w:t>
            </w:r>
          </w:p>
        </w:tc>
        <w:tc>
          <w:tcPr>
            <w:tcW w:w="7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85" w:lineRule="exact"/>
              <w:rPr>
                <w:sz w:val="20"/>
                <w:szCs w:val="20"/>
                <w:color w:val="auto"/>
              </w:rPr>
            </w:pPr>
            <w:r>
              <w:rPr>
                <w:rFonts w:ascii="Arial" w:cs="Arial" w:eastAsia="Arial" w:hAnsi="Arial"/>
                <w:sz w:val="8"/>
                <w:szCs w:val="8"/>
                <w:b w:val="1"/>
                <w:bCs w:val="1"/>
                <w:color w:val="auto"/>
              </w:rPr>
              <w:t>expense</w:t>
            </w:r>
          </w:p>
        </w:tc>
        <w:tc>
          <w:tcPr>
            <w:tcW w:w="7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Effective tax rate</w:t>
            </w:r>
          </w:p>
        </w:tc>
        <w:tc>
          <w:tcPr>
            <w:tcW w:w="0" w:type="dxa"/>
            <w:vAlign w:val="bottom"/>
          </w:tcPr>
          <w:p>
            <w:pPr>
              <w:spacing w:after="0"/>
              <w:rPr>
                <w:sz w:val="1"/>
                <w:szCs w:val="1"/>
                <w:color w:val="auto"/>
              </w:rPr>
            </w:pPr>
          </w:p>
        </w:tc>
      </w:tr>
      <w:tr>
        <w:trPr>
          <w:trHeight w:val="122"/>
        </w:trPr>
        <w:tc>
          <w:tcPr>
            <w:tcW w:w="17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income taxes</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25"/>
              <w:spacing w:after="0"/>
              <w:rPr>
                <w:sz w:val="20"/>
                <w:szCs w:val="20"/>
                <w:color w:val="auto"/>
              </w:rPr>
            </w:pPr>
            <w:r>
              <w:rPr>
                <w:rFonts w:ascii="Arial" w:cs="Arial" w:eastAsia="Arial" w:hAnsi="Arial"/>
                <w:sz w:val="8"/>
                <w:szCs w:val="8"/>
                <w:b w:val="1"/>
                <w:bCs w:val="1"/>
                <w:color w:val="auto"/>
              </w:rPr>
              <w:t>(benefit)</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8"/>
                <w:szCs w:val="8"/>
                <w:b w:val="1"/>
                <w:bCs w:val="1"/>
                <w:color w:val="auto"/>
              </w:rPr>
              <w:t>income taxes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45"/>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45"/>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8"/>
                <w:szCs w:val="8"/>
                <w:b w:val="1"/>
                <w:bCs w:val="1"/>
                <w:color w:val="auto"/>
              </w:rPr>
              <w:t>income taxes</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522</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17.2 %</w:t>
            </w:r>
          </w:p>
        </w:tc>
        <w:tc>
          <w:tcPr>
            <w:tcW w:w="30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23.0 %</w:t>
            </w:r>
          </w:p>
        </w:tc>
        <w:tc>
          <w:tcPr>
            <w:tcW w:w="2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16.4 %</w:t>
            </w:r>
          </w:p>
        </w:tc>
        <w:tc>
          <w:tcPr>
            <w:tcW w:w="3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0" w:type="dxa"/>
            <w:vAlign w:val="bottom"/>
          </w:tcPr>
          <w:p>
            <w:pPr>
              <w:spacing w:after="0"/>
              <w:rPr>
                <w:sz w:val="1"/>
                <w:szCs w:val="1"/>
                <w:color w:val="auto"/>
              </w:rPr>
            </w:pPr>
          </w:p>
        </w:tc>
      </w:tr>
      <w:tr>
        <w:trPr>
          <w:trHeight w:val="168"/>
        </w:trPr>
        <w:tc>
          <w:tcPr>
            <w:tcW w:w="17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adjustments(b)</w:t>
            </w: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0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200" w:type="dxa"/>
            <w:vAlign w:val="bottom"/>
          </w:tcPr>
          <w:p>
            <w:pPr>
              <w:jc w:val="right"/>
              <w:ind w:right="4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3,199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582</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18.2 %</w:t>
            </w:r>
          </w:p>
        </w:tc>
        <w:tc>
          <w:tcPr>
            <w:tcW w:w="30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2,132</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23.0 %</w:t>
            </w:r>
          </w:p>
        </w:tc>
        <w:tc>
          <w:tcPr>
            <w:tcW w:w="2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6,947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
              <w:spacing w:after="0"/>
              <w:rPr>
                <w:sz w:val="20"/>
                <w:szCs w:val="20"/>
                <w:color w:val="auto"/>
              </w:rPr>
            </w:pPr>
            <w:r>
              <w:rPr>
                <w:rFonts w:ascii="Arial" w:cs="Arial" w:eastAsia="Arial" w:hAnsi="Arial"/>
                <w:sz w:val="13"/>
                <w:szCs w:val="13"/>
                <w:color w:val="auto"/>
              </w:rPr>
              <w:t>1,249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18.0 %</w:t>
            </w:r>
          </w:p>
        </w:tc>
        <w:tc>
          <w:tcPr>
            <w:tcW w:w="3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5,965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1,240</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20.8 %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8" w:lineRule="exact"/>
        <w:rPr>
          <w:sz w:val="20"/>
          <w:szCs w:val="20"/>
          <w:color w:val="auto"/>
        </w:rPr>
      </w:pPr>
    </w:p>
    <w:p>
      <w:pPr>
        <w:ind w:left="260" w:hanging="255"/>
        <w:spacing w:after="0" w:line="261" w:lineRule="auto"/>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8" w:lineRule="exact"/>
        <w:rPr>
          <w:sz w:val="20"/>
          <w:szCs w:val="20"/>
          <w:color w:val="auto"/>
        </w:rPr>
      </w:pPr>
    </w:p>
    <w:p>
      <w:pPr>
        <w:ind w:firstLine="127"/>
        <w:spacing w:after="0" w:line="257" w:lineRule="auto"/>
        <w:rPr>
          <w:sz w:val="20"/>
          <w:szCs w:val="20"/>
          <w:color w:val="auto"/>
        </w:rPr>
      </w:pPr>
      <w:r>
        <w:rPr>
          <w:rFonts w:ascii="Arial" w:cs="Arial" w:eastAsia="Arial" w:hAnsi="Arial"/>
          <w:sz w:val="13"/>
          <w:szCs w:val="13"/>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720" w:type="dxa"/>
            <w:vAlign w:val="bottom"/>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Four Quarters Ended</w:t>
            </w:r>
          </w:p>
        </w:tc>
        <w:tc>
          <w:tcPr>
            <w:tcW w:w="1240" w:type="dxa"/>
            <w:vAlign w:val="bottom"/>
            <w:tcBorders>
              <w:bottom w:val="single" w:sz="8" w:color="auto"/>
            </w:tcBorders>
          </w:tcPr>
          <w:p>
            <w:pPr>
              <w:spacing w:after="0"/>
              <w:rPr>
                <w:sz w:val="12"/>
                <w:szCs w:val="12"/>
                <w:color w:val="auto"/>
              </w:rPr>
            </w:pPr>
          </w:p>
        </w:tc>
      </w:tr>
      <w:tr>
        <w:trPr>
          <w:trHeight w:val="137"/>
        </w:trPr>
        <w:tc>
          <w:tcPr>
            <w:tcW w:w="772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2023</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b w:val="1"/>
                <w:bCs w:val="1"/>
                <w:color w:val="auto"/>
              </w:rPr>
              <w:t>June 30, 2022</w:t>
            </w:r>
          </w:p>
        </w:tc>
      </w:tr>
      <w:tr>
        <w:trPr>
          <w:trHeight w:val="16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10.3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8.8</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1220" w:type="dxa"/>
            <w:vAlign w:val="bottom"/>
          </w:tcPr>
          <w:p>
            <w:pPr>
              <w:jc w:val="right"/>
              <w:ind w:right="108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99"/>
              <w:spacing w:after="0"/>
              <w:rPr>
                <w:sz w:val="20"/>
                <w:szCs w:val="20"/>
                <w:color w:val="auto"/>
              </w:rPr>
            </w:pPr>
            <w:r>
              <w:rPr>
                <w:rFonts w:ascii="Arial" w:cs="Arial" w:eastAsia="Arial" w:hAnsi="Arial"/>
                <w:sz w:val="13"/>
                <w:szCs w:val="13"/>
                <w:color w:val="auto"/>
              </w:rPr>
              <w:t>70.5</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9"/>
              <w:spacing w:after="0"/>
              <w:rPr>
                <w:sz w:val="20"/>
                <w:szCs w:val="20"/>
                <w:color w:val="auto"/>
              </w:rPr>
            </w:pPr>
            <w:r>
              <w:rPr>
                <w:rFonts w:ascii="Arial" w:cs="Arial" w:eastAsia="Arial" w:hAnsi="Arial"/>
                <w:sz w:val="13"/>
                <w:szCs w:val="13"/>
                <w:color w:val="auto"/>
              </w:rPr>
              <w:t>62.4</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14.6 %</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14.1 %</w:t>
            </w:r>
          </w:p>
        </w:tc>
      </w:tr>
      <w:tr>
        <w:trPr>
          <w:trHeight w:val="208"/>
        </w:trPr>
        <w:tc>
          <w:tcPr>
            <w:tcW w:w="7720" w:type="dxa"/>
            <w:vAlign w:val="bottom"/>
          </w:tcPr>
          <w:p>
            <w:pPr>
              <w:spacing w:after="0"/>
              <w:rPr>
                <w:sz w:val="20"/>
                <w:szCs w:val="20"/>
                <w:color w:val="auto"/>
              </w:rPr>
            </w:pPr>
            <w:r>
              <w:rPr>
                <w:rFonts w:ascii="Arial" w:cs="Arial" w:eastAsia="Arial" w:hAnsi="Arial"/>
                <w:sz w:val="11"/>
                <w:szCs w:val="11"/>
                <w:color w:val="auto"/>
              </w:rPr>
              <w:t>________</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44"/>
        </w:trPr>
        <w:tc>
          <w:tcPr>
            <w:tcW w:w="7720" w:type="dxa"/>
            <w:vAlign w:val="bottom"/>
          </w:tcPr>
          <w:p>
            <w:pPr>
              <w:spacing w:after="0"/>
              <w:rPr>
                <w:sz w:val="20"/>
                <w:szCs w:val="20"/>
                <w:color w:val="auto"/>
              </w:rPr>
            </w:pPr>
            <w:r>
              <w:rPr>
                <w:rFonts w:ascii="Arial" w:cs="Arial" w:eastAsia="Arial" w:hAnsi="Arial"/>
                <w:sz w:val="11"/>
                <w:szCs w:val="11"/>
                <w:color w:val="auto"/>
              </w:rPr>
              <w:t>(a)  Includes equity of noncontrolling interests where the corresponding earnings (loss) are included in Net income attributable to stockholders.</w:t>
            </w: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33"/>
        </w:trPr>
        <w:tc>
          <w:tcPr>
            <w:tcW w:w="7720" w:type="dxa"/>
            <w:vAlign w:val="bottom"/>
          </w:tcPr>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9"/>
        </w:trPr>
        <w:tc>
          <w:tcPr>
            <w:tcW w:w="77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Four Quarters Ended</w:t>
            </w:r>
          </w:p>
        </w:tc>
        <w:tc>
          <w:tcPr>
            <w:tcW w:w="1240" w:type="dxa"/>
            <w:vAlign w:val="bottom"/>
            <w:tcBorders>
              <w:bottom w:val="single" w:sz="8" w:color="auto"/>
            </w:tcBorders>
          </w:tcPr>
          <w:p>
            <w:pPr>
              <w:spacing w:after="0"/>
              <w:rPr>
                <w:sz w:val="19"/>
                <w:szCs w:val="19"/>
                <w:color w:val="auto"/>
              </w:rPr>
            </w:pPr>
          </w:p>
        </w:tc>
      </w:tr>
      <w:tr>
        <w:trPr>
          <w:trHeight w:val="137"/>
        </w:trPr>
        <w:tc>
          <w:tcPr>
            <w:tcW w:w="7720" w:type="dxa"/>
            <w:vAlign w:val="bottom"/>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2023</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b w:val="1"/>
                <w:bCs w:val="1"/>
                <w:color w:val="auto"/>
              </w:rPr>
              <w:t>June 30, 2022</w:t>
            </w:r>
          </w:p>
        </w:tc>
      </w:tr>
      <w:tr>
        <w:trPr>
          <w:trHeight w:val="16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EBIT-adjusted(a)</w:t>
            </w:r>
          </w:p>
        </w:tc>
        <w:tc>
          <w:tcPr>
            <w:tcW w:w="1220" w:type="dxa"/>
            <w:vAlign w:val="bottom"/>
            <w:shd w:val="clear" w:color="auto" w:fill="CCEEFF"/>
          </w:tcPr>
          <w:p>
            <w:pPr>
              <w:jc w:val="right"/>
              <w:ind w:right="108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15.1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12.1</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1220" w:type="dxa"/>
            <w:vAlign w:val="bottom"/>
          </w:tcPr>
          <w:p>
            <w:pPr>
              <w:jc w:val="right"/>
              <w:ind w:right="108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99"/>
              <w:spacing w:after="0"/>
              <w:rPr>
                <w:sz w:val="20"/>
                <w:szCs w:val="20"/>
                <w:color w:val="auto"/>
              </w:rPr>
            </w:pPr>
            <w:r>
              <w:rPr>
                <w:rFonts w:ascii="Arial" w:cs="Arial" w:eastAsia="Arial" w:hAnsi="Arial"/>
                <w:sz w:val="13"/>
                <w:szCs w:val="13"/>
                <w:color w:val="auto"/>
              </w:rPr>
              <w:t>70.5</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9"/>
              <w:spacing w:after="0"/>
              <w:rPr>
                <w:sz w:val="20"/>
                <w:szCs w:val="20"/>
                <w:color w:val="auto"/>
              </w:rPr>
            </w:pPr>
            <w:r>
              <w:rPr>
                <w:rFonts w:ascii="Arial" w:cs="Arial" w:eastAsia="Arial" w:hAnsi="Arial"/>
                <w:sz w:val="13"/>
                <w:szCs w:val="13"/>
                <w:color w:val="auto"/>
              </w:rPr>
              <w:t>62.4</w:t>
            </w: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16.8</w:t>
            </w: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12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99"/>
              <w:spacing w:after="0"/>
              <w:rPr>
                <w:sz w:val="20"/>
                <w:szCs w:val="20"/>
                <w:color w:val="auto"/>
              </w:rPr>
            </w:pPr>
            <w:r>
              <w:rPr>
                <w:rFonts w:ascii="Arial" w:cs="Arial" w:eastAsia="Arial" w:hAnsi="Arial"/>
                <w:sz w:val="13"/>
                <w:szCs w:val="13"/>
                <w:color w:val="auto"/>
              </w:rPr>
              <w:t>12.1</w:t>
            </w:r>
          </w:p>
        </w:tc>
      </w:tr>
      <w:tr>
        <w:trPr>
          <w:trHeight w:val="17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12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(20.7)</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(21.6)</w:t>
            </w:r>
          </w:p>
        </w:tc>
      </w:tr>
      <w:tr>
        <w:trPr>
          <w:trHeight w:val="160"/>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1220" w:type="dxa"/>
            <w:vAlign w:val="bottom"/>
          </w:tcPr>
          <w:p>
            <w:pPr>
              <w:jc w:val="right"/>
              <w:ind w:right="108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99"/>
              <w:spacing w:after="0"/>
              <w:rPr>
                <w:sz w:val="20"/>
                <w:szCs w:val="20"/>
                <w:color w:val="auto"/>
              </w:rPr>
            </w:pPr>
            <w:r>
              <w:rPr>
                <w:rFonts w:ascii="Arial" w:cs="Arial" w:eastAsia="Arial" w:hAnsi="Arial"/>
                <w:sz w:val="13"/>
                <w:szCs w:val="13"/>
                <w:color w:val="auto"/>
              </w:rPr>
              <w:t>75.0</w:t>
            </w: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99"/>
              <w:spacing w:after="0"/>
              <w:rPr>
                <w:sz w:val="20"/>
                <w:szCs w:val="20"/>
                <w:color w:val="auto"/>
              </w:rPr>
            </w:pPr>
            <w:r>
              <w:rPr>
                <w:rFonts w:ascii="Arial" w:cs="Arial" w:eastAsia="Arial" w:hAnsi="Arial"/>
                <w:sz w:val="13"/>
                <w:szCs w:val="13"/>
                <w:color w:val="auto"/>
              </w:rPr>
              <w:t>69.7</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ROIC-adjusted</w:t>
            </w:r>
          </w:p>
        </w:tc>
        <w:tc>
          <w:tcPr>
            <w:tcW w:w="1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20.2 %</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17.4 %</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8"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spacing w:after="0" w:line="2" w:lineRule="exact"/>
        <w:rPr>
          <w:rFonts w:ascii="Arial" w:cs="Arial" w:eastAsia="Arial" w:hAnsi="Arial"/>
          <w:sz w:val="11"/>
          <w:szCs w:val="11"/>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operating activities under U.S. GAAP to adjusted automotive free cash flow (dollars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040" w:type="dxa"/>
            <w:vAlign w:val="bottom"/>
            <w:tcBorders>
              <w:bottom w:val="single" w:sz="8" w:color="auto"/>
            </w:tcBorders>
          </w:tcPr>
          <w:p>
            <w:pPr>
              <w:spacing w:after="0"/>
              <w:rPr>
                <w:sz w:val="12"/>
                <w:szCs w:val="12"/>
                <w:color w:val="auto"/>
              </w:rPr>
            </w:pPr>
          </w:p>
        </w:tc>
      </w:tr>
      <w:tr>
        <w:trPr>
          <w:trHeight w:val="137"/>
        </w:trPr>
        <w:tc>
          <w:tcPr>
            <w:tcW w:w="5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June 30, 2022</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w w:val="95"/>
              </w:rPr>
              <w:t>June 30, 2022</w:t>
            </w:r>
          </w:p>
        </w:tc>
      </w:tr>
      <w:tr>
        <w:trPr>
          <w:trHeight w:val="161"/>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operating activities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9,346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5,104</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(2,073)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(3,717)</w:t>
            </w: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Buick dealer strategy</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260" w:type="dxa"/>
            <w:vAlign w:val="bottom"/>
          </w:tcPr>
          <w:p>
            <w:pPr>
              <w:ind w:left="20"/>
              <w:spacing w:after="0"/>
              <w:rPr>
                <w:sz w:val="20"/>
                <w:szCs w:val="20"/>
                <w:color w:val="auto"/>
              </w:rPr>
            </w:pPr>
            <w:r>
              <w:rPr>
                <w:rFonts w:ascii="Arial" w:cs="Arial" w:eastAsia="Arial" w:hAnsi="Arial"/>
                <w:sz w:val="13"/>
                <w:szCs w:val="13"/>
                <w:color w:val="auto"/>
              </w:rPr>
              <w:t>Add: Employee separation costs</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 Korea wage litigation</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3"/>
        </w:trPr>
        <w:tc>
          <w:tcPr>
            <w:tcW w:w="5260" w:type="dxa"/>
            <w:vAlign w:val="bottom"/>
          </w:tcPr>
          <w:p>
            <w:pPr>
              <w:ind w:left="20"/>
              <w:spacing w:after="0"/>
              <w:rPr>
                <w:sz w:val="20"/>
                <w:szCs w:val="20"/>
                <w:color w:val="auto"/>
              </w:rPr>
            </w:pPr>
            <w:r>
              <w:rPr>
                <w:rFonts w:ascii="Arial" w:cs="Arial" w:eastAsia="Arial" w:hAnsi="Arial"/>
                <w:sz w:val="13"/>
                <w:szCs w:val="13"/>
                <w:color w:val="auto"/>
              </w:rPr>
              <w:t>Adjusted automotive free cash flow</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5,548</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1,407</w:t>
            </w: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5,415</w:t>
            </w: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1,413</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92"/>
        </w:trPr>
        <w:tc>
          <w:tcPr>
            <w:tcW w:w="2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ind w:right="172"/>
              <w:spacing w:after="0"/>
              <w:rPr>
                <w:sz w:val="20"/>
                <w:szCs w:val="20"/>
                <w:color w:val="auto"/>
              </w:rPr>
            </w:pPr>
            <w:r>
              <w:rPr>
                <w:rFonts w:ascii="Arial" w:cs="Arial" w:eastAsia="Arial" w:hAnsi="Arial"/>
                <w:sz w:val="8"/>
                <w:szCs w:val="8"/>
                <w:b w:val="1"/>
                <w:bCs w:val="1"/>
                <w:color w:val="auto"/>
              </w:rPr>
              <w:t>GMNA</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Corporate</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jc w:val="center"/>
              <w:ind w:right="93"/>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jc w:val="center"/>
              <w:ind w:right="93"/>
              <w:spacing w:after="0"/>
              <w:rPr>
                <w:sz w:val="20"/>
                <w:szCs w:val="20"/>
                <w:color w:val="auto"/>
              </w:rPr>
            </w:pPr>
            <w:r>
              <w:rPr>
                <w:rFonts w:ascii="Arial" w:cs="Arial" w:eastAsia="Arial" w:hAnsi="Arial"/>
                <w:sz w:val="8"/>
                <w:szCs w:val="8"/>
                <w:b w:val="1"/>
                <w:bCs w:val="1"/>
                <w:color w:val="auto"/>
              </w:rPr>
              <w:t>GM</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vMerge w:val="restart"/>
          </w:tcPr>
          <w:p>
            <w:pPr>
              <w:jc w:val="right"/>
              <w:ind w:right="212"/>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restart"/>
          </w:tcPr>
          <w:p>
            <w:pPr>
              <w:jc w:val="right"/>
              <w:ind w:right="27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8"/>
                <w:szCs w:val="8"/>
                <w:b w:val="1"/>
                <w:bCs w:val="1"/>
                <w:color w:val="auto"/>
              </w:rPr>
              <w:t>Financial</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20"/>
                <w:szCs w:val="20"/>
                <w:color w:val="auto"/>
              </w:rPr>
            </w:pPr>
            <w:r>
              <w:rPr>
                <w:rFonts w:ascii="Arial" w:cs="Arial" w:eastAsia="Arial" w:hAnsi="Arial"/>
                <w:sz w:val="8"/>
                <w:szCs w:val="8"/>
                <w:b w:val="1"/>
                <w:bCs w:val="1"/>
                <w:color w:val="auto"/>
              </w:rPr>
              <w:t>Three Months Ended June 30, 2023</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37,220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44,746</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2,014</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114</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2,136</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10</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90</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2,251</w:t>
            </w: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1,531</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1,680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1,245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2,936</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(loss)(a)(b)</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vMerge w:val="restart"/>
          </w:tcPr>
          <w:p>
            <w:pPr>
              <w:jc w:val="right"/>
              <w:ind w:right="172"/>
              <w:spacing w:after="0"/>
              <w:rPr>
                <w:sz w:val="20"/>
                <w:szCs w:val="20"/>
                <w:color w:val="auto"/>
              </w:rPr>
            </w:pPr>
            <w:r>
              <w:rPr>
                <w:rFonts w:ascii="Arial" w:cs="Arial" w:eastAsia="Arial" w:hAnsi="Arial"/>
                <w:sz w:val="8"/>
                <w:szCs w:val="8"/>
                <w:b w:val="1"/>
                <w:bCs w:val="1"/>
                <w:color w:val="auto"/>
              </w:rPr>
              <w:t>GMNA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Corporate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93"/>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center"/>
              <w:ind w:right="93"/>
              <w:spacing w:after="0"/>
              <w:rPr>
                <w:sz w:val="20"/>
                <w:szCs w:val="20"/>
                <w:color w:val="auto"/>
              </w:rPr>
            </w:pPr>
            <w:r>
              <w:rPr>
                <w:rFonts w:ascii="Arial" w:cs="Arial" w:eastAsia="Arial" w:hAnsi="Arial"/>
                <w:sz w:val="8"/>
                <w:szCs w:val="8"/>
                <w:b w:val="1"/>
                <w:bCs w:val="1"/>
                <w:color w:val="auto"/>
              </w:rPr>
              <w:t>GM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vMerge w:val="restart"/>
          </w:tcPr>
          <w:p>
            <w:pPr>
              <w:jc w:val="right"/>
              <w:ind w:right="212"/>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vMerge w:val="restart"/>
          </w:tcPr>
          <w:p>
            <w:pPr>
              <w:jc w:val="right"/>
              <w:ind w:right="27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8"/>
                <w:szCs w:val="8"/>
                <w:b w:val="1"/>
                <w:bCs w:val="1"/>
                <w:color w:val="auto"/>
              </w:rPr>
              <w:t>Financial</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20"/>
                <w:szCs w:val="20"/>
                <w:color w:val="auto"/>
              </w:rPr>
            </w:pPr>
            <w:r>
              <w:rPr>
                <w:rFonts w:ascii="Arial" w:cs="Arial" w:eastAsia="Arial" w:hAnsi="Arial"/>
                <w:sz w:val="8"/>
                <w:szCs w:val="8"/>
                <w:b w:val="1"/>
                <w:bCs w:val="1"/>
                <w:color w:val="auto"/>
              </w:rPr>
              <w:t>Three Months Ended June 30, 2022</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28,760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3,146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35,759</w:t>
            </w:r>
          </w:p>
        </w:tc>
        <w:tc>
          <w:tcPr>
            <w:tcW w:w="0" w:type="dxa"/>
            <w:vAlign w:val="bottom"/>
          </w:tcPr>
          <w:p>
            <w:pPr>
              <w:spacing w:after="0"/>
              <w:rPr>
                <w:sz w:val="1"/>
                <w:szCs w:val="1"/>
                <w:color w:val="auto"/>
              </w:rPr>
            </w:pP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1,894</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178</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2,073</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87</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9</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2,168</w:t>
            </w: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2,844</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11</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11</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276"/>
        </w:trPr>
        <w:tc>
          <w:tcPr>
            <w:tcW w:w="2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vMerge w:val="restart"/>
          </w:tcPr>
          <w:p>
            <w:pPr>
              <w:jc w:val="right"/>
              <w:ind w:right="172"/>
              <w:spacing w:after="0"/>
              <w:rPr>
                <w:sz w:val="20"/>
                <w:szCs w:val="20"/>
                <w:color w:val="auto"/>
              </w:rPr>
            </w:pPr>
            <w:r>
              <w:rPr>
                <w:rFonts w:ascii="Arial" w:cs="Arial" w:eastAsia="Arial" w:hAnsi="Arial"/>
                <w:sz w:val="8"/>
                <w:szCs w:val="8"/>
                <w:b w:val="1"/>
                <w:bCs w:val="1"/>
                <w:color w:val="auto"/>
              </w:rPr>
              <w:t>GMNA</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Corporate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center"/>
              <w:ind w:right="93"/>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center"/>
              <w:ind w:right="93"/>
              <w:spacing w:after="0"/>
              <w:rPr>
                <w:sz w:val="20"/>
                <w:szCs w:val="20"/>
                <w:color w:val="auto"/>
              </w:rPr>
            </w:pPr>
            <w:r>
              <w:rPr>
                <w:rFonts w:ascii="Arial" w:cs="Arial" w:eastAsia="Arial" w:hAnsi="Arial"/>
                <w:sz w:val="8"/>
                <w:szCs w:val="8"/>
                <w:b w:val="1"/>
                <w:bCs w:val="1"/>
                <w:color w:val="auto"/>
              </w:rPr>
              <w:t>GM</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vMerge w:val="restart"/>
          </w:tcPr>
          <w:p>
            <w:pPr>
              <w:jc w:val="right"/>
              <w:ind w:right="212"/>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vMerge w:val="restart"/>
          </w:tcPr>
          <w:p>
            <w:pPr>
              <w:jc w:val="right"/>
              <w:ind w:right="27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8"/>
                <w:szCs w:val="8"/>
                <w:b w:val="1"/>
                <w:bCs w:val="1"/>
                <w:color w:val="auto"/>
              </w:rPr>
              <w:t>Financial</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20"/>
                <w:szCs w:val="20"/>
                <w:color w:val="auto"/>
              </w:rPr>
            </w:pPr>
            <w:r>
              <w:rPr>
                <w:rFonts w:ascii="Arial" w:cs="Arial" w:eastAsia="Arial" w:hAnsi="Arial"/>
                <w:sz w:val="8"/>
                <w:szCs w:val="8"/>
                <w:b w:val="1"/>
                <w:bCs w:val="1"/>
                <w:color w:val="auto"/>
              </w:rPr>
              <w:t>Six Months Ended June 30, 2023</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70,108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7,682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77,900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6,841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84,732</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4,274</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262</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4,544</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32</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16</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91</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4,683</w:t>
            </w: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2,959</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3,235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2,496</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5,746</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(loss)(a)(b)</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220</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vMerge w:val="restart"/>
          </w:tcPr>
          <w:p>
            <w:pPr>
              <w:jc w:val="right"/>
              <w:ind w:right="172"/>
              <w:spacing w:after="0"/>
              <w:rPr>
                <w:sz w:val="20"/>
                <w:szCs w:val="20"/>
                <w:color w:val="auto"/>
              </w:rPr>
            </w:pPr>
            <w:r>
              <w:rPr>
                <w:rFonts w:ascii="Arial" w:cs="Arial" w:eastAsia="Arial" w:hAnsi="Arial"/>
                <w:sz w:val="8"/>
                <w:szCs w:val="8"/>
                <w:b w:val="1"/>
                <w:bCs w:val="1"/>
                <w:color w:val="auto"/>
              </w:rPr>
              <w:t>GMNA</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GMI</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Corporate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93"/>
              <w:spacing w:after="0"/>
              <w:rPr>
                <w:sz w:val="20"/>
                <w:szCs w:val="20"/>
                <w:color w:val="auto"/>
              </w:rPr>
            </w:pPr>
            <w:r>
              <w:rPr>
                <w:rFonts w:ascii="Arial" w:cs="Arial" w:eastAsia="Arial" w:hAnsi="Arial"/>
                <w:sz w:val="8"/>
                <w:szCs w:val="8"/>
                <w:b w:val="1"/>
                <w:bCs w:val="1"/>
                <w:color w:val="auto"/>
              </w:rPr>
              <w:t>Total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vMerge w:val="restart"/>
          </w:tcPr>
          <w:p>
            <w:pPr>
              <w:jc w:val="right"/>
              <w:ind w:right="132"/>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center"/>
              <w:ind w:right="93"/>
              <w:spacing w:after="0"/>
              <w:rPr>
                <w:sz w:val="20"/>
                <w:szCs w:val="20"/>
                <w:color w:val="auto"/>
              </w:rPr>
            </w:pPr>
            <w:r>
              <w:rPr>
                <w:rFonts w:ascii="Arial" w:cs="Arial" w:eastAsia="Arial" w:hAnsi="Arial"/>
                <w:sz w:val="8"/>
                <w:szCs w:val="8"/>
                <w:b w:val="1"/>
                <w:bCs w:val="1"/>
                <w:color w:val="auto"/>
              </w:rPr>
              <w:t>GM</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vMerge w:val="restart"/>
          </w:tcPr>
          <w:p>
            <w:pPr>
              <w:jc w:val="right"/>
              <w:ind w:right="212"/>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vMerge w:val="restart"/>
          </w:tcPr>
          <w:p>
            <w:pPr>
              <w:jc w:val="right"/>
              <w:ind w:right="27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73"/>
              <w:spacing w:after="0"/>
              <w:rPr>
                <w:sz w:val="20"/>
                <w:szCs w:val="20"/>
                <w:color w:val="auto"/>
              </w:rPr>
            </w:pPr>
            <w:r>
              <w:rPr>
                <w:rFonts w:ascii="Arial" w:cs="Arial" w:eastAsia="Arial" w:hAnsi="Arial"/>
                <w:sz w:val="8"/>
                <w:szCs w:val="8"/>
                <w:b w:val="1"/>
                <w:bCs w:val="1"/>
                <w:color w:val="auto"/>
              </w:rPr>
              <w:t>Financial</w:t>
            </w: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20"/>
                <w:szCs w:val="20"/>
                <w:color w:val="auto"/>
              </w:rPr>
            </w:pPr>
            <w:r>
              <w:rPr>
                <w:rFonts w:ascii="Arial" w:cs="Arial" w:eastAsia="Arial" w:hAnsi="Arial"/>
                <w:sz w:val="8"/>
                <w:szCs w:val="8"/>
                <w:b w:val="1"/>
                <w:bCs w:val="1"/>
                <w:color w:val="auto"/>
              </w:rPr>
              <w:t>Six Months Ended June 30, 2022</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58,216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65,437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71,738</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3,415</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299</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3,717</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91</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18</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3,829</w:t>
            </w:r>
          </w:p>
        </w:tc>
        <w:tc>
          <w:tcPr>
            <w:tcW w:w="0" w:type="dxa"/>
            <w:vAlign w:val="bottom"/>
          </w:tcPr>
          <w:p>
            <w:pPr>
              <w:spacing w:after="0"/>
              <w:rPr>
                <w:sz w:val="1"/>
                <w:szCs w:val="1"/>
                <w:color w:val="auto"/>
              </w:rPr>
            </w:pPr>
          </w:p>
        </w:tc>
      </w:tr>
      <w:tr>
        <w:trPr>
          <w:trHeight w:val="13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2,980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11</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3,256</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2,454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5,735</w:t>
            </w:r>
          </w:p>
        </w:tc>
        <w:tc>
          <w:tcPr>
            <w:tcW w:w="0" w:type="dxa"/>
            <w:vAlign w:val="bottom"/>
          </w:tcPr>
          <w:p>
            <w:pPr>
              <w:spacing w:after="0"/>
              <w:rPr>
                <w:sz w:val="1"/>
                <w:szCs w:val="1"/>
                <w:color w:val="auto"/>
              </w:rPr>
            </w:pPr>
          </w:p>
        </w:tc>
      </w:tr>
      <w:tr>
        <w:trPr>
          <w:trHeight w:val="131"/>
        </w:trPr>
        <w:tc>
          <w:tcPr>
            <w:tcW w:w="2400" w:type="dxa"/>
            <w:vAlign w:val="bottom"/>
          </w:tcPr>
          <w:p>
            <w:pPr>
              <w:spacing w:after="0"/>
              <w:rPr>
                <w:sz w:val="20"/>
                <w:szCs w:val="20"/>
                <w:color w:val="auto"/>
              </w:rPr>
            </w:pPr>
            <w:r>
              <w:rPr>
                <w:rFonts w:ascii="Arial" w:cs="Arial" w:eastAsia="Arial" w:hAnsi="Arial"/>
                <w:sz w:val="10"/>
                <w:szCs w:val="10"/>
                <w:color w:val="auto"/>
              </w:rPr>
              <w:t>Impairment charges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11</w:t>
            </w:r>
          </w:p>
        </w:tc>
        <w:tc>
          <w:tcPr>
            <w:tcW w:w="3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11</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45"/>
        </w:trPr>
        <w:tc>
          <w:tcPr>
            <w:tcW w:w="2400" w:type="dxa"/>
            <w:vAlign w:val="bottom"/>
            <w:shd w:val="clear" w:color="auto" w:fill="CCEEFF"/>
          </w:tcPr>
          <w:p>
            <w:pPr>
              <w:spacing w:after="0"/>
              <w:rPr>
                <w:sz w:val="20"/>
                <w:szCs w:val="20"/>
                <w:color w:val="auto"/>
              </w:rPr>
            </w:pPr>
            <w:r>
              <w:rPr>
                <w:rFonts w:ascii="Arial" w:cs="Arial" w:eastAsia="Arial" w:hAnsi="Arial"/>
                <w:sz w:val="10"/>
                <w:szCs w:val="10"/>
                <w:color w:val="auto"/>
              </w:rPr>
              <w:t>Equity income (loss)(a)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1" w:lineRule="exact"/>
        <w:rPr>
          <w:sz w:val="20"/>
          <w:szCs w:val="20"/>
          <w:color w:val="auto"/>
        </w:rPr>
      </w:pPr>
    </w:p>
    <w:p>
      <w:pPr>
        <w:ind w:left="260" w:hanging="255"/>
        <w:spacing w:after="0"/>
        <w:tabs>
          <w:tab w:leader="none" w:pos="260" w:val="left"/>
        </w:tabs>
        <w:numPr>
          <w:ilvl w:val="0"/>
          <w:numId w:val="7"/>
        </w:numPr>
        <w:rPr>
          <w:rFonts w:ascii="Arial" w:cs="Arial" w:eastAsia="Arial" w:hAnsi="Arial"/>
          <w:sz w:val="8"/>
          <w:szCs w:val="8"/>
          <w:color w:val="auto"/>
        </w:rPr>
      </w:pPr>
      <w:r>
        <w:rPr>
          <w:rFonts w:ascii="Arial" w:cs="Arial" w:eastAsia="Arial" w:hAnsi="Arial"/>
          <w:sz w:val="10"/>
          <w:szCs w:val="10"/>
          <w:color w:val="auto"/>
        </w:rPr>
        <w:t>Includes Automotive China equity income of $78 million and $(87) million in the three months ended June 30, 2023 and 2022 and $161 million and $147 million in the six months ended June 30, 2023 and 2022.</w:t>
      </w:r>
    </w:p>
    <w:p>
      <w:pPr>
        <w:spacing w:after="0" w:line="1" w:lineRule="exact"/>
        <w:rPr>
          <w:rFonts w:ascii="Arial" w:cs="Arial" w:eastAsia="Arial" w:hAnsi="Arial"/>
          <w:sz w:val="8"/>
          <w:szCs w:val="8"/>
          <w:color w:val="auto"/>
        </w:rPr>
      </w:pPr>
    </w:p>
    <w:p>
      <w:pPr>
        <w:ind w:left="260" w:hanging="255"/>
        <w:spacing w:after="0" w:line="248" w:lineRule="auto"/>
        <w:tabs>
          <w:tab w:leader="none" w:pos="260" w:val="left"/>
        </w:tabs>
        <w:numPr>
          <w:ilvl w:val="0"/>
          <w:numId w:val="7"/>
        </w:numPr>
        <w:rPr>
          <w:rFonts w:ascii="Arial" w:cs="Arial" w:eastAsia="Arial" w:hAnsi="Arial"/>
          <w:sz w:val="8"/>
          <w:szCs w:val="8"/>
          <w:color w:val="auto"/>
        </w:rPr>
      </w:pPr>
      <w:r>
        <w:rPr>
          <w:rFonts w:ascii="Arial" w:cs="Arial" w:eastAsia="Arial" w:hAnsi="Arial"/>
          <w:sz w:val="10"/>
          <w:szCs w:val="10"/>
          <w:color w:val="auto"/>
        </w:rPr>
        <w:t>Equity earnings related to Ultium Cells Holdings LLC are presented in Automotive and other cost of sales as this entity is integral to the operations of our business by providing battery cells for our electric vehicles. In the three and six months ended June 30, 2023, equity earnings related to Ultium Cells Holdings LLC were insignificant.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98" w:lineRule="exact"/>
        <w:rPr>
          <w:sz w:val="20"/>
          <w:szCs w:val="20"/>
          <w:color w:val="auto"/>
        </w:rPr>
      </w:pPr>
    </w:p>
    <w:p>
      <w:pPr>
        <w:jc w:val="both"/>
        <w:ind w:firstLine="127"/>
        <w:spacing w:after="0" w:line="256"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six months ended June 30, 2023, 27.8% of GM's wholesale vehicle sales volume was generated outside the U.S. The following table summarizes wholesale vehicle sales by automotive segment (vehicles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8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auto"/>
            </w:tcBorders>
            <w:gridSpan w:val="4"/>
          </w:tcPr>
          <w:p>
            <w:pPr>
              <w:ind w:left="1140"/>
              <w:spacing w:after="0"/>
              <w:rPr>
                <w:sz w:val="20"/>
                <w:szCs w:val="20"/>
                <w:color w:val="auto"/>
              </w:rPr>
            </w:pPr>
            <w:r>
              <w:rPr>
                <w:rFonts w:ascii="Arial" w:cs="Arial" w:eastAsia="Arial" w:hAnsi="Arial"/>
                <w:sz w:val="10"/>
                <w:szCs w:val="10"/>
                <w:b w:val="1"/>
                <w:bCs w:val="1"/>
                <w:color w:val="auto"/>
                <w:w w:val="99"/>
              </w:rPr>
              <w:t>Six Months Ended</w:t>
            </w: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r>
        <w:trPr>
          <w:trHeight w:val="137"/>
        </w:trPr>
        <w:tc>
          <w:tcPr>
            <w:tcW w:w="48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w w:val="95"/>
              </w:rPr>
              <w:t>June 30, 2023</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June 30, 2022</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gridSpan w:val="2"/>
          </w:tcPr>
          <w:p>
            <w:pPr>
              <w:ind w:left="440"/>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June 30, 2022</w:t>
            </w:r>
          </w:p>
        </w:tc>
        <w:tc>
          <w:tcPr>
            <w:tcW w:w="100" w:type="dxa"/>
            <w:vAlign w:val="bottom"/>
            <w:tcBorders>
              <w:bottom w:val="single" w:sz="8" w:color="auto"/>
            </w:tcBorders>
          </w:tcPr>
          <w:p>
            <w:pPr>
              <w:spacing w:after="0"/>
              <w:rPr>
                <w:sz w:val="11"/>
                <w:szCs w:val="11"/>
                <w:color w:val="auto"/>
              </w:rPr>
            </w:pPr>
          </w:p>
        </w:tc>
      </w:tr>
      <w:tr>
        <w:trPr>
          <w:trHeight w:val="166"/>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1,556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4"/>
                <w:szCs w:val="14"/>
                <w:color w:val="auto"/>
              </w:rPr>
            </w:pPr>
          </w:p>
        </w:tc>
      </w:tr>
      <w:tr>
        <w:trPr>
          <w:trHeight w:val="16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0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r>
      <w:tr>
        <w:trPr>
          <w:trHeight w:val="18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auto"/>
              </w:rPr>
              <w:t>1,844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100" w:type="dxa"/>
            <w:vAlign w:val="bottom"/>
          </w:tcPr>
          <w:p>
            <w:pPr>
              <w:spacing w:after="0"/>
              <w:rPr>
                <w:sz w:val="15"/>
                <w:szCs w:val="15"/>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127"/>
        <w:spacing w:after="0" w:line="24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698"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industry and GM total vehicle sales and GM's related competitive position by geographic region (vehicles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283"/>
              <w:spacing w:after="0"/>
              <w:rPr>
                <w:sz w:val="20"/>
                <w:szCs w:val="20"/>
                <w:color w:val="auto"/>
              </w:rPr>
            </w:pPr>
            <w:r>
              <w:rPr>
                <w:rFonts w:ascii="Arial" w:cs="Arial" w:eastAsia="Arial" w:hAnsi="Arial"/>
                <w:sz w:val="11"/>
                <w:szCs w:val="11"/>
                <w:b w:val="1"/>
                <w:bCs w:val="1"/>
                <w:color w:val="auto"/>
              </w:rPr>
              <w:t>Six Months Ended</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June 30, 2023</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June 30, 2022</w:t>
            </w: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rPr>
              <w:t>June 30, 2023</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June 30, 2022</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b w:val="1"/>
                <w:bCs w:val="1"/>
                <w:color w:val="auto"/>
              </w:rPr>
              <w:t>Industry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80"/>
              <w:spacing w:after="0"/>
              <w:rPr>
                <w:sz w:val="20"/>
                <w:szCs w:val="20"/>
                <w:color w:val="auto"/>
              </w:rPr>
            </w:pPr>
            <w:r>
              <w:rPr>
                <w:rFonts w:ascii="Arial" w:cs="Arial" w:eastAsia="Arial" w:hAnsi="Arial"/>
                <w:sz w:val="11"/>
                <w:szCs w:val="11"/>
                <w:b w:val="1"/>
                <w:bCs w:val="1"/>
                <w:color w:val="auto"/>
              </w:rPr>
              <w:t>GM</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Market Share</w:t>
            </w:r>
          </w:p>
        </w:tc>
        <w:tc>
          <w:tcPr>
            <w:tcW w:w="80" w:type="dxa"/>
            <w:vAlign w:val="bottom"/>
          </w:tcPr>
          <w:p>
            <w:pPr>
              <w:spacing w:after="0"/>
              <w:rPr>
                <w:sz w:val="13"/>
                <w:szCs w:val="13"/>
                <w:color w:val="auto"/>
              </w:rPr>
            </w:pPr>
          </w:p>
        </w:tc>
        <w:tc>
          <w:tcPr>
            <w:tcW w:w="800" w:type="dxa"/>
            <w:vAlign w:val="bottom"/>
          </w:tcPr>
          <w:p>
            <w:pPr>
              <w:jc w:val="right"/>
              <w:ind w:right="103"/>
              <w:spacing w:after="0"/>
              <w:rPr>
                <w:sz w:val="20"/>
                <w:szCs w:val="20"/>
                <w:color w:val="auto"/>
              </w:rPr>
            </w:pPr>
            <w:r>
              <w:rPr>
                <w:rFonts w:ascii="Arial" w:cs="Arial" w:eastAsia="Arial" w:hAnsi="Arial"/>
                <w:sz w:val="11"/>
                <w:szCs w:val="11"/>
                <w:b w:val="1"/>
                <w:bCs w:val="1"/>
                <w:color w:val="auto"/>
              </w:rPr>
              <w:t>Industry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80"/>
              <w:spacing w:after="0"/>
              <w:rPr>
                <w:sz w:val="20"/>
                <w:szCs w:val="20"/>
                <w:color w:val="auto"/>
              </w:rPr>
            </w:pPr>
            <w:r>
              <w:rPr>
                <w:rFonts w:ascii="Arial" w:cs="Arial" w:eastAsia="Arial" w:hAnsi="Arial"/>
                <w:sz w:val="11"/>
                <w:szCs w:val="11"/>
                <w:b w:val="1"/>
                <w:bCs w:val="1"/>
                <w:color w:val="auto"/>
              </w:rPr>
              <w:t>GM</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Market Share</w:t>
            </w:r>
          </w:p>
        </w:tc>
        <w:tc>
          <w:tcPr>
            <w:tcW w:w="780" w:type="dxa"/>
            <w:vAlign w:val="bottom"/>
          </w:tcPr>
          <w:p>
            <w:pPr>
              <w:jc w:val="right"/>
              <w:ind w:right="103"/>
              <w:spacing w:after="0"/>
              <w:rPr>
                <w:sz w:val="20"/>
                <w:szCs w:val="20"/>
                <w:color w:val="auto"/>
              </w:rPr>
            </w:pPr>
            <w:r>
              <w:rPr>
                <w:rFonts w:ascii="Arial" w:cs="Arial" w:eastAsia="Arial" w:hAnsi="Arial"/>
                <w:sz w:val="11"/>
                <w:szCs w:val="11"/>
                <w:b w:val="1"/>
                <w:bCs w:val="1"/>
                <w:color w:val="auto"/>
              </w:rPr>
              <w:t>Industry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80"/>
              <w:spacing w:after="0"/>
              <w:rPr>
                <w:sz w:val="20"/>
                <w:szCs w:val="20"/>
                <w:color w:val="auto"/>
              </w:rPr>
            </w:pPr>
            <w:r>
              <w:rPr>
                <w:rFonts w:ascii="Arial" w:cs="Arial" w:eastAsia="Arial" w:hAnsi="Arial"/>
                <w:sz w:val="11"/>
                <w:szCs w:val="11"/>
                <w:b w:val="1"/>
                <w:bCs w:val="1"/>
                <w:color w:val="auto"/>
              </w:rPr>
              <w:t>GM</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Market Share</w:t>
            </w:r>
          </w:p>
        </w:tc>
        <w:tc>
          <w:tcPr>
            <w:tcW w:w="10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b w:val="1"/>
                <w:bCs w:val="1"/>
                <w:color w:val="auto"/>
              </w:rPr>
              <w:t>Industry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ind w:left="160"/>
              <w:spacing w:after="0"/>
              <w:rPr>
                <w:sz w:val="20"/>
                <w:szCs w:val="20"/>
                <w:color w:val="auto"/>
              </w:rPr>
            </w:pPr>
            <w:r>
              <w:rPr>
                <w:rFonts w:ascii="Arial" w:cs="Arial" w:eastAsia="Arial" w:hAnsi="Arial"/>
                <w:sz w:val="11"/>
                <w:szCs w:val="11"/>
                <w:b w:val="1"/>
                <w:bCs w:val="1"/>
                <w:color w:val="auto"/>
              </w:rPr>
              <w:t>GM</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Market Share</w:t>
            </w:r>
          </w:p>
        </w:tc>
        <w:tc>
          <w:tcPr>
            <w:tcW w:w="0" w:type="dxa"/>
            <w:vAlign w:val="bottom"/>
          </w:tcPr>
          <w:p>
            <w:pPr>
              <w:spacing w:after="0"/>
              <w:rPr>
                <w:sz w:val="1"/>
                <w:szCs w:val="1"/>
                <w:color w:val="auto"/>
              </w:rPr>
            </w:pPr>
          </w:p>
        </w:tc>
      </w:tr>
      <w:tr>
        <w:trPr>
          <w:trHeight w:val="139"/>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North America</w:t>
            </w: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United States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4,236</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692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3,605</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582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7,910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1,295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1,095</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0" w:type="dxa"/>
            <w:vAlign w:val="bottom"/>
          </w:tcPr>
          <w:p>
            <w:pPr>
              <w:spacing w:after="0"/>
              <w:rPr>
                <w:sz w:val="1"/>
                <w:szCs w:val="1"/>
                <w:color w:val="auto"/>
              </w:rPr>
            </w:pPr>
          </w:p>
        </w:tc>
      </w:tr>
      <w:tr>
        <w:trPr>
          <w:trHeight w:val="149"/>
        </w:trPr>
        <w:tc>
          <w:tcPr>
            <w:tcW w:w="1820" w:type="dxa"/>
            <w:vAlign w:val="bottom"/>
          </w:tcPr>
          <w:p>
            <w:pPr>
              <w:ind w:left="20"/>
              <w:spacing w:after="0"/>
              <w:rPr>
                <w:sz w:val="20"/>
                <w:szCs w:val="20"/>
                <w:color w:val="auto"/>
              </w:rPr>
            </w:pPr>
            <w:r>
              <w:rPr>
                <w:rFonts w:ascii="Arial" w:cs="Arial" w:eastAsia="Arial" w:hAnsi="Arial"/>
                <w:sz w:val="11"/>
                <w:szCs w:val="11"/>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922</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12.3 %</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809</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12.9 %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1,715</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12.6 %</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1,502</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12.8 %</w:t>
            </w:r>
          </w:p>
        </w:tc>
        <w:tc>
          <w:tcPr>
            <w:tcW w:w="0" w:type="dxa"/>
            <w:vAlign w:val="bottom"/>
          </w:tcPr>
          <w:p>
            <w:pPr>
              <w:spacing w:after="0"/>
              <w:rPr>
                <w:sz w:val="1"/>
                <w:szCs w:val="1"/>
                <w:color w:val="auto"/>
              </w:rPr>
            </w:pPr>
          </w:p>
        </w:tc>
      </w:tr>
      <w:tr>
        <w:trPr>
          <w:trHeight w:val="150"/>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North America</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5,158</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805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4,414</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687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9,625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1,512</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8,509</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1,288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15.1 %</w:t>
            </w:r>
          </w:p>
        </w:tc>
        <w:tc>
          <w:tcPr>
            <w:tcW w:w="0" w:type="dxa"/>
            <w:vAlign w:val="bottom"/>
          </w:tcPr>
          <w:p>
            <w:pPr>
              <w:spacing w:after="0"/>
              <w:rPr>
                <w:sz w:val="1"/>
                <w:szCs w:val="1"/>
                <w:color w:val="auto"/>
              </w:rPr>
            </w:pPr>
          </w:p>
        </w:tc>
      </w:tr>
      <w:tr>
        <w:trPr>
          <w:trHeight w:val="107"/>
        </w:trPr>
        <w:tc>
          <w:tcPr>
            <w:tcW w:w="1820" w:type="dxa"/>
            <w:vAlign w:val="bottom"/>
            <w:tcBorders>
              <w:top w:val="single" w:sz="8" w:color="CCEEFF"/>
            </w:tcBorders>
          </w:tcPr>
          <w:p>
            <w:pPr>
              <w:ind w:left="20"/>
              <w:spacing w:after="0" w:line="107" w:lineRule="exact"/>
              <w:rPr>
                <w:sz w:val="20"/>
                <w:szCs w:val="20"/>
                <w:color w:val="auto"/>
              </w:rPr>
            </w:pPr>
            <w:r>
              <w:rPr>
                <w:rFonts w:ascii="Arial" w:cs="Arial" w:eastAsia="Arial" w:hAnsi="Arial"/>
                <w:sz w:val="11"/>
                <w:szCs w:val="11"/>
                <w:b w:val="1"/>
                <w:bCs w:val="1"/>
                <w:color w:val="auto"/>
              </w:rPr>
              <w:t>Asia/Pacific, Middle East and</w:t>
            </w:r>
          </w:p>
        </w:tc>
        <w:tc>
          <w:tcPr>
            <w:tcW w:w="7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7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40"/>
              <w:spacing w:after="0"/>
              <w:rPr>
                <w:sz w:val="20"/>
                <w:szCs w:val="20"/>
                <w:color w:val="auto"/>
              </w:rPr>
            </w:pPr>
            <w:r>
              <w:rPr>
                <w:rFonts w:ascii="Arial" w:cs="Arial" w:eastAsia="Arial" w:hAnsi="Arial"/>
                <w:sz w:val="11"/>
                <w:szCs w:val="11"/>
                <w:b w:val="1"/>
                <w:bCs w:val="1"/>
                <w:color w:val="auto"/>
              </w:rPr>
              <w:t>Africa</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China(a)</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6,099</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526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5,107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484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10,852</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10.1 %</w:t>
            </w:r>
          </w:p>
        </w:tc>
        <w:tc>
          <w:tcPr>
            <w:tcW w:w="0" w:type="dxa"/>
            <w:vAlign w:val="bottom"/>
          </w:tcPr>
          <w:p>
            <w:pPr>
              <w:spacing w:after="0"/>
              <w:rPr>
                <w:sz w:val="1"/>
                <w:szCs w:val="1"/>
                <w:color w:val="auto"/>
              </w:rPr>
            </w:pPr>
          </w:p>
        </w:tc>
      </w:tr>
      <w:tr>
        <w:trPr>
          <w:trHeight w:val="159"/>
        </w:trPr>
        <w:tc>
          <w:tcPr>
            <w:tcW w:w="1820" w:type="dxa"/>
            <w:vAlign w:val="bottom"/>
          </w:tcPr>
          <w:p>
            <w:pPr>
              <w:ind w:left="20"/>
              <w:spacing w:after="0"/>
              <w:rPr>
                <w:sz w:val="20"/>
                <w:szCs w:val="20"/>
                <w:color w:val="auto"/>
              </w:rPr>
            </w:pPr>
            <w:r>
              <w:rPr>
                <w:rFonts w:ascii="Arial" w:cs="Arial" w:eastAsia="Arial" w:hAnsi="Arial"/>
                <w:sz w:val="11"/>
                <w:szCs w:val="11"/>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4,957</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2.9 %</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4,714</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10,494</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2.4 %</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9,974</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07"/>
        </w:trPr>
        <w:tc>
          <w:tcPr>
            <w:tcW w:w="182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color w:val="auto"/>
              </w:rPr>
              <w:t>Total Asia/Pacific, Middle East and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11,057</w:t>
            </w:r>
          </w:p>
        </w:tc>
        <w:tc>
          <w:tcPr>
            <w:tcW w:w="680" w:type="dxa"/>
            <w:vAlign w:val="bottom"/>
            <w:gridSpan w:val="3"/>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670</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6.1 %</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9,821</w:t>
            </w:r>
          </w:p>
        </w:tc>
        <w:tc>
          <w:tcPr>
            <w:tcW w:w="680" w:type="dxa"/>
            <w:vAlign w:val="bottom"/>
            <w:gridSpan w:val="3"/>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626</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6.4 %</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21,700</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1"/>
                <w:szCs w:val="11"/>
                <w:color w:val="auto"/>
              </w:rPr>
              <w:t>1,240</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5.7 %</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20,826</w:t>
            </w:r>
          </w:p>
        </w:tc>
        <w:tc>
          <w:tcPr>
            <w:tcW w:w="680" w:type="dxa"/>
            <w:vAlign w:val="bottom"/>
            <w:gridSpan w:val="3"/>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1,362</w:t>
            </w:r>
          </w:p>
        </w:tc>
        <w:tc>
          <w:tcPr>
            <w:tcW w:w="1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6.5 %</w:t>
            </w:r>
          </w:p>
        </w:tc>
        <w:tc>
          <w:tcPr>
            <w:tcW w:w="0" w:type="dxa"/>
            <w:vAlign w:val="bottom"/>
          </w:tcPr>
          <w:p>
            <w:pPr>
              <w:spacing w:after="0"/>
              <w:rPr>
                <w:sz w:val="1"/>
                <w:szCs w:val="1"/>
                <w:color w:val="auto"/>
              </w:rPr>
            </w:pPr>
          </w:p>
        </w:tc>
      </w:tr>
      <w:tr>
        <w:trPr>
          <w:trHeight w:val="138"/>
        </w:trPr>
        <w:tc>
          <w:tcPr>
            <w:tcW w:w="182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Africa</w:t>
            </w:r>
          </w:p>
        </w:tc>
        <w:tc>
          <w:tcPr>
            <w:tcW w:w="780" w:type="dxa"/>
            <w:vAlign w:val="bottom"/>
            <w:vMerge w:val="continue"/>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66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80" w:type="dxa"/>
            <w:vAlign w:val="bottom"/>
            <w:gridSpan w:val="3"/>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20" w:type="dxa"/>
            <w:vAlign w:val="bottom"/>
            <w:tcBorders>
              <w:top w:val="single" w:sz="8" w:color="CCEEFF"/>
            </w:tcBorders>
          </w:tcPr>
          <w:p>
            <w:pPr>
              <w:ind w:left="20"/>
              <w:spacing w:after="0"/>
              <w:rPr>
                <w:sz w:val="20"/>
                <w:szCs w:val="20"/>
                <w:color w:val="auto"/>
              </w:rPr>
            </w:pPr>
            <w:r>
              <w:rPr>
                <w:rFonts w:ascii="Arial" w:cs="Arial" w:eastAsia="Arial" w:hAnsi="Arial"/>
                <w:sz w:val="11"/>
                <w:szCs w:val="11"/>
                <w:b w:val="1"/>
                <w:bCs w:val="1"/>
                <w:color w:val="auto"/>
              </w:rPr>
              <w:t>South America</w:t>
            </w:r>
          </w:p>
        </w:tc>
        <w:tc>
          <w:tcPr>
            <w:tcW w:w="7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Brazil</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512</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917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116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12.6 %</w:t>
            </w:r>
          </w:p>
        </w:tc>
        <w:tc>
          <w:tcPr>
            <w:tcW w:w="0" w:type="dxa"/>
            <w:vAlign w:val="bottom"/>
          </w:tcPr>
          <w:p>
            <w:pPr>
              <w:spacing w:after="0"/>
              <w:rPr>
                <w:sz w:val="1"/>
                <w:szCs w:val="1"/>
                <w:color w:val="auto"/>
              </w:rPr>
            </w:pPr>
          </w:p>
        </w:tc>
      </w:tr>
      <w:tr>
        <w:trPr>
          <w:trHeight w:val="159"/>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8.9 %</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10.6 %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9.0 %</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785</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10.4 %</w:t>
            </w:r>
          </w:p>
        </w:tc>
        <w:tc>
          <w:tcPr>
            <w:tcW w:w="0" w:type="dxa"/>
            <w:vAlign w:val="bottom"/>
          </w:tcPr>
          <w:p>
            <w:pPr>
              <w:spacing w:after="0"/>
              <w:rPr>
                <w:sz w:val="1"/>
                <w:szCs w:val="1"/>
                <w:color w:val="auto"/>
              </w:rPr>
            </w:pPr>
          </w:p>
        </w:tc>
      </w:tr>
      <w:tr>
        <w:trPr>
          <w:trHeight w:val="150"/>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South America</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869</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12.5 %</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907</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1,723</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12.4 %</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1,702</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197</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11.6 %</w:t>
            </w:r>
          </w:p>
        </w:tc>
        <w:tc>
          <w:tcPr>
            <w:tcW w:w="0" w:type="dxa"/>
            <w:vAlign w:val="bottom"/>
          </w:tcPr>
          <w:p>
            <w:pPr>
              <w:spacing w:after="0"/>
              <w:rPr>
                <w:sz w:val="1"/>
                <w:szCs w:val="1"/>
                <w:color w:val="auto"/>
              </w:rPr>
            </w:pPr>
          </w:p>
        </w:tc>
      </w:tr>
      <w:tr>
        <w:trPr>
          <w:trHeight w:val="139"/>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Total in GM markets</w:t>
            </w:r>
          </w:p>
        </w:tc>
        <w:tc>
          <w:tcPr>
            <w:tcW w:w="780" w:type="dxa"/>
            <w:vAlign w:val="bottom"/>
          </w:tcPr>
          <w:p>
            <w:pPr>
              <w:jc w:val="right"/>
              <w:spacing w:after="0"/>
              <w:rPr>
                <w:sz w:val="20"/>
                <w:szCs w:val="20"/>
                <w:color w:val="auto"/>
              </w:rPr>
            </w:pPr>
            <w:r>
              <w:rPr>
                <w:rFonts w:ascii="Arial" w:cs="Arial" w:eastAsia="Arial" w:hAnsi="Arial"/>
                <w:sz w:val="11"/>
                <w:szCs w:val="11"/>
                <w:color w:val="auto"/>
              </w:rPr>
              <w:t>17,083</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1,584</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9.3 %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15,142</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1,420</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9.4 %</w:t>
            </w:r>
          </w:p>
        </w:tc>
        <w:tc>
          <w:tcPr>
            <w:tcW w:w="780" w:type="dxa"/>
            <w:vAlign w:val="bottom"/>
          </w:tcPr>
          <w:p>
            <w:pPr>
              <w:jc w:val="right"/>
              <w:spacing w:after="0"/>
              <w:rPr>
                <w:sz w:val="20"/>
                <w:szCs w:val="20"/>
                <w:color w:val="auto"/>
              </w:rPr>
            </w:pPr>
            <w:r>
              <w:rPr>
                <w:rFonts w:ascii="Arial" w:cs="Arial" w:eastAsia="Arial" w:hAnsi="Arial"/>
                <w:sz w:val="11"/>
                <w:szCs w:val="11"/>
                <w:color w:val="auto"/>
              </w:rPr>
              <w:t>33,048</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2,966</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9.0 %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31,037</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2,847</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9.2 %</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Europe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4,238</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3,595</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8,326</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7,056</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50"/>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Total Worldwide(b)(c)</w:t>
            </w:r>
          </w:p>
        </w:tc>
        <w:tc>
          <w:tcPr>
            <w:tcW w:w="780" w:type="dxa"/>
            <w:vAlign w:val="bottom"/>
          </w:tcPr>
          <w:p>
            <w:pPr>
              <w:jc w:val="right"/>
              <w:spacing w:after="0"/>
              <w:rPr>
                <w:sz w:val="20"/>
                <w:szCs w:val="20"/>
                <w:color w:val="auto"/>
              </w:rPr>
            </w:pPr>
            <w:r>
              <w:rPr>
                <w:rFonts w:ascii="Arial" w:cs="Arial" w:eastAsia="Arial" w:hAnsi="Arial"/>
                <w:sz w:val="11"/>
                <w:szCs w:val="11"/>
                <w:color w:val="auto"/>
              </w:rPr>
              <w:t>21,322</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1,584</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7.4 %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18,736</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1,421</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7.6 %</w:t>
            </w:r>
          </w:p>
        </w:tc>
        <w:tc>
          <w:tcPr>
            <w:tcW w:w="780" w:type="dxa"/>
            <w:vAlign w:val="bottom"/>
          </w:tcPr>
          <w:p>
            <w:pPr>
              <w:jc w:val="right"/>
              <w:spacing w:after="0"/>
              <w:rPr>
                <w:sz w:val="20"/>
                <w:szCs w:val="20"/>
                <w:color w:val="auto"/>
              </w:rPr>
            </w:pPr>
            <w:r>
              <w:rPr>
                <w:rFonts w:ascii="Arial" w:cs="Arial" w:eastAsia="Arial" w:hAnsi="Arial"/>
                <w:sz w:val="11"/>
                <w:szCs w:val="11"/>
                <w:color w:val="auto"/>
              </w:rPr>
              <w:t>41,374</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2,967</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7.2 %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38,093</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2,848</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7.5 %</w:t>
            </w:r>
          </w:p>
        </w:tc>
        <w:tc>
          <w:tcPr>
            <w:tcW w:w="0" w:type="dxa"/>
            <w:vAlign w:val="bottom"/>
          </w:tcPr>
          <w:p>
            <w:pPr>
              <w:spacing w:after="0"/>
              <w:rPr>
                <w:sz w:val="1"/>
                <w:szCs w:val="1"/>
                <w:color w:val="auto"/>
              </w:rPr>
            </w:pPr>
          </w:p>
        </w:tc>
      </w:tr>
      <w:tr>
        <w:trPr>
          <w:trHeight w:val="20"/>
        </w:trPr>
        <w:tc>
          <w:tcPr>
            <w:tcW w:w="18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82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b w:val="1"/>
                <w:bCs w:val="1"/>
                <w:color w:val="auto"/>
              </w:rPr>
              <w:t>United States</w:t>
            </w: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20" w:type="dxa"/>
            <w:vAlign w:val="bottom"/>
          </w:tcPr>
          <w:p>
            <w:pPr>
              <w:ind w:left="20"/>
              <w:spacing w:after="0"/>
              <w:rPr>
                <w:sz w:val="20"/>
                <w:szCs w:val="20"/>
                <w:color w:val="auto"/>
              </w:rPr>
            </w:pPr>
            <w:r>
              <w:rPr>
                <w:rFonts w:ascii="Arial" w:cs="Arial" w:eastAsia="Arial" w:hAnsi="Arial"/>
                <w:sz w:val="11"/>
                <w:szCs w:val="11"/>
                <w:color w:val="auto"/>
              </w:rPr>
              <w:t>Cars</w:t>
            </w:r>
          </w:p>
        </w:tc>
        <w:tc>
          <w:tcPr>
            <w:tcW w:w="780" w:type="dxa"/>
            <w:vAlign w:val="bottom"/>
          </w:tcPr>
          <w:p>
            <w:pPr>
              <w:jc w:val="right"/>
              <w:spacing w:after="0"/>
              <w:rPr>
                <w:sz w:val="20"/>
                <w:szCs w:val="20"/>
                <w:color w:val="auto"/>
              </w:rPr>
            </w:pPr>
            <w:r>
              <w:rPr>
                <w:rFonts w:ascii="Arial" w:cs="Arial" w:eastAsia="Arial" w:hAnsi="Arial"/>
                <w:sz w:val="11"/>
                <w:szCs w:val="11"/>
                <w:color w:val="auto"/>
              </w:rPr>
              <w:t>843</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8.0 %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737</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7.6 %</w:t>
            </w:r>
          </w:p>
        </w:tc>
        <w:tc>
          <w:tcPr>
            <w:tcW w:w="780" w:type="dxa"/>
            <w:vAlign w:val="bottom"/>
          </w:tcPr>
          <w:p>
            <w:pPr>
              <w:jc w:val="right"/>
              <w:spacing w:after="0"/>
              <w:rPr>
                <w:sz w:val="20"/>
                <w:szCs w:val="20"/>
                <w:color w:val="auto"/>
              </w:rPr>
            </w:pPr>
            <w:r>
              <w:rPr>
                <w:rFonts w:ascii="Arial" w:cs="Arial" w:eastAsia="Arial" w:hAnsi="Arial"/>
                <w:sz w:val="11"/>
                <w:szCs w:val="11"/>
                <w:color w:val="auto"/>
              </w:rPr>
              <w:t>1,549</w:t>
            </w:r>
          </w:p>
        </w:tc>
        <w:tc>
          <w:tcPr>
            <w:tcW w:w="660" w:type="dxa"/>
            <w:vAlign w:val="bottom"/>
            <w:gridSpan w:val="3"/>
          </w:tcPr>
          <w:p>
            <w:pPr>
              <w:jc w:val="right"/>
              <w:spacing w:after="0"/>
              <w:rPr>
                <w:sz w:val="20"/>
                <w:szCs w:val="20"/>
                <w:color w:val="auto"/>
              </w:rPr>
            </w:pPr>
            <w:r>
              <w:rPr>
                <w:rFonts w:ascii="Arial" w:cs="Arial" w:eastAsia="Arial" w:hAnsi="Arial"/>
                <w:sz w:val="11"/>
                <w:szCs w:val="11"/>
                <w:color w:val="auto"/>
              </w:rPr>
              <w:t>128</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8.3 %</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1,409</w:t>
            </w:r>
          </w:p>
        </w:tc>
        <w:tc>
          <w:tcPr>
            <w:tcW w:w="680" w:type="dxa"/>
            <w:vAlign w:val="bottom"/>
            <w:gridSpan w:val="3"/>
          </w:tcPr>
          <w:p>
            <w:pPr>
              <w:jc w:val="right"/>
              <w:ind w:right="3"/>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7.3 %</w:t>
            </w: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Trucks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342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983</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313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639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1,887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600</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31.8 %</w:t>
            </w:r>
          </w:p>
        </w:tc>
        <w:tc>
          <w:tcPr>
            <w:tcW w:w="0" w:type="dxa"/>
            <w:vAlign w:val="bottom"/>
          </w:tcPr>
          <w:p>
            <w:pPr>
              <w:spacing w:after="0"/>
              <w:rPr>
                <w:sz w:val="1"/>
                <w:szCs w:val="1"/>
                <w:color w:val="auto"/>
              </w:rPr>
            </w:pPr>
          </w:p>
        </w:tc>
      </w:tr>
      <w:tr>
        <w:trPr>
          <w:trHeight w:val="149"/>
        </w:trPr>
        <w:tc>
          <w:tcPr>
            <w:tcW w:w="1820" w:type="dxa"/>
            <w:vAlign w:val="bottom"/>
          </w:tcPr>
          <w:p>
            <w:pPr>
              <w:ind w:left="20"/>
              <w:spacing w:after="0"/>
              <w:rPr>
                <w:sz w:val="20"/>
                <w:szCs w:val="20"/>
                <w:color w:val="auto"/>
              </w:rPr>
            </w:pPr>
            <w:r>
              <w:rPr>
                <w:rFonts w:ascii="Arial" w:cs="Arial" w:eastAsia="Arial" w:hAnsi="Arial"/>
                <w:sz w:val="11"/>
                <w:szCs w:val="11"/>
                <w:color w:val="auto"/>
              </w:rPr>
              <w:t>Crossovers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2,255</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283</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12.5 %</w:t>
            </w: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1,884</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213</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11.3 %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4,228</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12.5 %</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3,711</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392</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10.6 %</w:t>
            </w:r>
          </w:p>
        </w:tc>
        <w:tc>
          <w:tcPr>
            <w:tcW w:w="0" w:type="dxa"/>
            <w:vAlign w:val="bottom"/>
          </w:tcPr>
          <w:p>
            <w:pPr>
              <w:spacing w:after="0"/>
              <w:rPr>
                <w:sz w:val="1"/>
                <w:szCs w:val="1"/>
                <w:color w:val="auto"/>
              </w:rPr>
            </w:pPr>
          </w:p>
        </w:tc>
      </w:tr>
      <w:tr>
        <w:trPr>
          <w:trHeight w:val="170"/>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United States</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4,236</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692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3,605</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582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7,910</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1,295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7,007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1,095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China(a)</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8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SGMS</w:t>
            </w:r>
          </w:p>
        </w:tc>
        <w:tc>
          <w:tcPr>
            <w:tcW w:w="7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240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205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413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468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SGMW</w:t>
            </w:r>
          </w:p>
        </w:tc>
        <w:tc>
          <w:tcPr>
            <w:tcW w:w="7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gridSpan w:val="2"/>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286</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gridSpan w:val="2"/>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279</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gridSpan w:val="2"/>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576</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gridSpan w:val="2"/>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629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China</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6,099</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526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5,107</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484</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9.5 %</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10,852</w:t>
            </w:r>
          </w:p>
        </w:tc>
        <w:tc>
          <w:tcPr>
            <w:tcW w:w="68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1,097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12" w:lineRule="exact"/>
        <w:rPr>
          <w:sz w:val="20"/>
          <w:szCs w:val="20"/>
          <w:color w:val="auto"/>
        </w:rPr>
      </w:pP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sales by the Automotive China JVs: SAIC General Motors Sales Co., Ltd. (SGMS) and SAIC GM Wuling Automobile Co., Ltd. (SGMW).</w:t>
      </w:r>
    </w:p>
    <w:p>
      <w:pPr>
        <w:spacing w:after="0" w:line="8" w:lineRule="exact"/>
        <w:rPr>
          <w:rFonts w:ascii="Arial" w:cs="Arial" w:eastAsia="Arial" w:hAnsi="Arial"/>
          <w:sz w:val="11"/>
          <w:szCs w:val="11"/>
          <w:color w:val="auto"/>
        </w:rPr>
      </w:pP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Cuba, Iran, North Korea, Sudan and Syria are subject to broad economic sanctions. Accordingly, these countries are excluded from industry sales data and corresponding calculation of market share.</w:t>
      </w:r>
    </w:p>
    <w:p>
      <w:pPr>
        <w:spacing w:after="0" w:line="9" w:lineRule="exact"/>
        <w:rPr>
          <w:rFonts w:ascii="Arial" w:cs="Arial" w:eastAsia="Arial" w:hAnsi="Arial"/>
          <w:sz w:val="11"/>
          <w:szCs w:val="11"/>
          <w:color w:val="auto"/>
        </w:rPr>
      </w:pP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As of March 2022, GM is no longer importing vehicles or parts to Russia, Belarus and certain sanctioned provinces in Ukraine.</w:t>
      </w:r>
    </w:p>
    <w:p>
      <w:pPr>
        <w:spacing w:after="0" w:line="194" w:lineRule="exact"/>
        <w:rPr>
          <w:sz w:val="20"/>
          <w:szCs w:val="20"/>
          <w:color w:val="auto"/>
        </w:rPr>
      </w:pPr>
    </w:p>
    <w:p>
      <w:pPr>
        <w:ind w:firstLine="127"/>
        <w:spacing w:after="0" w:line="257" w:lineRule="auto"/>
        <w:rPr>
          <w:sz w:val="20"/>
          <w:szCs w:val="20"/>
          <w:color w:val="auto"/>
        </w:rPr>
      </w:pPr>
      <w:r>
        <w:rPr>
          <w:rFonts w:ascii="Arial" w:cs="Arial" w:eastAsia="Arial" w:hAnsi="Arial"/>
          <w:sz w:val="13"/>
          <w:szCs w:val="13"/>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040" w:type="dxa"/>
            <w:vAlign w:val="bottom"/>
          </w:tcPr>
          <w:p>
            <w:pPr>
              <w:spacing w:after="0"/>
              <w:rPr>
                <w:sz w:val="12"/>
                <w:szCs w:val="12"/>
                <w:color w:val="auto"/>
              </w:rPr>
            </w:pPr>
          </w:p>
        </w:tc>
        <w:tc>
          <w:tcPr>
            <w:tcW w:w="3080" w:type="dxa"/>
            <w:vAlign w:val="bottom"/>
            <w:tcBorders>
              <w:bottom w:val="single" w:sz="8" w:color="auto"/>
            </w:tcBorders>
            <w:gridSpan w:val="3"/>
          </w:tcPr>
          <w:p>
            <w:pPr>
              <w:jc w:val="right"/>
              <w:ind w:right="1003"/>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2"/>
                <w:szCs w:val="12"/>
                <w:color w:val="auto"/>
              </w:rPr>
            </w:pPr>
          </w:p>
        </w:tc>
        <w:tc>
          <w:tcPr>
            <w:tcW w:w="2000" w:type="dxa"/>
            <w:vAlign w:val="bottom"/>
            <w:tcBorders>
              <w:bottom w:val="single" w:sz="8" w:color="auto"/>
            </w:tcBorders>
            <w:gridSpan w:val="3"/>
          </w:tcPr>
          <w:p>
            <w:pPr>
              <w:ind w:left="1120"/>
              <w:spacing w:after="0"/>
              <w:rPr>
                <w:sz w:val="20"/>
                <w:szCs w:val="20"/>
                <w:color w:val="auto"/>
              </w:rPr>
            </w:pPr>
            <w:r>
              <w:rPr>
                <w:rFonts w:ascii="Arial" w:cs="Arial" w:eastAsia="Arial" w:hAnsi="Arial"/>
                <w:sz w:val="10"/>
                <w:szCs w:val="10"/>
                <w:b w:val="1"/>
                <w:bCs w:val="1"/>
                <w:color w:val="auto"/>
                <w:w w:val="99"/>
              </w:rPr>
              <w:t>Six Months Ended</w:t>
            </w:r>
          </w:p>
        </w:tc>
        <w:tc>
          <w:tcPr>
            <w:tcW w:w="1080" w:type="dxa"/>
            <w:vAlign w:val="bottom"/>
            <w:tcBorders>
              <w:bottom w:val="single" w:sz="8" w:color="auto"/>
            </w:tcBorders>
          </w:tcPr>
          <w:p>
            <w:pPr>
              <w:spacing w:after="0"/>
              <w:rPr>
                <w:sz w:val="12"/>
                <w:szCs w:val="12"/>
                <w:color w:val="auto"/>
              </w:rPr>
            </w:pPr>
          </w:p>
        </w:tc>
      </w:tr>
      <w:tr>
        <w:trPr>
          <w:trHeight w:val="132"/>
        </w:trPr>
        <w:tc>
          <w:tcPr>
            <w:tcW w:w="5040" w:type="dxa"/>
            <w:vAlign w:val="bottom"/>
          </w:tcPr>
          <w:p>
            <w:pPr>
              <w:spacing w:after="0"/>
              <w:rPr>
                <w:sz w:val="11"/>
                <w:szCs w:val="11"/>
                <w:color w:val="auto"/>
              </w:rPr>
            </w:pP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Pr>
          <w:p>
            <w:pPr>
              <w:spacing w:after="0"/>
              <w:rPr>
                <w:sz w:val="11"/>
                <w:szCs w:val="11"/>
                <w:color w:val="auto"/>
              </w:rPr>
            </w:pPr>
          </w:p>
        </w:tc>
        <w:tc>
          <w:tcPr>
            <w:tcW w:w="150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June 30, 2022</w:t>
            </w:r>
          </w:p>
        </w:tc>
        <w:tc>
          <w:tcPr>
            <w:tcW w:w="80" w:type="dxa"/>
            <w:vAlign w:val="bottom"/>
          </w:tcPr>
          <w:p>
            <w:pPr>
              <w:spacing w:after="0"/>
              <w:rPr>
                <w:sz w:val="11"/>
                <w:szCs w:val="11"/>
                <w:color w:val="auto"/>
              </w:rPr>
            </w:pPr>
          </w:p>
        </w:tc>
        <w:tc>
          <w:tcPr>
            <w:tcW w:w="150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June 30, 2023</w:t>
            </w: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w w:val="98"/>
              </w:rPr>
              <w:t>June 30, 2022</w:t>
            </w:r>
          </w:p>
        </w:tc>
      </w:tr>
      <w:tr>
        <w:trPr>
          <w:trHeight w:val="161"/>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GMNA</w:t>
            </w:r>
          </w:p>
        </w:tc>
        <w:tc>
          <w:tcPr>
            <w:tcW w:w="148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196</w:t>
            </w:r>
          </w:p>
        </w:tc>
        <w:tc>
          <w:tcPr>
            <w:tcW w:w="1600" w:type="dxa"/>
            <w:vAlign w:val="bottom"/>
            <w:gridSpan w:val="2"/>
            <w:shd w:val="clear" w:color="auto" w:fill="CCEEFF"/>
          </w:tcPr>
          <w:p>
            <w:pPr>
              <w:jc w:val="right"/>
              <w:ind w:right="123"/>
              <w:spacing w:after="0"/>
              <w:rPr>
                <w:sz w:val="20"/>
                <w:szCs w:val="20"/>
                <w:color w:val="auto"/>
              </w:rPr>
            </w:pPr>
            <w:r>
              <w:rPr>
                <w:rFonts w:ascii="Arial" w:cs="Arial" w:eastAsia="Arial" w:hAnsi="Arial"/>
                <w:sz w:val="13"/>
                <w:szCs w:val="13"/>
                <w:color w:val="auto"/>
              </w:rPr>
              <w:t>148</w:t>
            </w:r>
          </w:p>
        </w:tc>
        <w:tc>
          <w:tcPr>
            <w:tcW w:w="158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290</w:t>
            </w:r>
          </w:p>
        </w:tc>
      </w:tr>
      <w:tr>
        <w:trPr>
          <w:trHeight w:val="170"/>
        </w:trPr>
        <w:tc>
          <w:tcPr>
            <w:tcW w:w="5040" w:type="dxa"/>
            <w:vAlign w:val="bottom"/>
          </w:tcPr>
          <w:p>
            <w:pPr>
              <w:ind w:left="20"/>
              <w:spacing w:after="0"/>
              <w:rPr>
                <w:sz w:val="20"/>
                <w:szCs w:val="20"/>
                <w:color w:val="auto"/>
              </w:rPr>
            </w:pPr>
            <w:r>
              <w:rPr>
                <w:rFonts w:ascii="Arial" w:cs="Arial" w:eastAsia="Arial" w:hAnsi="Arial"/>
                <w:sz w:val="11"/>
                <w:szCs w:val="11"/>
                <w:color w:val="auto"/>
              </w:rPr>
              <w:t>GMI</w:t>
            </w: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color w:val="auto"/>
              </w:rPr>
              <w:t>91</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162</w:t>
            </w:r>
          </w:p>
        </w:tc>
      </w:tr>
      <w:tr>
        <w:trPr>
          <w:trHeight w:val="180"/>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fleet sales</w:t>
            </w:r>
          </w:p>
        </w:tc>
        <w:tc>
          <w:tcPr>
            <w:tcW w:w="148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314</w:t>
            </w:r>
          </w:p>
        </w:tc>
        <w:tc>
          <w:tcPr>
            <w:tcW w:w="1600" w:type="dxa"/>
            <w:vAlign w:val="bottom"/>
            <w:gridSpan w:val="2"/>
            <w:shd w:val="clear" w:color="auto" w:fill="CCEEFF"/>
          </w:tcPr>
          <w:p>
            <w:pPr>
              <w:jc w:val="right"/>
              <w:ind w:right="123"/>
              <w:spacing w:after="0"/>
              <w:rPr>
                <w:sz w:val="20"/>
                <w:szCs w:val="20"/>
                <w:color w:val="auto"/>
              </w:rPr>
            </w:pPr>
            <w:r>
              <w:rPr>
                <w:rFonts w:ascii="Arial" w:cs="Arial" w:eastAsia="Arial" w:hAnsi="Arial"/>
                <w:sz w:val="13"/>
                <w:szCs w:val="13"/>
                <w:color w:val="auto"/>
              </w:rPr>
              <w:t>239</w:t>
            </w:r>
          </w:p>
        </w:tc>
        <w:tc>
          <w:tcPr>
            <w:tcW w:w="158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452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Fleet sales as a percentage of total vehicle sales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19.6 %</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r>
      <w:tr>
        <w:trPr>
          <w:trHeight w:val="95"/>
        </w:trPr>
        <w:tc>
          <w:tcPr>
            <w:tcW w:w="50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5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70"/>
        </w:trPr>
        <w:tc>
          <w:tcPr>
            <w:tcW w:w="50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North America capacity two-shift utilization</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96.7 %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99.3 %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96.4 %</w:t>
            </w:r>
          </w:p>
        </w:tc>
      </w:tr>
      <w:tr>
        <w:trPr>
          <w:trHeight w:val="706"/>
        </w:trPr>
        <w:tc>
          <w:tcPr>
            <w:tcW w:w="5040" w:type="dxa"/>
            <w:vAlign w:val="bottom"/>
          </w:tcPr>
          <w:p>
            <w:pPr>
              <w:spacing w:after="0"/>
              <w:rPr>
                <w:sz w:val="24"/>
                <w:szCs w:val="24"/>
                <w:color w:val="auto"/>
              </w:rPr>
            </w:pPr>
          </w:p>
        </w:tc>
        <w:tc>
          <w:tcPr>
            <w:tcW w:w="1480" w:type="dxa"/>
            <w:vAlign w:val="bottom"/>
          </w:tcPr>
          <w:p>
            <w:pPr>
              <w:jc w:val="right"/>
              <w:ind w:right="52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6" w:name="page17"/>
    <w:bookmarkEnd w:id="16"/>
    <w:p>
      <w:pPr>
        <w:ind w:left="43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21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5"/>
          </w:tcPr>
          <w:p>
            <w:pPr>
              <w:ind w:left="80"/>
              <w:spacing w:after="0"/>
              <w:rPr>
                <w:sz w:val="20"/>
                <w:szCs w:val="20"/>
                <w:color w:val="auto"/>
              </w:rPr>
            </w:pPr>
            <w:r>
              <w:rPr>
                <w:rFonts w:ascii="Arial" w:cs="Arial" w:eastAsia="Arial" w:hAnsi="Arial"/>
                <w:sz w:val="8"/>
                <w:szCs w:val="8"/>
                <w:b w:val="1"/>
                <w:bCs w:val="1"/>
                <w:color w:val="auto"/>
              </w:rPr>
              <w:t>Three Months Ended June 30, 2023</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5"/>
          </w:tcPr>
          <w:p>
            <w:pPr>
              <w:ind w:left="100"/>
              <w:spacing w:after="0"/>
              <w:rPr>
                <w:sz w:val="20"/>
                <w:szCs w:val="20"/>
                <w:color w:val="auto"/>
              </w:rPr>
            </w:pPr>
            <w:r>
              <w:rPr>
                <w:rFonts w:ascii="Arial" w:cs="Arial" w:eastAsia="Arial" w:hAnsi="Arial"/>
                <w:sz w:val="8"/>
                <w:szCs w:val="8"/>
                <w:b w:val="1"/>
                <w:bCs w:val="1"/>
                <w:color w:val="auto"/>
              </w:rPr>
              <w:t>Three Months Ended June 30, 2022</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r>
      <w:tr>
        <w:trPr>
          <w:trHeight w:val="115"/>
        </w:trPr>
        <w:tc>
          <w:tcPr>
            <w:tcW w:w="2160" w:type="dxa"/>
            <w:vAlign w:val="bottom"/>
          </w:tcPr>
          <w:p>
            <w:pPr>
              <w:spacing w:after="0"/>
              <w:rPr>
                <w:sz w:val="9"/>
                <w:szCs w:val="9"/>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8"/>
                <w:szCs w:val="8"/>
                <w:b w:val="1"/>
                <w:bCs w:val="1"/>
                <w:color w:val="auto"/>
              </w:rPr>
              <w:t>Automotive</w:t>
            </w:r>
          </w:p>
        </w:tc>
        <w:tc>
          <w:tcPr>
            <w:tcW w:w="80" w:type="dxa"/>
            <w:vAlign w:val="bottom"/>
          </w:tcPr>
          <w:p>
            <w:pPr>
              <w:spacing w:after="0"/>
              <w:rPr>
                <w:sz w:val="9"/>
                <w:szCs w:val="9"/>
                <w:color w:val="auto"/>
              </w:rPr>
            </w:pP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8"/>
                <w:szCs w:val="8"/>
                <w:b w:val="1"/>
                <w:bCs w:val="1"/>
                <w:color w:val="auto"/>
              </w:rPr>
              <w:t>Cruise</w:t>
            </w:r>
          </w:p>
        </w:tc>
        <w:tc>
          <w:tcPr>
            <w:tcW w:w="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GM Financial</w:t>
            </w:r>
          </w:p>
        </w:tc>
        <w:tc>
          <w:tcPr>
            <w:tcW w:w="80" w:type="dxa"/>
            <w:vAlign w:val="bottom"/>
          </w:tcPr>
          <w:p>
            <w:pPr>
              <w:spacing w:after="0"/>
              <w:rPr>
                <w:sz w:val="9"/>
                <w:szCs w:val="9"/>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80" w:type="dxa"/>
            <w:vAlign w:val="bottom"/>
          </w:tcPr>
          <w:p>
            <w:pPr>
              <w:spacing w:after="0"/>
              <w:rPr>
                <w:sz w:val="9"/>
                <w:szCs w:val="9"/>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8"/>
                <w:szCs w:val="8"/>
                <w:b w:val="1"/>
                <w:bCs w:val="1"/>
                <w:color w:val="auto"/>
              </w:rPr>
              <w:t>Cruise</w:t>
            </w:r>
          </w:p>
        </w:tc>
        <w:tc>
          <w:tcPr>
            <w:tcW w:w="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rPr>
              <w:t>GM Financial</w:t>
            </w:r>
          </w:p>
        </w:tc>
        <w:tc>
          <w:tcPr>
            <w:tcW w:w="80" w:type="dxa"/>
            <w:vAlign w:val="bottom"/>
          </w:tcPr>
          <w:p>
            <w:pPr>
              <w:spacing w:after="0"/>
              <w:rPr>
                <w:sz w:val="9"/>
                <w:szCs w:val="9"/>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8"/>
                <w:szCs w:val="8"/>
                <w:b w:val="1"/>
                <w:bCs w:val="1"/>
                <w:color w:val="auto"/>
              </w:rPr>
              <w:t>Reclassifications/Eliminations</w:t>
            </w:r>
          </w:p>
        </w:tc>
        <w:tc>
          <w:tcPr>
            <w:tcW w:w="80" w:type="dxa"/>
            <w:vAlign w:val="bottom"/>
          </w:tcPr>
          <w:p>
            <w:pPr>
              <w:spacing w:after="0"/>
              <w:rPr>
                <w:sz w:val="9"/>
                <w:szCs w:val="9"/>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8"/>
                <w:szCs w:val="8"/>
                <w:b w:val="1"/>
                <w:bCs w:val="1"/>
                <w:color w:val="auto"/>
              </w:rPr>
              <w:t>Combined</w:t>
            </w:r>
          </w:p>
        </w:tc>
      </w:tr>
      <w:tr>
        <w:trPr>
          <w:trHeight w:val="121"/>
        </w:trPr>
        <w:tc>
          <w:tcPr>
            <w:tcW w:w="2160" w:type="dxa"/>
            <w:vAlign w:val="bottom"/>
          </w:tcPr>
          <w:p>
            <w:pPr>
              <w:spacing w:after="0"/>
              <w:rPr>
                <w:sz w:val="20"/>
                <w:szCs w:val="20"/>
                <w:color w:val="auto"/>
              </w:rPr>
            </w:pPr>
            <w:r>
              <w:rPr>
                <w:rFonts w:ascii="Arial" w:cs="Arial" w:eastAsia="Arial" w:hAnsi="Arial"/>
                <w:sz w:val="10"/>
                <w:szCs w:val="10"/>
                <w:b w:val="1"/>
                <w:bCs w:val="1"/>
                <w:color w:val="auto"/>
              </w:rPr>
              <w:t>Net sales and revenue</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6"/>
        </w:trPr>
        <w:tc>
          <w:tcPr>
            <w:tcW w:w="21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41,254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41,254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32,614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32,614</w:t>
            </w:r>
          </w:p>
        </w:tc>
        <w:tc>
          <w:tcPr>
            <w:tcW w:w="0" w:type="dxa"/>
            <w:vAlign w:val="bottom"/>
          </w:tcPr>
          <w:p>
            <w:pPr>
              <w:spacing w:after="0"/>
              <w:rPr>
                <w:sz w:val="1"/>
                <w:szCs w:val="1"/>
                <w:color w:val="auto"/>
              </w:rPr>
            </w:pPr>
          </w:p>
        </w:tc>
      </w:tr>
      <w:tr>
        <w:trPr>
          <w:trHeight w:val="155"/>
        </w:trPr>
        <w:tc>
          <w:tcPr>
            <w:tcW w:w="216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GM Financial</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3,498</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3,493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3,146</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3,145</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Total net sales and revenue</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41,254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3,498</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44,746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32,614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3,146</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35,759</w:t>
            </w:r>
          </w:p>
        </w:tc>
        <w:tc>
          <w:tcPr>
            <w:tcW w:w="0" w:type="dxa"/>
            <w:vAlign w:val="bottom"/>
          </w:tcPr>
          <w:p>
            <w:pPr>
              <w:spacing w:after="0"/>
              <w:rPr>
                <w:sz w:val="1"/>
                <w:szCs w:val="1"/>
                <w:color w:val="auto"/>
              </w:rPr>
            </w:pPr>
          </w:p>
        </w:tc>
      </w:tr>
      <w:tr>
        <w:trPr>
          <w:trHeight w:val="138"/>
        </w:trPr>
        <w:tc>
          <w:tcPr>
            <w:tcW w:w="2160" w:type="dxa"/>
            <w:vAlign w:val="bottom"/>
          </w:tcPr>
          <w:p>
            <w:pPr>
              <w:spacing w:after="0"/>
              <w:rPr>
                <w:sz w:val="20"/>
                <w:szCs w:val="20"/>
                <w:color w:val="auto"/>
              </w:rPr>
            </w:pPr>
            <w:r>
              <w:rPr>
                <w:rFonts w:ascii="Arial" w:cs="Arial" w:eastAsia="Arial" w:hAnsi="Arial"/>
                <w:sz w:val="10"/>
                <w:szCs w:val="10"/>
                <w:b w:val="1"/>
                <w:bCs w:val="1"/>
                <w:color w:val="auto"/>
              </w:rPr>
              <w:t>Costs and expenses</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 and other cost of sales</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36,059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36,632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29,261</w:t>
            </w:r>
          </w:p>
        </w:tc>
        <w:tc>
          <w:tcPr>
            <w:tcW w:w="0" w:type="dxa"/>
            <w:vAlign w:val="bottom"/>
          </w:tcPr>
          <w:p>
            <w:pPr>
              <w:spacing w:after="0"/>
              <w:rPr>
                <w:sz w:val="1"/>
                <w:szCs w:val="1"/>
                <w:color w:val="auto"/>
              </w:rPr>
            </w:pPr>
          </w:p>
        </w:tc>
      </w:tr>
      <w:tr>
        <w:trPr>
          <w:trHeight w:val="95"/>
        </w:trPr>
        <w:tc>
          <w:tcPr>
            <w:tcW w:w="2160" w:type="dxa"/>
            <w:vAlign w:val="bottom"/>
          </w:tcPr>
          <w:p>
            <w:pPr>
              <w:ind w:left="100"/>
              <w:spacing w:after="0" w:line="96" w:lineRule="exact"/>
              <w:rPr>
                <w:sz w:val="20"/>
                <w:szCs w:val="20"/>
                <w:color w:val="auto"/>
              </w:rPr>
            </w:pPr>
            <w:r>
              <w:rPr>
                <w:rFonts w:ascii="Arial" w:cs="Arial" w:eastAsia="Arial" w:hAnsi="Arial"/>
                <w:sz w:val="10"/>
                <w:szCs w:val="10"/>
                <w:color w:val="auto"/>
              </w:rPr>
              <w:t>GM Financial interest, operating and other</w:t>
            </w:r>
          </w:p>
        </w:tc>
        <w:tc>
          <w:tcPr>
            <w:tcW w:w="220" w:type="dxa"/>
            <w:vAlign w:val="bottom"/>
          </w:tcPr>
          <w:p>
            <w:pPr>
              <w:spacing w:after="0"/>
              <w:rPr>
                <w:sz w:val="8"/>
                <w:szCs w:val="8"/>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2,768</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2,768</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2,089</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vMerge w:val="restart"/>
          </w:tcPr>
          <w:p>
            <w:pPr>
              <w:jc w:val="right"/>
              <w:ind w:right="2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2,089</w:t>
            </w:r>
          </w:p>
        </w:tc>
        <w:tc>
          <w:tcPr>
            <w:tcW w:w="0" w:type="dxa"/>
            <w:vAlign w:val="bottom"/>
          </w:tcPr>
          <w:p>
            <w:pPr>
              <w:spacing w:after="0"/>
              <w:rPr>
                <w:sz w:val="1"/>
                <w:szCs w:val="1"/>
                <w:color w:val="auto"/>
              </w:rPr>
            </w:pPr>
          </w:p>
        </w:tc>
      </w:tr>
      <w:tr>
        <w:trPr>
          <w:trHeight w:val="138"/>
        </w:trPr>
        <w:tc>
          <w:tcPr>
            <w:tcW w:w="2160" w:type="dxa"/>
            <w:vAlign w:val="bottom"/>
          </w:tcPr>
          <w:p>
            <w:pPr>
              <w:ind w:left="240"/>
              <w:spacing w:after="0"/>
              <w:rPr>
                <w:sz w:val="20"/>
                <w:szCs w:val="20"/>
                <w:color w:val="auto"/>
              </w:rPr>
            </w:pPr>
            <w:r>
              <w:rPr>
                <w:rFonts w:ascii="Arial" w:cs="Arial" w:eastAsia="Arial" w:hAnsi="Arial"/>
                <w:sz w:val="10"/>
                <w:szCs w:val="10"/>
                <w:color w:val="auto"/>
              </w:rPr>
              <w:t>expenses</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1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Automotive and other selling, general and</w:t>
            </w:r>
          </w:p>
        </w:tc>
        <w:tc>
          <w:tcPr>
            <w:tcW w:w="2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2,434</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2,558</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2,160</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2,293</w:t>
            </w:r>
          </w:p>
        </w:tc>
        <w:tc>
          <w:tcPr>
            <w:tcW w:w="0" w:type="dxa"/>
            <w:vAlign w:val="bottom"/>
          </w:tcPr>
          <w:p>
            <w:pPr>
              <w:spacing w:after="0"/>
              <w:rPr>
                <w:sz w:val="1"/>
                <w:szCs w:val="1"/>
                <w:color w:val="auto"/>
              </w:rPr>
            </w:pPr>
          </w:p>
        </w:tc>
      </w:tr>
      <w:tr>
        <w:trPr>
          <w:trHeight w:val="127"/>
        </w:trPr>
        <w:tc>
          <w:tcPr>
            <w:tcW w:w="2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2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100"/>
              <w:spacing w:after="0"/>
              <w:rPr>
                <w:sz w:val="20"/>
                <w:szCs w:val="20"/>
                <w:color w:val="auto"/>
              </w:rPr>
            </w:pPr>
            <w:r>
              <w:rPr>
                <w:rFonts w:ascii="Arial" w:cs="Arial" w:eastAsia="Arial" w:hAnsi="Arial"/>
                <w:sz w:val="10"/>
                <w:szCs w:val="10"/>
                <w:color w:val="auto"/>
              </w:rPr>
              <w:t>Total costs and expenses</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38,493</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698</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2,768</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41,958</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30,925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630</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2,089</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33,643</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2,789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2,116</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22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06"/>
        </w:trPr>
        <w:tc>
          <w:tcPr>
            <w:tcW w:w="21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Interest income and other non-operating</w:t>
            </w:r>
          </w:p>
        </w:tc>
        <w:tc>
          <w:tcPr>
            <w:tcW w:w="2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262</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net</w:t>
            </w:r>
          </w:p>
        </w:tc>
        <w:tc>
          <w:tcPr>
            <w:tcW w:w="2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Equity income (loss)</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43"/>
        </w:trPr>
        <w:tc>
          <w:tcPr>
            <w:tcW w:w="2160" w:type="dxa"/>
            <w:vAlign w:val="bottom"/>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2,914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766</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3,029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2,132</w:t>
            </w:r>
          </w:p>
        </w:tc>
        <w:tc>
          <w:tcPr>
            <w:tcW w:w="0" w:type="dxa"/>
            <w:vAlign w:val="bottom"/>
          </w:tcPr>
          <w:p>
            <w:pPr>
              <w:spacing w:after="0"/>
              <w:rPr>
                <w:sz w:val="1"/>
                <w:szCs w:val="1"/>
                <w:color w:val="auto"/>
              </w:rPr>
            </w:pPr>
          </w:p>
        </w:tc>
      </w:tr>
      <w:tr>
        <w:trPr>
          <w:trHeight w:val="151"/>
        </w:trPr>
        <w:tc>
          <w:tcPr>
            <w:tcW w:w="2160" w:type="dxa"/>
            <w:vAlign w:val="bottom"/>
          </w:tcPr>
          <w:p>
            <w:pPr>
              <w:spacing w:after="0"/>
              <w:rPr>
                <w:sz w:val="20"/>
                <w:szCs w:val="20"/>
                <w:color w:val="auto"/>
              </w:rPr>
            </w:pPr>
            <w:r>
              <w:rPr>
                <w:rFonts w:ascii="Arial" w:cs="Arial" w:eastAsia="Arial" w:hAnsi="Arial"/>
                <w:sz w:val="10"/>
                <w:szCs w:val="10"/>
                <w:color w:val="auto"/>
              </w:rPr>
              <w:t>Income tax expense (benefit)</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522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-635</wp:posOffset>
            </wp:positionV>
            <wp:extent cx="7094220" cy="107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p>
      <w:pPr>
        <w:spacing w:after="0" w:line="2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Net income (loss)</w:t>
      </w:r>
    </w:p>
    <w:p>
      <w:pPr>
        <w:spacing w:after="0" w:line="29" w:lineRule="exact"/>
        <w:rPr>
          <w:sz w:val="20"/>
          <w:szCs w:val="20"/>
          <w:color w:val="auto"/>
        </w:rPr>
      </w:pPr>
    </w:p>
    <w:p>
      <w:pPr>
        <w:ind w:left="180" w:hanging="126"/>
        <w:spacing w:after="0" w:line="228" w:lineRule="auto"/>
        <w:rPr>
          <w:sz w:val="20"/>
          <w:szCs w:val="20"/>
          <w:color w:val="auto"/>
        </w:rPr>
      </w:pPr>
      <w:r>
        <w:rPr>
          <w:rFonts w:ascii="Arial" w:cs="Arial" w:eastAsia="Arial" w:hAnsi="Arial"/>
          <w:sz w:val="10"/>
          <w:szCs w:val="10"/>
          <w:color w:val="auto"/>
        </w:rPr>
        <w:t>Net loss (income) attributable to noncontrolling interests</w:t>
      </w:r>
    </w:p>
    <w:p>
      <w:pPr>
        <w:spacing w:after="0" w:line="20" w:lineRule="exact"/>
        <w:rPr>
          <w:sz w:val="20"/>
          <w:szCs w:val="20"/>
          <w:color w:val="auto"/>
        </w:rPr>
      </w:pPr>
    </w:p>
    <w:p>
      <w:pPr>
        <w:ind w:left="180" w:right="520" w:hanging="126"/>
        <w:spacing w:after="0" w:line="246" w:lineRule="auto"/>
        <w:rPr>
          <w:sz w:val="20"/>
          <w:szCs w:val="20"/>
          <w:color w:val="auto"/>
        </w:rPr>
      </w:pPr>
      <w:r>
        <w:rPr>
          <w:rFonts w:ascii="Arial" w:cs="Arial" w:eastAsia="Arial" w:hAnsi="Arial"/>
          <w:sz w:val="10"/>
          <w:szCs w:val="10"/>
          <w:b w:val="1"/>
          <w:bCs w:val="1"/>
          <w:color w:val="auto"/>
        </w:rPr>
        <w:t>Net income (loss) attributable to stockholders</w:t>
      </w:r>
    </w:p>
    <w:p>
      <w:pPr>
        <w:spacing w:after="0" w:line="40" w:lineRule="exact"/>
        <w:rPr>
          <w:sz w:val="20"/>
          <w:szCs w:val="20"/>
          <w:color w:val="auto"/>
        </w:rPr>
      </w:pPr>
    </w:p>
    <w:p>
      <w:pPr>
        <w:ind w:left="180" w:right="80" w:hanging="126"/>
        <w:spacing w:after="0" w:line="268" w:lineRule="auto"/>
        <w:rPr>
          <w:sz w:val="20"/>
          <w:szCs w:val="20"/>
          <w:color w:val="auto"/>
        </w:rPr>
      </w:pPr>
      <w:r>
        <w:rPr>
          <w:rFonts w:ascii="Arial" w:cs="Arial" w:eastAsia="Arial" w:hAnsi="Arial"/>
          <w:sz w:val="10"/>
          <w:szCs w:val="10"/>
          <w:b w:val="1"/>
          <w:bCs w:val="1"/>
          <w:color w:val="auto"/>
        </w:rPr>
        <w:t>Net income (loss) attributable to common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1,642</w:t>
            </w:r>
          </w:p>
        </w:tc>
        <w:tc>
          <w:tcPr>
            <w:tcW w:w="20" w:type="dxa"/>
            <w:vAlign w:val="bottom"/>
          </w:tcPr>
          <w:p>
            <w:pPr>
              <w:spacing w:after="0"/>
              <w:rPr>
                <w:sz w:val="12"/>
                <w:szCs w:val="12"/>
                <w:color w:val="auto"/>
              </w:rPr>
            </w:pPr>
          </w:p>
        </w:tc>
      </w:tr>
      <w:tr>
        <w:trPr>
          <w:trHeight w:val="242"/>
        </w:trPr>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w:t>
            </w:r>
          </w:p>
        </w:tc>
        <w:tc>
          <w:tcPr>
            <w:tcW w:w="20" w:type="dxa"/>
            <w:vAlign w:val="bottom"/>
          </w:tcPr>
          <w:p>
            <w:pPr>
              <w:spacing w:after="0"/>
              <w:rPr>
                <w:sz w:val="21"/>
                <w:szCs w:val="21"/>
                <w:color w:val="auto"/>
              </w:rPr>
            </w:pPr>
          </w:p>
        </w:tc>
      </w:tr>
      <w:tr>
        <w:trPr>
          <w:trHeight w:val="203"/>
        </w:trPr>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2,566</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1,692</w:t>
            </w: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2,540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8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1,666</w:t>
            </w:r>
          </w:p>
        </w:tc>
        <w:tc>
          <w:tcPr>
            <w:tcW w:w="20" w:type="dxa"/>
            <w:vAlign w:val="bottom"/>
          </w:tcPr>
          <w:p>
            <w:pPr>
              <w:spacing w:after="0"/>
              <w:rPr>
                <w:sz w:val="20"/>
                <w:szCs w:val="20"/>
                <w:color w:val="auto"/>
              </w:rPr>
            </w:pPr>
          </w:p>
        </w:tc>
      </w:tr>
      <w:tr>
        <w:trPr>
          <w:trHeight w:val="225"/>
        </w:trPr>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jc w:val="right"/>
              <w:ind w:right="923"/>
              <w:spacing w:after="0"/>
              <w:rPr>
                <w:sz w:val="20"/>
                <w:szCs w:val="20"/>
                <w:color w:val="auto"/>
              </w:rPr>
            </w:pPr>
            <w:r>
              <w:rPr>
                <w:rFonts w:ascii="Arial" w:cs="Arial" w:eastAsia="Arial" w:hAnsi="Arial"/>
                <w:sz w:val="8"/>
                <w:szCs w:val="8"/>
                <w:b w:val="1"/>
                <w:bCs w:val="1"/>
                <w:color w:val="auto"/>
              </w:rPr>
              <w:t>Six Months Ended June 30, 2023</w:t>
            </w: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2"/>
          </w:tcPr>
          <w:p>
            <w:pPr>
              <w:jc w:val="right"/>
              <w:ind w:right="903"/>
              <w:spacing w:after="0"/>
              <w:rPr>
                <w:sz w:val="20"/>
                <w:szCs w:val="20"/>
                <w:color w:val="auto"/>
              </w:rPr>
            </w:pPr>
            <w:r>
              <w:rPr>
                <w:rFonts w:ascii="Arial" w:cs="Arial" w:eastAsia="Arial" w:hAnsi="Arial"/>
                <w:sz w:val="8"/>
                <w:szCs w:val="8"/>
                <w:b w:val="1"/>
                <w:bCs w:val="1"/>
                <w:color w:val="auto"/>
              </w:rPr>
              <w:t>Six Months Ended June 30, 2022</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114"/>
        </w:trPr>
        <w:tc>
          <w:tcPr>
            <w:tcW w:w="860" w:type="dxa"/>
            <w:vAlign w:val="bottom"/>
          </w:tcPr>
          <w:p>
            <w:pPr>
              <w:ind w:left="160"/>
              <w:spacing w:after="0"/>
              <w:rPr>
                <w:sz w:val="20"/>
                <w:szCs w:val="20"/>
                <w:color w:val="auto"/>
              </w:rPr>
            </w:pPr>
            <w:r>
              <w:rPr>
                <w:rFonts w:ascii="Arial" w:cs="Arial" w:eastAsia="Arial" w:hAnsi="Arial"/>
                <w:sz w:val="8"/>
                <w:szCs w:val="8"/>
                <w:b w:val="1"/>
                <w:bCs w:val="1"/>
                <w:color w:val="auto"/>
              </w:rPr>
              <w:t>Automotive</w:t>
            </w:r>
          </w:p>
        </w:tc>
        <w:tc>
          <w:tcPr>
            <w:tcW w:w="620" w:type="dxa"/>
            <w:vAlign w:val="bottom"/>
          </w:tcPr>
          <w:p>
            <w:pPr>
              <w:ind w:left="240"/>
              <w:spacing w:after="0"/>
              <w:rPr>
                <w:sz w:val="20"/>
                <w:szCs w:val="20"/>
                <w:color w:val="auto"/>
              </w:rPr>
            </w:pPr>
            <w:r>
              <w:rPr>
                <w:rFonts w:ascii="Arial" w:cs="Arial" w:eastAsia="Arial" w:hAnsi="Arial"/>
                <w:sz w:val="8"/>
                <w:szCs w:val="8"/>
                <w:b w:val="1"/>
                <w:bCs w:val="1"/>
                <w:color w:val="auto"/>
              </w:rPr>
              <w:t>Cruise</w:t>
            </w:r>
          </w:p>
        </w:tc>
        <w:tc>
          <w:tcPr>
            <w:tcW w:w="2400" w:type="dxa"/>
            <w:vAlign w:val="bottom"/>
            <w:gridSpan w:val="2"/>
          </w:tcPr>
          <w:p>
            <w:pPr>
              <w:jc w:val="right"/>
              <w:ind w:right="183"/>
              <w:spacing w:after="0"/>
              <w:rPr>
                <w:sz w:val="20"/>
                <w:szCs w:val="20"/>
                <w:color w:val="auto"/>
              </w:rPr>
            </w:pPr>
            <w:r>
              <w:rPr>
                <w:rFonts w:ascii="Arial" w:cs="Arial" w:eastAsia="Arial" w:hAnsi="Arial"/>
                <w:sz w:val="8"/>
                <w:szCs w:val="8"/>
                <w:b w:val="1"/>
                <w:bCs w:val="1"/>
                <w:color w:val="auto"/>
              </w:rPr>
              <w:t>GM Financial    Reclassifications/Eliminations</w:t>
            </w:r>
          </w:p>
        </w:tc>
        <w:tc>
          <w:tcPr>
            <w:tcW w:w="620" w:type="dxa"/>
            <w:vAlign w:val="bottom"/>
          </w:tcPr>
          <w:p>
            <w:pPr>
              <w:jc w:val="right"/>
              <w:ind w:right="126"/>
              <w:spacing w:after="0"/>
              <w:rPr>
                <w:sz w:val="20"/>
                <w:szCs w:val="20"/>
                <w:color w:val="auto"/>
              </w:rPr>
            </w:pPr>
            <w:r>
              <w:rPr>
                <w:rFonts w:ascii="Arial" w:cs="Arial" w:eastAsia="Arial" w:hAnsi="Arial"/>
                <w:sz w:val="8"/>
                <w:szCs w:val="8"/>
                <w:b w:val="1"/>
                <w:bCs w:val="1"/>
                <w:color w:val="auto"/>
              </w:rPr>
              <w:t>Combined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ind w:left="160"/>
              <w:spacing w:after="0"/>
              <w:rPr>
                <w:sz w:val="20"/>
                <w:szCs w:val="20"/>
                <w:color w:val="auto"/>
              </w:rPr>
            </w:pPr>
            <w:r>
              <w:rPr>
                <w:rFonts w:ascii="Arial" w:cs="Arial" w:eastAsia="Arial" w:hAnsi="Arial"/>
                <w:sz w:val="8"/>
                <w:szCs w:val="8"/>
                <w:b w:val="1"/>
                <w:bCs w:val="1"/>
                <w:color w:val="auto"/>
              </w:rPr>
              <w:t>Automotive</w:t>
            </w:r>
          </w:p>
        </w:tc>
        <w:tc>
          <w:tcPr>
            <w:tcW w:w="620" w:type="dxa"/>
            <w:vAlign w:val="bottom"/>
          </w:tcPr>
          <w:p>
            <w:pPr>
              <w:ind w:left="240"/>
              <w:spacing w:after="0"/>
              <w:rPr>
                <w:sz w:val="20"/>
                <w:szCs w:val="20"/>
                <w:color w:val="auto"/>
              </w:rPr>
            </w:pPr>
            <w:r>
              <w:rPr>
                <w:rFonts w:ascii="Arial" w:cs="Arial" w:eastAsia="Arial" w:hAnsi="Arial"/>
                <w:sz w:val="8"/>
                <w:szCs w:val="8"/>
                <w:b w:val="1"/>
                <w:bCs w:val="1"/>
                <w:color w:val="auto"/>
              </w:rPr>
              <w:t>Cruise</w:t>
            </w:r>
          </w:p>
        </w:tc>
        <w:tc>
          <w:tcPr>
            <w:tcW w:w="2380" w:type="dxa"/>
            <w:vAlign w:val="bottom"/>
            <w:gridSpan w:val="2"/>
          </w:tcPr>
          <w:p>
            <w:pPr>
              <w:jc w:val="right"/>
              <w:ind w:right="163"/>
              <w:spacing w:after="0"/>
              <w:rPr>
                <w:sz w:val="20"/>
                <w:szCs w:val="20"/>
                <w:color w:val="auto"/>
              </w:rPr>
            </w:pPr>
            <w:r>
              <w:rPr>
                <w:rFonts w:ascii="Arial" w:cs="Arial" w:eastAsia="Arial" w:hAnsi="Arial"/>
                <w:sz w:val="8"/>
                <w:szCs w:val="8"/>
                <w:b w:val="1"/>
                <w:bCs w:val="1"/>
                <w:color w:val="auto"/>
              </w:rPr>
              <w:t>GM Financial    Reclassifications/Eliminations</w:t>
            </w:r>
          </w:p>
        </w:tc>
        <w:tc>
          <w:tcPr>
            <w:tcW w:w="620" w:type="dxa"/>
            <w:vAlign w:val="bottom"/>
          </w:tcPr>
          <w:p>
            <w:pPr>
              <w:jc w:val="right"/>
              <w:ind w:right="106"/>
              <w:spacing w:after="0"/>
              <w:rPr>
                <w:sz w:val="20"/>
                <w:szCs w:val="20"/>
                <w:color w:val="auto"/>
              </w:rPr>
            </w:pPr>
            <w:r>
              <w:rPr>
                <w:rFonts w:ascii="Arial" w:cs="Arial" w:eastAsia="Arial" w:hAnsi="Arial"/>
                <w:sz w:val="8"/>
                <w:szCs w:val="8"/>
                <w:b w:val="1"/>
                <w:bCs w:val="1"/>
                <w:color w:val="auto"/>
              </w:rPr>
              <w:t>Combined</w:t>
            </w: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-551815</wp:posOffset>
            </wp:positionV>
            <wp:extent cx="7094220" cy="330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4220" cy="3302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80" w:space="80"/>
            <w:col w:w="9080"/>
          </w:cols>
          <w:pgMar w:left="320" w:top="698" w:right="3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77,900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65,437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65,437</w:t>
            </w:r>
          </w:p>
        </w:tc>
        <w:tc>
          <w:tcPr>
            <w:tcW w:w="0" w:type="dxa"/>
            <w:vAlign w:val="bottom"/>
          </w:tcPr>
          <w:p>
            <w:pPr>
              <w:spacing w:after="0"/>
              <w:rPr>
                <w:sz w:val="1"/>
                <w:szCs w:val="1"/>
                <w:color w:val="auto"/>
              </w:rPr>
            </w:pPr>
          </w:p>
        </w:tc>
      </w:tr>
      <w:tr>
        <w:trPr>
          <w:trHeight w:val="155"/>
        </w:trPr>
        <w:tc>
          <w:tcPr>
            <w:tcW w:w="21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GM Financial</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6,841</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6,832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6,302</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6,301</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6,841</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84,732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65,437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6,302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71,738</w:t>
            </w:r>
          </w:p>
        </w:tc>
        <w:tc>
          <w:tcPr>
            <w:tcW w:w="0" w:type="dxa"/>
            <w:vAlign w:val="bottom"/>
          </w:tcPr>
          <w:p>
            <w:pPr>
              <w:spacing w:after="0"/>
              <w:rPr>
                <w:sz w:val="1"/>
                <w:szCs w:val="1"/>
                <w:color w:val="auto"/>
              </w:rPr>
            </w:pPr>
          </w:p>
        </w:tc>
      </w:tr>
      <w:tr>
        <w:trPr>
          <w:trHeight w:val="138"/>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67,775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68,879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56,987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58,614</w:t>
            </w:r>
          </w:p>
        </w:tc>
        <w:tc>
          <w:tcPr>
            <w:tcW w:w="0" w:type="dxa"/>
            <w:vAlign w:val="bottom"/>
          </w:tcPr>
          <w:p>
            <w:pPr>
              <w:spacing w:after="0"/>
              <w:rPr>
                <w:sz w:val="1"/>
                <w:szCs w:val="1"/>
                <w:color w:val="auto"/>
              </w:rPr>
            </w:pPr>
          </w:p>
        </w:tc>
      </w:tr>
      <w:tr>
        <w:trPr>
          <w:trHeight w:val="95"/>
        </w:trPr>
        <w:tc>
          <w:tcPr>
            <w:tcW w:w="2160" w:type="dxa"/>
            <w:vAlign w:val="bottom"/>
          </w:tcPr>
          <w:p>
            <w:pPr>
              <w:ind w:left="120"/>
              <w:spacing w:after="0" w:line="96" w:lineRule="exact"/>
              <w:rPr>
                <w:sz w:val="20"/>
                <w:szCs w:val="20"/>
                <w:color w:val="auto"/>
              </w:rPr>
            </w:pPr>
            <w:r>
              <w:rPr>
                <w:rFonts w:ascii="Arial" w:cs="Arial" w:eastAsia="Arial" w:hAnsi="Arial"/>
                <w:sz w:val="10"/>
                <w:szCs w:val="10"/>
                <w:color w:val="auto"/>
              </w:rPr>
              <w:t>GM Financial interest, operating and other</w:t>
            </w:r>
          </w:p>
        </w:tc>
        <w:tc>
          <w:tcPr>
            <w:tcW w:w="2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5,381</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5,380</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4,015</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4,015</w:t>
            </w:r>
          </w:p>
        </w:tc>
        <w:tc>
          <w:tcPr>
            <w:tcW w:w="0" w:type="dxa"/>
            <w:vAlign w:val="bottom"/>
          </w:tcPr>
          <w:p>
            <w:pPr>
              <w:spacing w:after="0"/>
              <w:rPr>
                <w:sz w:val="1"/>
                <w:szCs w:val="1"/>
                <w:color w:val="auto"/>
              </w:rPr>
            </w:pPr>
          </w:p>
        </w:tc>
      </w:tr>
      <w:tr>
        <w:trPr>
          <w:trHeight w:val="144"/>
        </w:trPr>
        <w:tc>
          <w:tcPr>
            <w:tcW w:w="2160" w:type="dxa"/>
            <w:vAlign w:val="bottom"/>
          </w:tcPr>
          <w:p>
            <w:pPr>
              <w:ind w:left="240"/>
              <w:spacing w:after="0"/>
              <w:rPr>
                <w:sz w:val="20"/>
                <w:szCs w:val="20"/>
                <w:color w:val="auto"/>
              </w:rPr>
            </w:pPr>
            <w:r>
              <w:rPr>
                <w:rFonts w:ascii="Arial" w:cs="Arial" w:eastAsia="Arial" w:hAnsi="Arial"/>
                <w:sz w:val="10"/>
                <w:szCs w:val="10"/>
                <w:color w:val="auto"/>
              </w:rPr>
              <w:t>expenses</w:t>
            </w: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160" w:type="dxa"/>
            <w:vAlign w:val="bottom"/>
            <w:shd w:val="clear" w:color="auto" w:fill="CCEEFF"/>
          </w:tcPr>
          <w:p>
            <w:pPr>
              <w:ind w:left="120"/>
              <w:spacing w:after="0" w:line="100" w:lineRule="exact"/>
              <w:rPr>
                <w:sz w:val="20"/>
                <w:szCs w:val="20"/>
                <w:color w:val="auto"/>
              </w:rPr>
            </w:pPr>
            <w:r>
              <w:rPr>
                <w:rFonts w:ascii="Arial" w:cs="Arial" w:eastAsia="Arial" w:hAnsi="Arial"/>
                <w:sz w:val="10"/>
                <w:szCs w:val="10"/>
                <w:color w:val="auto"/>
              </w:rPr>
              <w:t>Automotive and other selling, general and</w:t>
            </w:r>
          </w:p>
        </w:tc>
        <w:tc>
          <w:tcPr>
            <w:tcW w:w="2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4,872</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234</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5,105</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4,266</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532</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4,797</w:t>
            </w:r>
          </w:p>
        </w:tc>
        <w:tc>
          <w:tcPr>
            <w:tcW w:w="0" w:type="dxa"/>
            <w:vAlign w:val="bottom"/>
          </w:tcPr>
          <w:p>
            <w:pPr>
              <w:spacing w:after="0"/>
              <w:rPr>
                <w:sz w:val="1"/>
                <w:szCs w:val="1"/>
                <w:color w:val="auto"/>
              </w:rPr>
            </w:pPr>
          </w:p>
        </w:tc>
      </w:tr>
      <w:tr>
        <w:trPr>
          <w:trHeight w:val="134"/>
        </w:trPr>
        <w:tc>
          <w:tcPr>
            <w:tcW w:w="21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120"/>
              <w:spacing w:after="0"/>
              <w:rPr>
                <w:sz w:val="20"/>
                <w:szCs w:val="20"/>
                <w:color w:val="auto"/>
              </w:rPr>
            </w:pPr>
            <w:r>
              <w:rPr>
                <w:rFonts w:ascii="Arial" w:cs="Arial" w:eastAsia="Arial" w:hAnsi="Arial"/>
                <w:sz w:val="10"/>
                <w:szCs w:val="10"/>
                <w:color w:val="auto"/>
              </w:rPr>
              <w:t>Total costs and expenses</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72,647</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1,340</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5,381</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79,364</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61,252</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2,159</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4,015</w:t>
            </w: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67,426</w:t>
            </w:r>
          </w:p>
        </w:tc>
        <w:tc>
          <w:tcPr>
            <w:tcW w:w="0" w:type="dxa"/>
            <w:vAlign w:val="bottom"/>
          </w:tcPr>
          <w:p>
            <w:pPr>
              <w:spacing w:after="0"/>
              <w:rPr>
                <w:sz w:val="1"/>
                <w:szCs w:val="1"/>
                <w:color w:val="auto"/>
              </w:rPr>
            </w:pPr>
          </w:p>
        </w:tc>
      </w:tr>
      <w:tr>
        <w:trPr>
          <w:trHeight w:val="150"/>
        </w:trPr>
        <w:tc>
          <w:tcPr>
            <w:tcW w:w="21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Operating income (loss)</w:t>
            </w: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1,459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5,367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4,184</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2,287</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4,313</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460</w:t>
            </w:r>
          </w:p>
        </w:tc>
        <w:tc>
          <w:tcPr>
            <w:tcW w:w="0" w:type="dxa"/>
            <w:vAlign w:val="bottom"/>
          </w:tcPr>
          <w:p>
            <w:pPr>
              <w:spacing w:after="0"/>
              <w:rPr>
                <w:sz w:val="1"/>
                <w:szCs w:val="1"/>
                <w:color w:val="auto"/>
              </w:rPr>
            </w:pPr>
          </w:p>
        </w:tc>
      </w:tr>
      <w:tr>
        <w:trPr>
          <w:trHeight w:val="100"/>
        </w:trPr>
        <w:tc>
          <w:tcPr>
            <w:tcW w:w="216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Interest income and other non-operating</w:t>
            </w:r>
          </w:p>
        </w:tc>
        <w:tc>
          <w:tcPr>
            <w:tcW w:w="2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661</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767</w:t>
            </w: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812</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60"/>
              <w:spacing w:after="0"/>
              <w:rPr>
                <w:sz w:val="20"/>
                <w:szCs w:val="20"/>
                <w:color w:val="auto"/>
              </w:rPr>
            </w:pPr>
            <w:r>
              <w:rPr>
                <w:rFonts w:ascii="Arial" w:cs="Arial" w:eastAsia="Arial" w:hAnsi="Arial"/>
                <w:sz w:val="10"/>
                <w:szCs w:val="10"/>
                <w:color w:val="auto"/>
              </w:rPr>
              <w:t>income, net</w:t>
            </w:r>
          </w:p>
        </w:tc>
        <w:tc>
          <w:tcPr>
            <w:tcW w:w="2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 (loss)</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1,537</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4,622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2,390</w:t>
            </w: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4,912</w:t>
            </w:r>
          </w:p>
        </w:tc>
        <w:tc>
          <w:tcPr>
            <w:tcW w:w="0" w:type="dxa"/>
            <w:vAlign w:val="bottom"/>
          </w:tcPr>
          <w:p>
            <w:pPr>
              <w:spacing w:after="0"/>
              <w:rPr>
                <w:sz w:val="1"/>
                <w:szCs w:val="1"/>
                <w:color w:val="auto"/>
              </w:rPr>
            </w:pPr>
          </w:p>
        </w:tc>
      </w:tr>
      <w:tr>
        <w:trPr>
          <w:trHeight w:val="149"/>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 (benefit)</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950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4,853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4,449</w:t>
            </w:r>
          </w:p>
        </w:tc>
        <w:tc>
          <w:tcPr>
            <w:tcW w:w="0" w:type="dxa"/>
            <w:vAlign w:val="bottom"/>
          </w:tcPr>
          <w:p>
            <w:pPr>
              <w:spacing w:after="0"/>
              <w:rPr>
                <w:sz w:val="1"/>
                <w:szCs w:val="1"/>
                <w:color w:val="auto"/>
              </w:rPr>
            </w:pPr>
          </w:p>
        </w:tc>
      </w:tr>
      <w:tr>
        <w:trPr>
          <w:trHeight w:val="106"/>
        </w:trPr>
        <w:tc>
          <w:tcPr>
            <w:tcW w:w="2160" w:type="dxa"/>
            <w:vAlign w:val="bottom"/>
          </w:tcPr>
          <w:p>
            <w:pPr>
              <w:ind w:left="20"/>
              <w:spacing w:after="0" w:line="106" w:lineRule="exact"/>
              <w:rPr>
                <w:sz w:val="20"/>
                <w:szCs w:val="20"/>
                <w:color w:val="auto"/>
              </w:rPr>
            </w:pPr>
            <w:r>
              <w:rPr>
                <w:rFonts w:ascii="Arial" w:cs="Arial" w:eastAsia="Arial" w:hAnsi="Arial"/>
                <w:sz w:val="10"/>
                <w:szCs w:val="10"/>
                <w:color w:val="auto"/>
              </w:rPr>
              <w:t>Net loss (income) attributable to noncontrolling</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109</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181</w:t>
            </w:r>
          </w:p>
        </w:tc>
        <w:tc>
          <w:tcPr>
            <w:tcW w:w="0" w:type="dxa"/>
            <w:vAlign w:val="bottom"/>
          </w:tcPr>
          <w:p>
            <w:pPr>
              <w:spacing w:after="0"/>
              <w:rPr>
                <w:sz w:val="1"/>
                <w:szCs w:val="1"/>
                <w:color w:val="auto"/>
              </w:rPr>
            </w:pPr>
          </w:p>
        </w:tc>
      </w:tr>
      <w:tr>
        <w:trPr>
          <w:trHeight w:val="134"/>
        </w:trPr>
        <w:tc>
          <w:tcPr>
            <w:tcW w:w="216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interests</w:t>
            </w:r>
          </w:p>
        </w:tc>
        <w:tc>
          <w:tcPr>
            <w:tcW w:w="2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ind w:left="20"/>
              <w:spacing w:after="0" w:line="80" w:lineRule="exact"/>
              <w:rPr>
                <w:sz w:val="20"/>
                <w:szCs w:val="20"/>
                <w:color w:val="auto"/>
              </w:rPr>
            </w:pPr>
            <w:r>
              <w:rPr>
                <w:rFonts w:ascii="Arial" w:cs="Arial" w:eastAsia="Arial" w:hAnsi="Arial"/>
                <w:sz w:val="9"/>
                <w:szCs w:val="9"/>
                <w:b w:val="1"/>
                <w:bCs w:val="1"/>
                <w:color w:val="auto"/>
              </w:rPr>
              <w:t>Net income (loss) attributable to</w:t>
            </w: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4,962</w:t>
            </w: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4,631</w:t>
            </w:r>
          </w:p>
        </w:tc>
        <w:tc>
          <w:tcPr>
            <w:tcW w:w="0" w:type="dxa"/>
            <w:vAlign w:val="bottom"/>
          </w:tcPr>
          <w:p>
            <w:pPr>
              <w:spacing w:after="0"/>
              <w:rPr>
                <w:sz w:val="1"/>
                <w:szCs w:val="1"/>
                <w:color w:val="auto"/>
              </w:rPr>
            </w:pPr>
          </w:p>
        </w:tc>
      </w:tr>
      <w:tr>
        <w:trPr>
          <w:trHeight w:val="147"/>
        </w:trPr>
        <w:tc>
          <w:tcPr>
            <w:tcW w:w="216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16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(loss) attributable to common</w:t>
            </w: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4,908</w:t>
            </w: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3,653</w:t>
            </w: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60"/>
              <w:spacing w:after="0"/>
              <w:rPr>
                <w:sz w:val="20"/>
                <w:szCs w:val="20"/>
                <w:color w:val="auto"/>
              </w:rPr>
            </w:pPr>
            <w:r>
              <w:rPr>
                <w:rFonts w:ascii="Arial" w:cs="Arial" w:eastAsia="Arial" w:hAnsi="Arial"/>
                <w:sz w:val="10"/>
                <w:szCs w:val="10"/>
                <w:b w:val="1"/>
                <w:bCs w:val="1"/>
                <w:color w:val="auto"/>
              </w:rPr>
              <w:t>stockholders</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698" w:right="339" w:bottom="1440" w:gutter="0" w:footer="0" w:header="0"/>
          <w:type w:val="continuous"/>
        </w:sectPr>
      </w:pPr>
    </w:p>
    <w:bookmarkStart w:id="17" w:name="page18"/>
    <w:bookmarkEnd w:id="17"/>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3"/>
          <w:szCs w:val="13"/>
          <w:i w:val="1"/>
          <w:iCs w:val="1"/>
          <w:color w:val="auto"/>
        </w:rPr>
        <w:t>(Unaudited)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41"/>
        </w:trPr>
        <w:tc>
          <w:tcPr>
            <w:tcW w:w="4880" w:type="dxa"/>
            <w:vAlign w:val="bottom"/>
          </w:tcPr>
          <w:p>
            <w:pPr>
              <w:spacing w:after="0"/>
              <w:rPr>
                <w:sz w:val="12"/>
                <w:szCs w:val="12"/>
                <w:color w:val="auto"/>
              </w:rPr>
            </w:pPr>
          </w:p>
        </w:tc>
        <w:tc>
          <w:tcPr>
            <w:tcW w:w="26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0"/>
                <w:szCs w:val="10"/>
                <w:b w:val="1"/>
                <w:bCs w:val="1"/>
                <w:color w:val="auto"/>
              </w:rPr>
              <w:t>Three Months Ended</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1100" w:type="dxa"/>
            <w:vAlign w:val="bottom"/>
            <w:tcBorders>
              <w:bottom w:val="single" w:sz="8" w:color="auto"/>
            </w:tcBorders>
          </w:tcPr>
          <w:p>
            <w:pPr>
              <w:spacing w:after="0"/>
              <w:rPr>
                <w:sz w:val="12"/>
                <w:szCs w:val="12"/>
                <w:color w:val="auto"/>
              </w:rPr>
            </w:pPr>
          </w:p>
        </w:tc>
      </w:tr>
      <w:tr>
        <w:trPr>
          <w:trHeight w:val="131"/>
        </w:trPr>
        <w:tc>
          <w:tcPr>
            <w:tcW w:w="4880" w:type="dxa"/>
            <w:vAlign w:val="bottom"/>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2023</w:t>
            </w: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2022</w:t>
            </w: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June 30, 2023</w:t>
            </w:r>
          </w:p>
        </w:tc>
        <w:tc>
          <w:tcPr>
            <w:tcW w:w="1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58"/>
              <w:spacing w:after="0"/>
              <w:rPr>
                <w:sz w:val="20"/>
                <w:szCs w:val="20"/>
                <w:color w:val="auto"/>
              </w:rPr>
            </w:pPr>
            <w:r>
              <w:rPr>
                <w:rFonts w:ascii="Arial" w:cs="Arial" w:eastAsia="Arial" w:hAnsi="Arial"/>
                <w:sz w:val="10"/>
                <w:szCs w:val="10"/>
                <w:b w:val="1"/>
                <w:bCs w:val="1"/>
                <w:color w:val="auto"/>
              </w:rPr>
              <w:t>June 30, 2022</w:t>
            </w:r>
          </w:p>
        </w:tc>
      </w:tr>
      <w:tr>
        <w:trPr>
          <w:trHeight w:val="150"/>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stockholders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2,566</w:t>
            </w:r>
          </w:p>
        </w:tc>
        <w:tc>
          <w:tcPr>
            <w:tcW w:w="1200" w:type="dxa"/>
            <w:vAlign w:val="bottom"/>
            <w:gridSpan w:val="2"/>
            <w:shd w:val="clear" w:color="auto" w:fill="CCEEFF"/>
          </w:tcPr>
          <w:p>
            <w:pPr>
              <w:jc w:val="right"/>
              <w:ind w:right="951"/>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1,692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w:t>
            </w:r>
          </w:p>
        </w:tc>
      </w:tr>
      <w:tr>
        <w:trPr>
          <w:trHeight w:val="168"/>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stock(a)</w:t>
            </w: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w:t>
            </w:r>
          </w:p>
        </w:tc>
      </w:tr>
      <w:tr>
        <w:trPr>
          <w:trHeight w:val="183"/>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2,540</w:t>
            </w:r>
          </w:p>
        </w:tc>
        <w:tc>
          <w:tcPr>
            <w:tcW w:w="1200" w:type="dxa"/>
            <w:vAlign w:val="bottom"/>
            <w:gridSpan w:val="2"/>
            <w:shd w:val="clear" w:color="auto" w:fill="CCEEFF"/>
          </w:tcPr>
          <w:p>
            <w:pPr>
              <w:jc w:val="right"/>
              <w:ind w:right="951"/>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6"/>
        </w:trPr>
        <w:tc>
          <w:tcPr>
            <w:tcW w:w="4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1,385</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r>
      <w:tr>
        <w:trPr>
          <w:trHeight w:val="85"/>
        </w:trPr>
        <w:tc>
          <w:tcPr>
            <w:tcW w:w="4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per common share</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00" w:type="dxa"/>
            <w:vAlign w:val="bottom"/>
            <w:gridSpan w:val="2"/>
            <w:shd w:val="clear" w:color="auto" w:fill="CCEEFF"/>
          </w:tcPr>
          <w:p>
            <w:pPr>
              <w:jc w:val="right"/>
              <w:ind w:right="951"/>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r>
      <w:tr>
        <w:trPr>
          <w:trHeight w:val="149"/>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 – diluted</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2,540</w:t>
            </w:r>
          </w:p>
        </w:tc>
        <w:tc>
          <w:tcPr>
            <w:tcW w:w="1200" w:type="dxa"/>
            <w:vAlign w:val="bottom"/>
            <w:gridSpan w:val="2"/>
            <w:shd w:val="clear" w:color="auto" w:fill="CCEEFF"/>
          </w:tcPr>
          <w:p>
            <w:pPr>
              <w:jc w:val="right"/>
              <w:ind w:right="951"/>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r>
      <w:tr>
        <w:trPr>
          <w:trHeight w:val="85"/>
        </w:trPr>
        <w:tc>
          <w:tcPr>
            <w:tcW w:w="4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1,389</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r>
      <w:tr>
        <w:trPr>
          <w:trHeight w:val="85"/>
        </w:trPr>
        <w:tc>
          <w:tcPr>
            <w:tcW w:w="48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Diluted earnings per common share</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00" w:type="dxa"/>
            <w:vAlign w:val="bottom"/>
            <w:gridSpan w:val="2"/>
            <w:shd w:val="clear" w:color="auto" w:fill="CCEEFF"/>
          </w:tcPr>
          <w:p>
            <w:pPr>
              <w:jc w:val="right"/>
              <w:ind w:right="951"/>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172"/>
        </w:trPr>
        <w:tc>
          <w:tcPr>
            <w:tcW w:w="4880" w:type="dxa"/>
            <w:vAlign w:val="bottom"/>
          </w:tcPr>
          <w:p>
            <w:pPr>
              <w:ind w:left="100"/>
              <w:spacing w:after="0"/>
              <w:rPr>
                <w:sz w:val="20"/>
                <w:szCs w:val="20"/>
                <w:color w:val="auto"/>
              </w:rPr>
            </w:pPr>
            <w:r>
              <w:rPr>
                <w:rFonts w:ascii="Arial" w:cs="Arial" w:eastAsia="Arial" w:hAnsi="Arial"/>
                <w:sz w:val="11"/>
                <w:szCs w:val="11"/>
                <w:color w:val="auto"/>
              </w:rPr>
              <w:t>Potentially dilutive securities(b)</w:t>
            </w:r>
          </w:p>
        </w:tc>
        <w:tc>
          <w:tcPr>
            <w:tcW w:w="10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2" w:lineRule="exact"/>
        <w:rPr>
          <w:sz w:val="20"/>
          <w:szCs w:val="20"/>
          <w:color w:val="auto"/>
        </w:rPr>
      </w:pPr>
    </w:p>
    <w:p>
      <w:pPr>
        <w:ind w:left="340" w:hanging="255"/>
        <w:spacing w:after="0"/>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a $909 million deemed dividend related to the redemption of Cruise preferred shares from SoftBank in the six months ended June 30, 2022.</w:t>
      </w:r>
    </w:p>
    <w:p>
      <w:pPr>
        <w:spacing w:after="0" w:line="17" w:lineRule="exact"/>
        <w:rPr>
          <w:rFonts w:ascii="Arial" w:cs="Arial" w:eastAsia="Arial" w:hAnsi="Arial"/>
          <w:sz w:val="11"/>
          <w:szCs w:val="11"/>
          <w:color w:val="auto"/>
        </w:rPr>
      </w:pPr>
    </w:p>
    <w:p>
      <w:pPr>
        <w:ind w:left="340" w:hanging="255"/>
        <w:spacing w:after="0" w:line="303"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Restricted Stock Units (RSUs) and Performance Stock Units (PSUs) at June 30, 2023 and outstanding stock options and RSUs at June 30, 2022, were excluded from the computation of diluted earnings per share (EPS) because the securities would have had an antidilutive effect.</w:t>
      </w:r>
    </w:p>
    <w:p>
      <w:pPr>
        <w:spacing w:after="0" w:line="200" w:lineRule="exact"/>
        <w:rPr>
          <w:sz w:val="20"/>
          <w:szCs w:val="20"/>
          <w:color w:val="auto"/>
        </w:rPr>
      </w:pPr>
    </w:p>
    <w:p>
      <w:pPr>
        <w:spacing w:after="0" w:line="24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60"/>
          </w:cols>
          <w:pgMar w:left="220" w:top="698" w:right="319" w:bottom="1440" w:gutter="0" w:footer="0" w:header="0"/>
        </w:sectPr>
      </w:pPr>
    </w:p>
    <w:bookmarkStart w:id="18" w:name="page19"/>
    <w:bookmarkEnd w:id="18"/>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280"/>
              <w:spacing w:after="0"/>
              <w:rPr>
                <w:sz w:val="20"/>
                <w:szCs w:val="20"/>
                <w:color w:val="auto"/>
              </w:rPr>
            </w:pPr>
            <w:r>
              <w:rPr>
                <w:rFonts w:ascii="Arial" w:cs="Arial" w:eastAsia="Arial" w:hAnsi="Arial"/>
                <w:sz w:val="10"/>
                <w:szCs w:val="10"/>
                <w:b w:val="1"/>
                <w:bCs w:val="1"/>
                <w:color w:val="auto"/>
              </w:rPr>
              <w:t>June 30, 2023</w:t>
            </w: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December 31, 2022</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91"/>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8"/>
                <w:szCs w:val="8"/>
                <w:b w:val="1"/>
                <w:bCs w:val="1"/>
                <w:color w:val="auto"/>
              </w:rPr>
              <w:t>GM Financial</w:t>
            </w:r>
          </w:p>
        </w:tc>
        <w:tc>
          <w:tcPr>
            <w:tcW w:w="100" w:type="dxa"/>
            <w:vAlign w:val="bottom"/>
          </w:tcPr>
          <w:p>
            <w:pPr>
              <w:spacing w:after="0"/>
              <w:rPr>
                <w:sz w:val="9"/>
                <w:szCs w:val="9"/>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8"/>
                <w:szCs w:val="8"/>
                <w:b w:val="1"/>
                <w:bCs w:val="1"/>
                <w:color w:val="auto"/>
              </w:rPr>
              <w:t>Reclassifications/Eliminations</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Automotive</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8"/>
                <w:szCs w:val="8"/>
                <w:b w:val="1"/>
                <w:bCs w:val="1"/>
                <w:color w:val="auto"/>
              </w:rPr>
              <w:t>GM Financial</w:t>
            </w:r>
          </w:p>
        </w:tc>
        <w:tc>
          <w:tcPr>
            <w:tcW w:w="100" w:type="dxa"/>
            <w:vAlign w:val="bottom"/>
          </w:tcPr>
          <w:p>
            <w:pPr>
              <w:spacing w:after="0"/>
              <w:rPr>
                <w:sz w:val="9"/>
                <w:szCs w:val="9"/>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31"/>
        </w:trPr>
        <w:tc>
          <w:tcPr>
            <w:tcW w:w="2280" w:type="dxa"/>
            <w:vAlign w:val="bottom"/>
          </w:tcPr>
          <w:p>
            <w:pPr>
              <w:ind w:left="940"/>
              <w:spacing w:after="0"/>
              <w:rPr>
                <w:sz w:val="20"/>
                <w:szCs w:val="20"/>
                <w:color w:val="auto"/>
              </w:rPr>
            </w:pPr>
            <w:r>
              <w:rPr>
                <w:rFonts w:ascii="Arial" w:cs="Arial" w:eastAsia="Arial" w:hAnsi="Arial"/>
                <w:sz w:val="10"/>
                <w:szCs w:val="10"/>
                <w:b w:val="1"/>
                <w:bCs w:val="1"/>
                <w:color w:val="auto"/>
              </w:rPr>
              <w:t>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15,976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1,915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5,182</w:t>
            </w:r>
          </w:p>
        </w:tc>
        <w:tc>
          <w:tcPr>
            <w:tcW w:w="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23,074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13,629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1,519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4,005</w:t>
            </w:r>
          </w:p>
        </w:tc>
        <w:tc>
          <w:tcPr>
            <w:tcW w:w="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19,153</w:t>
            </w:r>
          </w:p>
        </w:tc>
        <w:tc>
          <w:tcPr>
            <w:tcW w:w="0" w:type="dxa"/>
            <w:vAlign w:val="bottom"/>
          </w:tcPr>
          <w:p>
            <w:pPr>
              <w:spacing w:after="0"/>
              <w:rPr>
                <w:sz w:val="1"/>
                <w:szCs w:val="1"/>
                <w:color w:val="auto"/>
              </w:rPr>
            </w:pPr>
          </w:p>
        </w:tc>
      </w:tr>
      <w:tr>
        <w:trPr>
          <w:trHeight w:val="131"/>
        </w:trPr>
        <w:tc>
          <w:tcPr>
            <w:tcW w:w="228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9,341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9,556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10,760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1,390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12,150</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net(a)</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2,223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14,068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11,910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13,333</w:t>
            </w:r>
          </w:p>
        </w:tc>
        <w:tc>
          <w:tcPr>
            <w:tcW w:w="0" w:type="dxa"/>
            <w:vAlign w:val="bottom"/>
          </w:tcPr>
          <w:p>
            <w:pPr>
              <w:spacing w:after="0"/>
              <w:rPr>
                <w:sz w:val="1"/>
                <w:szCs w:val="1"/>
                <w:color w:val="auto"/>
              </w:rPr>
            </w:pPr>
          </w:p>
        </w:tc>
      </w:tr>
      <w:tr>
        <w:trPr>
          <w:trHeight w:val="124"/>
        </w:trPr>
        <w:tc>
          <w:tcPr>
            <w:tcW w:w="228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34,585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(145)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34,440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33,811</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33,623</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17,915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17,912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15,369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15,366</w:t>
            </w:r>
          </w:p>
        </w:tc>
        <w:tc>
          <w:tcPr>
            <w:tcW w:w="0" w:type="dxa"/>
            <w:vAlign w:val="bottom"/>
          </w:tcPr>
          <w:p>
            <w:pPr>
              <w:spacing w:after="0"/>
              <w:rPr>
                <w:sz w:val="1"/>
                <w:szCs w:val="1"/>
                <w:color w:val="auto"/>
              </w:rPr>
            </w:pPr>
          </w:p>
        </w:tc>
      </w:tr>
      <w:tr>
        <w:trPr>
          <w:trHeight w:val="131"/>
        </w:trPr>
        <w:tc>
          <w:tcPr>
            <w:tcW w:w="2280" w:type="dxa"/>
            <w:vAlign w:val="bottom"/>
          </w:tcPr>
          <w:p>
            <w:pPr>
              <w:ind w:left="120"/>
              <w:spacing w:after="0"/>
              <w:rPr>
                <w:sz w:val="20"/>
                <w:szCs w:val="20"/>
                <w:color w:val="auto"/>
              </w:rPr>
            </w:pPr>
            <w:r>
              <w:rPr>
                <w:rFonts w:ascii="Arial" w:cs="Arial" w:eastAsia="Arial" w:hAnsi="Arial"/>
                <w:sz w:val="10"/>
                <w:szCs w:val="10"/>
                <w:color w:val="auto"/>
              </w:rPr>
              <w:t>Other current assets(b)</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1,944</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400</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5,789</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(378)</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7,755</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2,009</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347</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4,912</w:t>
            </w: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(442)</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6,825</w:t>
            </w:r>
          </w:p>
        </w:tc>
        <w:tc>
          <w:tcPr>
            <w:tcW w:w="0" w:type="dxa"/>
            <w:vAlign w:val="bottom"/>
          </w:tcPr>
          <w:p>
            <w:pPr>
              <w:spacing w:after="0"/>
              <w:rPr>
                <w:sz w:val="1"/>
                <w:szCs w:val="1"/>
                <w:color w:val="auto"/>
              </w:rPr>
            </w:pPr>
          </w:p>
        </w:tc>
      </w:tr>
      <w:tr>
        <w:trPr>
          <w:trHeight w:val="126"/>
        </w:trPr>
        <w:tc>
          <w:tcPr>
            <w:tcW w:w="2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58,001</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2,532</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47,779</w:t>
            </w: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(1,508)</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106,804</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53,677</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3,256</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44,842</w:t>
            </w: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(1,324)</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100,451</w:t>
            </w:r>
          </w:p>
        </w:tc>
        <w:tc>
          <w:tcPr>
            <w:tcW w:w="0" w:type="dxa"/>
            <w:vAlign w:val="bottom"/>
          </w:tcPr>
          <w:p>
            <w:pPr>
              <w:spacing w:after="0"/>
              <w:rPr>
                <w:sz w:val="1"/>
                <w:szCs w:val="1"/>
                <w:color w:val="auto"/>
              </w:rPr>
            </w:pPr>
          </w:p>
        </w:tc>
      </w:tr>
      <w:tr>
        <w:trPr>
          <w:trHeight w:val="138"/>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44,420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44,201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40,702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40,591</w:t>
            </w:r>
          </w:p>
        </w:tc>
        <w:tc>
          <w:tcPr>
            <w:tcW w:w="0" w:type="dxa"/>
            <w:vAlign w:val="bottom"/>
          </w:tcPr>
          <w:p>
            <w:pPr>
              <w:spacing w:after="0"/>
              <w:rPr>
                <w:sz w:val="1"/>
                <w:szCs w:val="1"/>
                <w:color w:val="auto"/>
              </w:rPr>
            </w:pPr>
          </w:p>
        </w:tc>
      </w:tr>
      <w:tr>
        <w:trPr>
          <w:trHeight w:val="124"/>
        </w:trPr>
        <w:tc>
          <w:tcPr>
            <w:tcW w:w="2280" w:type="dxa"/>
            <w:vAlign w:val="bottom"/>
          </w:tcPr>
          <w:p>
            <w:pPr>
              <w:ind w:left="120"/>
              <w:spacing w:after="0"/>
              <w:rPr>
                <w:sz w:val="20"/>
                <w:szCs w:val="20"/>
                <w:color w:val="auto"/>
              </w:rPr>
            </w:pPr>
            <w:r>
              <w:rPr>
                <w:rFonts w:ascii="Arial" w:cs="Arial" w:eastAsia="Arial" w:hAnsi="Arial"/>
                <w:sz w:val="10"/>
                <w:szCs w:val="10"/>
                <w:color w:val="auto"/>
              </w:rPr>
              <w:t>Equity in net assets of nonconsolidated affiliates</w:t>
            </w:r>
          </w:p>
        </w:tc>
        <w:tc>
          <w:tcPr>
            <w:tcW w:w="10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8,397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1,667</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10,064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8,511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1,665</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10,176</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47,651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47,941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45,011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45,248</w:t>
            </w:r>
          </w:p>
        </w:tc>
        <w:tc>
          <w:tcPr>
            <w:tcW w:w="0" w:type="dxa"/>
            <w:vAlign w:val="bottom"/>
          </w:tcPr>
          <w:p>
            <w:pPr>
              <w:spacing w:after="0"/>
              <w:rPr>
                <w:sz w:val="1"/>
                <w:szCs w:val="1"/>
                <w:color w:val="auto"/>
              </w:rPr>
            </w:pPr>
          </w:p>
        </w:tc>
      </w:tr>
      <w:tr>
        <w:trPr>
          <w:trHeight w:val="131"/>
        </w:trPr>
        <w:tc>
          <w:tcPr>
            <w:tcW w:w="228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2,869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1,354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4,950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2,877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727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4,945</w:t>
            </w:r>
          </w:p>
        </w:tc>
        <w:tc>
          <w:tcPr>
            <w:tcW w:w="0" w:type="dxa"/>
            <w:vAlign w:val="bottom"/>
          </w:tcPr>
          <w:p>
            <w:pPr>
              <w:spacing w:after="0"/>
              <w:rPr>
                <w:sz w:val="1"/>
                <w:szCs w:val="1"/>
                <w:color w:val="auto"/>
              </w:rPr>
            </w:pPr>
          </w:p>
        </w:tc>
      </w:tr>
      <w:tr>
        <w:trPr>
          <w:trHeight w:val="136"/>
        </w:trPr>
        <w:tc>
          <w:tcPr>
            <w:tcW w:w="2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31,560</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31,560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32,701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32,701</w:t>
            </w:r>
          </w:p>
        </w:tc>
        <w:tc>
          <w:tcPr>
            <w:tcW w:w="0" w:type="dxa"/>
            <w:vAlign w:val="bottom"/>
          </w:tcPr>
          <w:p>
            <w:pPr>
              <w:spacing w:after="0"/>
              <w:rPr>
                <w:sz w:val="1"/>
                <w:szCs w:val="1"/>
                <w:color w:val="auto"/>
              </w:rPr>
            </w:pPr>
          </w:p>
        </w:tc>
      </w:tr>
      <w:tr>
        <w:trPr>
          <w:trHeight w:val="131"/>
        </w:trPr>
        <w:tc>
          <w:tcPr>
            <w:tcW w:w="228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20,123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1,389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(872)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20,640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20,348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1,108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(917)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20,539</w:t>
            </w:r>
          </w:p>
        </w:tc>
        <w:tc>
          <w:tcPr>
            <w:tcW w:w="0" w:type="dxa"/>
            <w:vAlign w:val="bottom"/>
          </w:tcPr>
          <w:p>
            <w:pPr>
              <w:spacing w:after="0"/>
              <w:rPr>
                <w:sz w:val="1"/>
                <w:szCs w:val="1"/>
                <w:color w:val="auto"/>
              </w:rPr>
            </w:pPr>
          </w:p>
        </w:tc>
      </w:tr>
      <w:tr>
        <w:trPr>
          <w:trHeight w:val="138"/>
        </w:trPr>
        <w:tc>
          <w:tcPr>
            <w:tcW w:w="2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Other assets(c)</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8,531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1,129</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9,672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7,995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322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1,069</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9,386</w:t>
            </w:r>
          </w:p>
        </w:tc>
        <w:tc>
          <w:tcPr>
            <w:tcW w:w="0" w:type="dxa"/>
            <w:vAlign w:val="bottom"/>
          </w:tcPr>
          <w:p>
            <w:pPr>
              <w:spacing w:after="0"/>
              <w:rPr>
                <w:sz w:val="1"/>
                <w:szCs w:val="1"/>
                <w:color w:val="auto"/>
              </w:rPr>
            </w:pPr>
          </w:p>
        </w:tc>
      </w:tr>
      <w:tr>
        <w:trPr>
          <w:trHeight w:val="139"/>
        </w:trPr>
        <w:tc>
          <w:tcPr>
            <w:tcW w:w="228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87,570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2,557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79,396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169,029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84,742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2,254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76,702</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163,586</w:t>
            </w:r>
          </w:p>
        </w:tc>
        <w:tc>
          <w:tcPr>
            <w:tcW w:w="0" w:type="dxa"/>
            <w:vAlign w:val="bottom"/>
          </w:tcPr>
          <w:p>
            <w:pPr>
              <w:spacing w:after="0"/>
              <w:rPr>
                <w:sz w:val="1"/>
                <w:szCs w:val="1"/>
                <w:color w:val="auto"/>
              </w:rPr>
            </w:pPr>
          </w:p>
        </w:tc>
      </w:tr>
      <w:tr>
        <w:trPr>
          <w:trHeight w:val="16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145,572</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127,175</w:t>
            </w: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275,833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138,419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5,510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121,544</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(1,436)</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264,037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0"/>
                <w:szCs w:val="10"/>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2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80" w:type="dxa"/>
            <w:vAlign w:val="bottom"/>
          </w:tcPr>
          <w:p>
            <w:pPr>
              <w:ind w:left="120"/>
              <w:spacing w:after="0"/>
              <w:rPr>
                <w:sz w:val="20"/>
                <w:szCs w:val="20"/>
                <w:color w:val="auto"/>
              </w:rPr>
            </w:pPr>
            <w:r>
              <w:rPr>
                <w:rFonts w:ascii="Arial" w:cs="Arial" w:eastAsia="Arial" w:hAnsi="Arial"/>
                <w:sz w:val="10"/>
                <w:szCs w:val="10"/>
                <w:color w:val="auto"/>
              </w:rPr>
              <w:t>Accounts payable (principally trade)(a)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29,701</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141</w:t>
            </w:r>
          </w:p>
        </w:tc>
        <w:tc>
          <w:tcPr>
            <w:tcW w:w="1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921</w:t>
            </w:r>
          </w:p>
        </w:tc>
        <w:tc>
          <w:tcPr>
            <w:tcW w:w="62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(963)</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29,800</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27,307</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146</w:t>
            </w:r>
          </w:p>
        </w:tc>
        <w:tc>
          <w:tcPr>
            <w:tcW w:w="1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712</w:t>
            </w:r>
          </w:p>
        </w:tc>
        <w:tc>
          <w:tcPr>
            <w:tcW w:w="70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(679)</w:t>
            </w:r>
          </w:p>
        </w:tc>
        <w:tc>
          <w:tcPr>
            <w:tcW w:w="2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27,486</w:t>
            </w:r>
          </w:p>
        </w:tc>
        <w:tc>
          <w:tcPr>
            <w:tcW w:w="0" w:type="dxa"/>
            <w:vAlign w:val="bottom"/>
          </w:tcPr>
          <w:p>
            <w:pPr>
              <w:spacing w:after="0"/>
              <w:rPr>
                <w:sz w:val="1"/>
                <w:szCs w:val="1"/>
                <w:color w:val="auto"/>
              </w:rPr>
            </w:pPr>
          </w:p>
        </w:tc>
      </w:tr>
      <w:tr>
        <w:trPr>
          <w:trHeight w:val="103"/>
        </w:trPr>
        <w:tc>
          <w:tcPr>
            <w:tcW w:w="2280" w:type="dxa"/>
            <w:vAlign w:val="bottom"/>
            <w:shd w:val="clear" w:color="auto" w:fill="CCEEFF"/>
          </w:tcPr>
          <w:p>
            <w:pPr>
              <w:ind w:left="120"/>
              <w:spacing w:after="0" w:line="103" w:lineRule="exact"/>
              <w:rPr>
                <w:sz w:val="20"/>
                <w:szCs w:val="20"/>
                <w:color w:val="auto"/>
              </w:rPr>
            </w:pPr>
            <w:r>
              <w:rPr>
                <w:rFonts w:ascii="Arial" w:cs="Arial" w:eastAsia="Arial" w:hAnsi="Arial"/>
                <w:sz w:val="10"/>
                <w:szCs w:val="10"/>
                <w:color w:val="auto"/>
              </w:rPr>
              <w:t>Short-term debt and current portion of long-term</w:t>
            </w: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28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0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(162)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444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2,144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(198)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1,959</w:t>
            </w: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36,224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36,224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36,819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36,819</w:t>
            </w:r>
          </w:p>
        </w:tc>
        <w:tc>
          <w:tcPr>
            <w:tcW w:w="0" w:type="dxa"/>
            <w:vAlign w:val="bottom"/>
          </w:tcPr>
          <w:p>
            <w:pPr>
              <w:spacing w:after="0"/>
              <w:rPr>
                <w:sz w:val="1"/>
                <w:szCs w:val="1"/>
                <w:color w:val="auto"/>
              </w:rPr>
            </w:pPr>
          </w:p>
        </w:tc>
      </w:tr>
      <w:tr>
        <w:trPr>
          <w:trHeight w:val="131"/>
        </w:trPr>
        <w:tc>
          <w:tcPr>
            <w:tcW w:w="2280" w:type="dxa"/>
            <w:vAlign w:val="bottom"/>
          </w:tcPr>
          <w:p>
            <w:pPr>
              <w:ind w:left="240"/>
              <w:spacing w:after="0"/>
              <w:rPr>
                <w:sz w:val="20"/>
                <w:szCs w:val="20"/>
                <w:color w:val="auto"/>
              </w:rPr>
            </w:pPr>
            <w:r>
              <w:rPr>
                <w:rFonts w:ascii="Arial" w:cs="Arial" w:eastAsia="Arial" w:hAnsi="Arial"/>
                <w:sz w:val="10"/>
                <w:szCs w:val="10"/>
                <w:color w:val="auto"/>
              </w:rPr>
              <w:t>Cruise</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Accrued liabilities(b)</w:t>
            </w: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19,773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6,328</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26,249</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18,662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6,081</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24,910</w:t>
            </w:r>
          </w:p>
        </w:tc>
        <w:tc>
          <w:tcPr>
            <w:tcW w:w="0" w:type="dxa"/>
            <w:vAlign w:val="bottom"/>
          </w:tcPr>
          <w:p>
            <w:pPr>
              <w:spacing w:after="0"/>
              <w:rPr>
                <w:sz w:val="1"/>
                <w:szCs w:val="1"/>
                <w:color w:val="auto"/>
              </w:rPr>
            </w:pPr>
          </w:p>
        </w:tc>
      </w:tr>
      <w:tr>
        <w:trPr>
          <w:trHeight w:val="121"/>
        </w:trPr>
        <w:tc>
          <w:tcPr>
            <w:tcW w:w="2280" w:type="dxa"/>
            <w:vAlign w:val="bottom"/>
          </w:tcPr>
          <w:p>
            <w:pPr>
              <w:ind w:left="120"/>
              <w:spacing w:after="0"/>
              <w:rPr>
                <w:sz w:val="20"/>
                <w:szCs w:val="20"/>
                <w:color w:val="auto"/>
              </w:rPr>
            </w:pPr>
            <w:r>
              <w:rPr>
                <w:rFonts w:ascii="Arial" w:cs="Arial" w:eastAsia="Arial" w:hAnsi="Arial"/>
                <w:sz w:val="10"/>
                <w:szCs w:val="10"/>
                <w:color w:val="auto"/>
              </w:rPr>
              <w:t>Total current liabilities</w:t>
            </w:r>
          </w:p>
        </w:tc>
        <w:tc>
          <w:tcPr>
            <w:tcW w:w="10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50,059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43,473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(1,508)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92,718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48,113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772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43,612</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91,173</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280" w:type="dxa"/>
            <w:vAlign w:val="bottom"/>
          </w:tcPr>
          <w:p>
            <w:pPr>
              <w:ind w:left="120"/>
              <w:spacing w:after="0"/>
              <w:rPr>
                <w:sz w:val="20"/>
                <w:szCs w:val="20"/>
                <w:color w:val="auto"/>
              </w:rPr>
            </w:pPr>
            <w:r>
              <w:rPr>
                <w:rFonts w:ascii="Arial" w:cs="Arial" w:eastAsia="Arial" w:hAnsi="Arial"/>
                <w:sz w:val="10"/>
                <w:szCs w:val="10"/>
                <w:color w:val="auto"/>
              </w:rPr>
              <w:t>Long-term debt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Automotive(c)</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15,976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15,981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15,879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15,885</w:t>
            </w:r>
          </w:p>
        </w:tc>
        <w:tc>
          <w:tcPr>
            <w:tcW w:w="0" w:type="dxa"/>
            <w:vAlign w:val="bottom"/>
          </w:tcPr>
          <w:p>
            <w:pPr>
              <w:spacing w:after="0"/>
              <w:rPr>
                <w:sz w:val="1"/>
                <w:szCs w:val="1"/>
                <w:color w:val="auto"/>
              </w:rPr>
            </w:pPr>
          </w:p>
        </w:tc>
      </w:tr>
      <w:tr>
        <w:trPr>
          <w:trHeight w:val="131"/>
        </w:trPr>
        <w:tc>
          <w:tcPr>
            <w:tcW w:w="2280" w:type="dxa"/>
            <w:vAlign w:val="bottom"/>
          </w:tcPr>
          <w:p>
            <w:pPr>
              <w:ind w:left="240"/>
              <w:spacing w:after="0"/>
              <w:rPr>
                <w:sz w:val="20"/>
                <w:szCs w:val="20"/>
                <w:color w:val="auto"/>
              </w:rPr>
            </w:pPr>
            <w:r>
              <w:rPr>
                <w:rFonts w:ascii="Arial" w:cs="Arial" w:eastAsia="Arial" w:hAnsi="Arial"/>
                <w:sz w:val="10"/>
                <w:szCs w:val="10"/>
                <w:color w:val="auto"/>
              </w:rPr>
              <w:t>GM Financial</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65,394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65,394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60,036</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60,036</w:t>
            </w:r>
          </w:p>
        </w:tc>
        <w:tc>
          <w:tcPr>
            <w:tcW w:w="0" w:type="dxa"/>
            <w:vAlign w:val="bottom"/>
          </w:tcPr>
          <w:p>
            <w:pPr>
              <w:spacing w:after="0"/>
              <w:rPr>
                <w:sz w:val="1"/>
                <w:szCs w:val="1"/>
                <w:color w:val="auto"/>
              </w:rPr>
            </w:pPr>
          </w:p>
        </w:tc>
      </w:tr>
      <w:tr>
        <w:trPr>
          <w:trHeight w:val="136"/>
        </w:trPr>
        <w:tc>
          <w:tcPr>
            <w:tcW w:w="2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Cruise</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112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28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4,148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4,148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4,193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4,193</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5,698</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12,962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2,540</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15,938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11,927</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465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2,375</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14,767</w:t>
            </w:r>
          </w:p>
        </w:tc>
        <w:tc>
          <w:tcPr>
            <w:tcW w:w="0" w:type="dxa"/>
            <w:vAlign w:val="bottom"/>
          </w:tcPr>
          <w:p>
            <w:pPr>
              <w:spacing w:after="0"/>
              <w:rPr>
                <w:sz w:val="1"/>
                <w:szCs w:val="1"/>
                <w:color w:val="auto"/>
              </w:rPr>
            </w:pPr>
          </w:p>
        </w:tc>
      </w:tr>
      <w:tr>
        <w:trPr>
          <w:trHeight w:val="129"/>
        </w:trPr>
        <w:tc>
          <w:tcPr>
            <w:tcW w:w="2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38,758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937</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67,941</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107,142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37,691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583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62,417</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100,579</w:t>
            </w:r>
          </w:p>
        </w:tc>
        <w:tc>
          <w:tcPr>
            <w:tcW w:w="0" w:type="dxa"/>
            <w:vAlign w:val="bottom"/>
          </w:tcPr>
          <w:p>
            <w:pPr>
              <w:spacing w:after="0"/>
              <w:rPr>
                <w:sz w:val="1"/>
                <w:szCs w:val="1"/>
                <w:color w:val="auto"/>
              </w:rPr>
            </w:pPr>
          </w:p>
        </w:tc>
      </w:tr>
      <w:tr>
        <w:trPr>
          <w:trHeight w:val="136"/>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88,817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1,632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111,415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199,861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85,804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1,356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106,029</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191,752</w:t>
            </w:r>
          </w:p>
        </w:tc>
        <w:tc>
          <w:tcPr>
            <w:tcW w:w="0" w:type="dxa"/>
            <w:vAlign w:val="bottom"/>
          </w:tcPr>
          <w:p>
            <w:pPr>
              <w:spacing w:after="0"/>
              <w:rPr>
                <w:sz w:val="1"/>
                <w:szCs w:val="1"/>
                <w:color w:val="auto"/>
              </w:rPr>
            </w:pPr>
          </w:p>
        </w:tc>
      </w:tr>
      <w:tr>
        <w:trPr>
          <w:trHeight w:val="106"/>
        </w:trPr>
        <w:tc>
          <w:tcPr>
            <w:tcW w:w="2280" w:type="dxa"/>
            <w:vAlign w:val="bottom"/>
            <w:shd w:val="clear" w:color="auto" w:fill="CCEEFF"/>
          </w:tcPr>
          <w:p>
            <w:pPr>
              <w:ind w:left="120"/>
              <w:spacing w:after="0" w:line="106" w:lineRule="exact"/>
              <w:rPr>
                <w:sz w:val="20"/>
                <w:szCs w:val="20"/>
                <w:color w:val="auto"/>
              </w:rPr>
            </w:pPr>
            <w:r>
              <w:rPr>
                <w:rFonts w:ascii="Arial" w:cs="Arial" w:eastAsia="Arial" w:hAnsi="Arial"/>
                <w:sz w:val="10"/>
                <w:szCs w:val="10"/>
                <w:color w:val="auto"/>
              </w:rPr>
              <w:t>Noncontrolling interest - Cruise Stock Incentive</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Awards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w:t>
            </w:r>
          </w:p>
        </w:tc>
        <w:tc>
          <w:tcPr>
            <w:tcW w:w="0" w:type="dxa"/>
            <w:vAlign w:val="bottom"/>
          </w:tcPr>
          <w:p>
            <w:pPr>
              <w:spacing w:after="0"/>
              <w:rPr>
                <w:sz w:val="1"/>
                <w:szCs w:val="1"/>
                <w:color w:val="auto"/>
              </w:rPr>
            </w:pPr>
          </w:p>
        </w:tc>
      </w:tr>
      <w:tr>
        <w:trPr>
          <w:trHeight w:val="138"/>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280" w:type="dxa"/>
            <w:vAlign w:val="bottom"/>
          </w:tcPr>
          <w:p>
            <w:pPr>
              <w:ind w:left="80"/>
              <w:spacing w:after="0"/>
              <w:rPr>
                <w:sz w:val="20"/>
                <w:szCs w:val="20"/>
                <w:color w:val="auto"/>
              </w:rPr>
            </w:pPr>
            <w:r>
              <w:rPr>
                <w:rFonts w:ascii="Arial" w:cs="Arial" w:eastAsia="Arial" w:hAnsi="Arial"/>
                <w:sz w:val="10"/>
                <w:szCs w:val="10"/>
                <w:color w:val="auto"/>
              </w:rPr>
              <w:t>Additional paid-in capital(d)</w:t>
            </w:r>
          </w:p>
        </w:tc>
        <w:tc>
          <w:tcPr>
            <w:tcW w:w="10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25,939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1,374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(1,349)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26,078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26,313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1,433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26,428</w:t>
            </w:r>
          </w:p>
        </w:tc>
        <w:tc>
          <w:tcPr>
            <w:tcW w:w="0" w:type="dxa"/>
            <w:vAlign w:val="bottom"/>
          </w:tcPr>
          <w:p>
            <w:pPr>
              <w:spacing w:after="0"/>
              <w:rPr>
                <w:sz w:val="1"/>
                <w:szCs w:val="1"/>
                <w:color w:val="auto"/>
              </w:rPr>
            </w:pPr>
          </w:p>
        </w:tc>
      </w:tr>
      <w:tr>
        <w:trPr>
          <w:trHeight w:val="145"/>
        </w:trPr>
        <w:tc>
          <w:tcPr>
            <w:tcW w:w="228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Retained earnings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36,679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15,673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53,517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32,054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15,429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49,251</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Accumulated other comprehensive loss</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(6,666)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(1,287)</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(7,953)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(6,552)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(1,348)</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(7,901)</w:t>
            </w:r>
          </w:p>
        </w:tc>
        <w:tc>
          <w:tcPr>
            <w:tcW w:w="0" w:type="dxa"/>
            <w:vAlign w:val="bottom"/>
          </w:tcPr>
          <w:p>
            <w:pPr>
              <w:spacing w:after="0"/>
              <w:rPr>
                <w:sz w:val="1"/>
                <w:szCs w:val="1"/>
                <w:color w:val="auto"/>
              </w:rPr>
            </w:pPr>
          </w:p>
        </w:tc>
      </w:tr>
      <w:tr>
        <w:trPr>
          <w:trHeight w:val="136"/>
        </w:trPr>
        <w:tc>
          <w:tcPr>
            <w:tcW w:w="2280" w:type="dxa"/>
            <w:vAlign w:val="bottom"/>
            <w:shd w:val="clear" w:color="auto" w:fill="CCEEFF"/>
          </w:tcPr>
          <w:p>
            <w:pPr>
              <w:ind w:left="80"/>
              <w:spacing w:after="0"/>
              <w:rPr>
                <w:sz w:val="20"/>
                <w:szCs w:val="20"/>
                <w:color w:val="auto"/>
              </w:rPr>
            </w:pPr>
            <w:r>
              <w:rPr>
                <w:rFonts w:ascii="Arial" w:cs="Arial" w:eastAsia="Arial" w:hAnsi="Arial"/>
                <w:sz w:val="10"/>
                <w:szCs w:val="10"/>
                <w:color w:val="auto"/>
              </w:rPr>
              <w:t>Total stockholders’ equity</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55,965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15,760</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71,655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51,829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15,515</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67,792</w:t>
            </w:r>
          </w:p>
        </w:tc>
        <w:tc>
          <w:tcPr>
            <w:tcW w:w="0" w:type="dxa"/>
            <w:vAlign w:val="bottom"/>
          </w:tcPr>
          <w:p>
            <w:pPr>
              <w:spacing w:after="0"/>
              <w:rPr>
                <w:sz w:val="1"/>
                <w:szCs w:val="1"/>
                <w:color w:val="auto"/>
              </w:rPr>
            </w:pPr>
          </w:p>
        </w:tc>
      </w:tr>
      <w:tr>
        <w:trPr>
          <w:trHeight w:val="136"/>
        </w:trPr>
        <w:tc>
          <w:tcPr>
            <w:tcW w:w="2280" w:type="dxa"/>
            <w:vAlign w:val="bottom"/>
          </w:tcPr>
          <w:p>
            <w:pPr>
              <w:ind w:left="80"/>
              <w:spacing w:after="0"/>
              <w:rPr>
                <w:sz w:val="20"/>
                <w:szCs w:val="20"/>
                <w:color w:val="auto"/>
              </w:rPr>
            </w:pPr>
            <w:r>
              <w:rPr>
                <w:rFonts w:ascii="Arial" w:cs="Arial" w:eastAsia="Arial" w:hAnsi="Arial"/>
                <w:sz w:val="10"/>
                <w:szCs w:val="10"/>
                <w:color w:val="auto"/>
              </w:rPr>
              <w:t>Noncontrolling interests(d)</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1,892</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1,348</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4,030</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786</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1,942</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1,407</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4,135</w:t>
            </w:r>
          </w:p>
        </w:tc>
        <w:tc>
          <w:tcPr>
            <w:tcW w:w="0" w:type="dxa"/>
            <w:vAlign w:val="bottom"/>
          </w:tcPr>
          <w:p>
            <w:pPr>
              <w:spacing w:after="0"/>
              <w:rPr>
                <w:sz w:val="1"/>
                <w:szCs w:val="1"/>
                <w:color w:val="auto"/>
              </w:rPr>
            </w:pPr>
          </w:p>
        </w:tc>
      </w:tr>
      <w:tr>
        <w:trPr>
          <w:trHeight w:val="141"/>
        </w:trPr>
        <w:tc>
          <w:tcPr>
            <w:tcW w:w="22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Equity</w:t>
            </w: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56,755</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15,760</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75,685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52,615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3,797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15,515</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71,927</w:t>
            </w:r>
          </w:p>
        </w:tc>
        <w:tc>
          <w:tcPr>
            <w:tcW w:w="0" w:type="dxa"/>
            <w:vAlign w:val="bottom"/>
          </w:tcPr>
          <w:p>
            <w:pPr>
              <w:spacing w:after="0"/>
              <w:rPr>
                <w:sz w:val="1"/>
                <w:szCs w:val="1"/>
                <w:color w:val="auto"/>
              </w:rPr>
            </w:pPr>
          </w:p>
        </w:tc>
      </w:tr>
      <w:tr>
        <w:trPr>
          <w:trHeight w:val="129"/>
        </w:trPr>
        <w:tc>
          <w:tcPr>
            <w:tcW w:w="2280" w:type="dxa"/>
            <w:vAlign w:val="bottom"/>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145,572</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5,089</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127,175</w:t>
            </w: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(2,003)</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275,833</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138,419</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5,510</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121,544</w:t>
            </w:r>
          </w:p>
        </w:tc>
        <w:tc>
          <w:tcPr>
            <w:tcW w:w="100" w:type="dxa"/>
            <w:vAlign w:val="bottom"/>
          </w:tcPr>
          <w:p>
            <w:pPr>
              <w:spacing w:after="0"/>
              <w:rPr>
                <w:sz w:val="11"/>
                <w:szCs w:val="11"/>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264,037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9" w:lineRule="exact"/>
        <w:rPr>
          <w:sz w:val="20"/>
          <w:szCs w:val="20"/>
          <w:color w:val="auto"/>
        </w:rPr>
      </w:pPr>
    </w:p>
    <w:p>
      <w:pPr>
        <w:ind w:left="260" w:hanging="255"/>
        <w:spacing w:after="0" w:line="262" w:lineRule="auto"/>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from Automotive of $605 million offset by Automotive accounts payable and Automotive accounts receivable from GM Financial of $318 million offset by GM Financial accounts payable at June 30, 2023; and GM Financial accounts and notes receivable of $495 million offset by Automotive accounts payable and Automotive accounts receivable of $115 million offset by GM Financial accounts payable at December 31, 2022.</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primarily related to intercompany asset transfers between Automotive and Cruise for AV capital.</w:t>
      </w:r>
    </w:p>
    <w:p>
      <w:pPr>
        <w:spacing w:after="0" w:line="8"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related to deferral agreement between Cruise and Automotive as regards engineering and capital spending incurred by Automotive on behalf of Cruise resulting in a long term payable for Cruise offset by a long term receivable for Automotive.</w:t>
      </w:r>
    </w:p>
    <w:p>
      <w:pPr>
        <w:spacing w:after="0" w:line="14"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w:t>
      </w:r>
    </w:p>
    <w:p>
      <w:pPr>
        <w:spacing w:after="0" w:line="36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698" w:right="319" w:bottom="1440" w:gutter="0" w:footer="0" w:header="0"/>
        </w:sectPr>
      </w:pPr>
    </w:p>
    <w:bookmarkStart w:id="19" w:name="page20"/>
    <w:bookmarkEnd w:id="19"/>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ind w:left="460"/>
              <w:spacing w:after="0"/>
              <w:rPr>
                <w:sz w:val="20"/>
                <w:szCs w:val="20"/>
                <w:color w:val="auto"/>
              </w:rPr>
            </w:pPr>
            <w:r>
              <w:rPr>
                <w:rFonts w:ascii="Arial" w:cs="Arial" w:eastAsia="Arial" w:hAnsi="Arial"/>
                <w:sz w:val="10"/>
                <w:szCs w:val="10"/>
                <w:b w:val="1"/>
                <w:bCs w:val="1"/>
                <w:color w:val="auto"/>
              </w:rPr>
              <w:t>Six Months Ended June 30, 2023</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6"/>
          </w:tcPr>
          <w:p>
            <w:pPr>
              <w:ind w:left="480"/>
              <w:spacing w:after="0"/>
              <w:rPr>
                <w:sz w:val="20"/>
                <w:szCs w:val="20"/>
                <w:color w:val="auto"/>
              </w:rPr>
            </w:pPr>
            <w:r>
              <w:rPr>
                <w:rFonts w:ascii="Arial" w:cs="Arial" w:eastAsia="Arial" w:hAnsi="Arial"/>
                <w:sz w:val="10"/>
                <w:szCs w:val="10"/>
                <w:b w:val="1"/>
                <w:bCs w:val="1"/>
                <w:color w:val="auto"/>
              </w:rPr>
              <w:t>Six Months Ended June 30, 2022</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9"/>
                <w:szCs w:val="9"/>
                <w:color w:val="auto"/>
              </w:rPr>
            </w:pPr>
          </w:p>
        </w:tc>
        <w:tc>
          <w:tcPr>
            <w:tcW w:w="6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8"/>
                <w:szCs w:val="8"/>
                <w:b w:val="1"/>
                <w:bCs w:val="1"/>
                <w:color w:val="auto"/>
              </w:rPr>
              <w:t>GM Financial</w:t>
            </w:r>
          </w:p>
        </w:tc>
        <w:tc>
          <w:tcPr>
            <w:tcW w:w="100" w:type="dxa"/>
            <w:vAlign w:val="bottom"/>
          </w:tcPr>
          <w:p>
            <w:pPr>
              <w:spacing w:after="0"/>
              <w:rPr>
                <w:sz w:val="9"/>
                <w:szCs w:val="9"/>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Automotive</w:t>
            </w: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31"/>
              <w:spacing w:after="0"/>
              <w:rPr>
                <w:sz w:val="20"/>
                <w:szCs w:val="20"/>
                <w:color w:val="auto"/>
              </w:rPr>
            </w:pPr>
            <w:r>
              <w:rPr>
                <w:rFonts w:ascii="Arial" w:cs="Arial" w:eastAsia="Arial" w:hAnsi="Arial"/>
                <w:sz w:val="8"/>
                <w:szCs w:val="8"/>
                <w:b w:val="1"/>
                <w:bCs w:val="1"/>
                <w:color w:val="auto"/>
              </w:rPr>
              <w:t>Cruise</w:t>
            </w:r>
          </w:p>
        </w:tc>
        <w:tc>
          <w:tcPr>
            <w:tcW w:w="100" w:type="dxa"/>
            <w:vAlign w:val="bottom"/>
          </w:tcPr>
          <w:p>
            <w:pPr>
              <w:spacing w:after="0"/>
              <w:rPr>
                <w:sz w:val="9"/>
                <w:szCs w:val="9"/>
                <w:color w:val="auto"/>
              </w:rPr>
            </w:pP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8"/>
                <w:szCs w:val="8"/>
                <w:b w:val="1"/>
                <w:bCs w:val="1"/>
                <w:color w:val="auto"/>
              </w:rPr>
              <w:t>GM Financial</w:t>
            </w:r>
          </w:p>
        </w:tc>
        <w:tc>
          <w:tcPr>
            <w:tcW w:w="100" w:type="dxa"/>
            <w:vAlign w:val="bottom"/>
          </w:tcPr>
          <w:p>
            <w:pPr>
              <w:spacing w:after="0"/>
              <w:rPr>
                <w:sz w:val="9"/>
                <w:szCs w:val="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35"/>
        </w:trPr>
        <w:tc>
          <w:tcPr>
            <w:tcW w:w="238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3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4,508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(781)</w:t>
            </w:r>
          </w:p>
        </w:tc>
        <w:tc>
          <w:tcPr>
            <w:tcW w:w="260" w:type="dxa"/>
            <w:vAlign w:val="bottom"/>
            <w:gridSpan w:val="2"/>
            <w:shd w:val="clear" w:color="auto" w:fill="CCEEFF"/>
          </w:tcPr>
          <w:p>
            <w:pPr>
              <w:jc w:val="right"/>
              <w:ind w:right="58"/>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(1,076)</w:t>
            </w:r>
          </w:p>
        </w:tc>
        <w:tc>
          <w:tcPr>
            <w:tcW w:w="280" w:type="dxa"/>
            <w:vAlign w:val="bottom"/>
            <w:gridSpan w:val="2"/>
            <w:shd w:val="clear" w:color="auto" w:fill="CCEEFF"/>
          </w:tcPr>
          <w:p>
            <w:pPr>
              <w:jc w:val="right"/>
              <w:ind w:right="78"/>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1,801</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4,449</w:t>
            </w:r>
          </w:p>
        </w:tc>
        <w:tc>
          <w:tcPr>
            <w:tcW w:w="0" w:type="dxa"/>
            <w:vAlign w:val="bottom"/>
          </w:tcPr>
          <w:p>
            <w:pPr>
              <w:spacing w:after="0"/>
              <w:rPr>
                <w:sz w:val="1"/>
                <w:szCs w:val="1"/>
                <w:color w:val="auto"/>
              </w:rPr>
            </w:pPr>
          </w:p>
        </w:tc>
      </w:tr>
      <w:tr>
        <w:trPr>
          <w:trHeight w:val="106"/>
        </w:trPr>
        <w:tc>
          <w:tcPr>
            <w:tcW w:w="2380" w:type="dxa"/>
            <w:vAlign w:val="bottom"/>
          </w:tcPr>
          <w:p>
            <w:pPr>
              <w:ind w:left="120"/>
              <w:spacing w:after="0" w:line="106" w:lineRule="exact"/>
              <w:rPr>
                <w:sz w:val="20"/>
                <w:szCs w:val="20"/>
                <w:color w:val="auto"/>
              </w:rPr>
            </w:pPr>
            <w:r>
              <w:rPr>
                <w:rFonts w:ascii="Arial" w:cs="Arial" w:eastAsia="Arial" w:hAnsi="Arial"/>
                <w:sz w:val="10"/>
                <w:szCs w:val="10"/>
                <w:color w:val="auto"/>
              </w:rPr>
              <w:t>Depreciation and impairment of Equipment on</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240"/>
              <w:spacing w:after="0"/>
              <w:rPr>
                <w:sz w:val="20"/>
                <w:szCs w:val="20"/>
                <w:color w:val="auto"/>
              </w:rPr>
            </w:pPr>
            <w:r>
              <w:rPr>
                <w:rFonts w:ascii="Arial" w:cs="Arial" w:eastAsia="Arial" w:hAnsi="Arial"/>
                <w:sz w:val="10"/>
                <w:szCs w:val="10"/>
                <w:color w:val="auto"/>
              </w:rPr>
              <w:t>operating leases, net</w:t>
            </w:r>
          </w:p>
        </w:tc>
        <w:tc>
          <w:tcPr>
            <w:tcW w:w="1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2,476</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2,476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2,427</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2,427</w:t>
            </w:r>
          </w:p>
        </w:tc>
        <w:tc>
          <w:tcPr>
            <w:tcW w:w="0" w:type="dxa"/>
            <w:vAlign w:val="bottom"/>
          </w:tcPr>
          <w:p>
            <w:pPr>
              <w:spacing w:after="0"/>
              <w:rPr>
                <w:sz w:val="1"/>
                <w:szCs w:val="1"/>
                <w:color w:val="auto"/>
              </w:rPr>
            </w:pPr>
          </w:p>
        </w:tc>
      </w:tr>
      <w:tr>
        <w:trPr>
          <w:trHeight w:val="103"/>
        </w:trPr>
        <w:tc>
          <w:tcPr>
            <w:tcW w:w="2380" w:type="dxa"/>
            <w:vAlign w:val="bottom"/>
            <w:shd w:val="clear" w:color="auto" w:fill="CCEEFF"/>
          </w:tcPr>
          <w:p>
            <w:pPr>
              <w:ind w:left="120"/>
              <w:spacing w:after="0" w:line="103" w:lineRule="exact"/>
              <w:rPr>
                <w:sz w:val="20"/>
                <w:szCs w:val="20"/>
                <w:color w:val="auto"/>
              </w:rPr>
            </w:pPr>
            <w:r>
              <w:rPr>
                <w:rFonts w:ascii="Arial" w:cs="Arial" w:eastAsia="Arial" w:hAnsi="Arial"/>
                <w:sz w:val="10"/>
                <w:szCs w:val="10"/>
                <w:color w:val="auto"/>
                <w:w w:val="99"/>
              </w:rPr>
              <w:t>Depreciation, amortization and impairment charges</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3,236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3,270</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3,267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3,320</w:t>
            </w:r>
          </w:p>
        </w:tc>
        <w:tc>
          <w:tcPr>
            <w:tcW w:w="0" w:type="dxa"/>
            <w:vAlign w:val="bottom"/>
          </w:tcPr>
          <w:p>
            <w:pPr>
              <w:spacing w:after="0"/>
              <w:rPr>
                <w:sz w:val="1"/>
                <w:szCs w:val="1"/>
                <w:color w:val="auto"/>
              </w:rPr>
            </w:pPr>
          </w:p>
        </w:tc>
      </w:tr>
      <w:tr>
        <w:trPr>
          <w:trHeight w:val="129"/>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on Property, net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80" w:type="dxa"/>
            <w:vAlign w:val="bottom"/>
          </w:tcPr>
          <w:p>
            <w:pPr>
              <w:ind w:left="120"/>
              <w:spacing w:after="0" w:line="96" w:lineRule="exact"/>
              <w:rPr>
                <w:sz w:val="20"/>
                <w:szCs w:val="20"/>
                <w:color w:val="auto"/>
              </w:rPr>
            </w:pPr>
            <w:r>
              <w:rPr>
                <w:rFonts w:ascii="Arial" w:cs="Arial" w:eastAsia="Arial" w:hAnsi="Arial"/>
                <w:sz w:val="10"/>
                <w:szCs w:val="10"/>
                <w:color w:val="auto"/>
              </w:rPr>
              <w:t>Foreign currency remeasurement and transaction</w:t>
            </w:r>
          </w:p>
        </w:tc>
        <w:tc>
          <w:tcPr>
            <w:tcW w:w="10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144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148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76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31"/>
        </w:trPr>
        <w:tc>
          <w:tcPr>
            <w:tcW w:w="2380" w:type="dxa"/>
            <w:vAlign w:val="bottom"/>
          </w:tcPr>
          <w:p>
            <w:pPr>
              <w:ind w:left="240"/>
              <w:spacing w:after="0"/>
              <w:rPr>
                <w:sz w:val="20"/>
                <w:szCs w:val="20"/>
                <w:color w:val="auto"/>
              </w:rPr>
            </w:pPr>
            <w:r>
              <w:rPr>
                <w:rFonts w:ascii="Arial" w:cs="Arial" w:eastAsia="Arial" w:hAnsi="Arial"/>
                <w:sz w:val="10"/>
                <w:szCs w:val="10"/>
                <w:color w:val="auto"/>
              </w:rPr>
              <w:t>(gains) losses</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380" w:type="dxa"/>
            <w:vAlign w:val="bottom"/>
            <w:shd w:val="clear" w:color="auto" w:fill="CCEEFF"/>
          </w:tcPr>
          <w:p>
            <w:pPr>
              <w:ind w:left="120"/>
              <w:spacing w:after="0" w:line="114" w:lineRule="exact"/>
              <w:rPr>
                <w:sz w:val="20"/>
                <w:szCs w:val="20"/>
                <w:color w:val="auto"/>
              </w:rPr>
            </w:pPr>
            <w:r>
              <w:rPr>
                <w:rFonts w:ascii="Arial" w:cs="Arial" w:eastAsia="Arial" w:hAnsi="Arial"/>
                <w:sz w:val="10"/>
                <w:szCs w:val="10"/>
                <w:color w:val="auto"/>
              </w:rPr>
              <w:t>Undistributed earnings of nonconsolidated</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affiliates, net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w:t>
            </w: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(401)</w:t>
            </w:r>
          </w:p>
        </w:tc>
        <w:tc>
          <w:tcPr>
            <w:tcW w:w="0" w:type="dxa"/>
            <w:vAlign w:val="bottom"/>
          </w:tcPr>
          <w:p>
            <w:pPr>
              <w:spacing w:after="0"/>
              <w:rPr>
                <w:sz w:val="1"/>
                <w:szCs w:val="1"/>
                <w:color w:val="auto"/>
              </w:rPr>
            </w:pPr>
          </w:p>
        </w:tc>
      </w:tr>
      <w:tr>
        <w:trPr>
          <w:trHeight w:val="136"/>
        </w:trPr>
        <w:tc>
          <w:tcPr>
            <w:tcW w:w="2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(41)</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(602)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(602)</w:t>
            </w: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391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699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(1,032)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411</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03"/>
        </w:trPr>
        <w:tc>
          <w:tcPr>
            <w:tcW w:w="2380" w:type="dxa"/>
            <w:vAlign w:val="bottom"/>
            <w:shd w:val="clear" w:color="auto" w:fill="CCEEFF"/>
          </w:tcPr>
          <w:p>
            <w:pPr>
              <w:ind w:left="120"/>
              <w:spacing w:after="0" w:line="103" w:lineRule="exact"/>
              <w:rPr>
                <w:sz w:val="20"/>
                <w:szCs w:val="20"/>
                <w:color w:val="auto"/>
              </w:rPr>
            </w:pPr>
            <w:r>
              <w:rPr>
                <w:rFonts w:ascii="Arial" w:cs="Arial" w:eastAsia="Arial" w:hAnsi="Arial"/>
                <w:sz w:val="10"/>
                <w:szCs w:val="10"/>
                <w:color w:val="auto"/>
              </w:rPr>
              <w:t>Change in other operating assets and liabilities(a)</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1,296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285</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(163)</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(1,140)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278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(1,529)</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1,305</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(2,223)</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(1,473)</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(3,919)</w:t>
            </w:r>
          </w:p>
        </w:tc>
        <w:tc>
          <w:tcPr>
            <w:tcW w:w="0" w:type="dxa"/>
            <w:vAlign w:val="bottom"/>
          </w:tcPr>
          <w:p>
            <w:pPr>
              <w:spacing w:after="0"/>
              <w:rPr>
                <w:sz w:val="1"/>
                <w:szCs w:val="1"/>
                <w:color w:val="auto"/>
              </w:rPr>
            </w:pPr>
          </w:p>
        </w:tc>
      </w:tr>
      <w:tr>
        <w:trPr>
          <w:trHeight w:val="131"/>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(c)</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380" w:type="dxa"/>
            <w:vAlign w:val="bottom"/>
          </w:tcPr>
          <w:p>
            <w:pPr>
              <w:ind w:left="20"/>
              <w:spacing w:after="0" w:line="93" w:lineRule="exact"/>
              <w:rPr>
                <w:sz w:val="20"/>
                <w:szCs w:val="20"/>
                <w:color w:val="auto"/>
              </w:rPr>
            </w:pPr>
            <w:r>
              <w:rPr>
                <w:rFonts w:ascii="Arial" w:cs="Arial" w:eastAsia="Arial" w:hAnsi="Arial"/>
                <w:sz w:val="10"/>
                <w:szCs w:val="10"/>
                <w:b w:val="1"/>
                <w:bCs w:val="1"/>
                <w:color w:val="auto"/>
              </w:rPr>
              <w:t>Net cash provided by (used in) operating</w:t>
            </w:r>
          </w:p>
        </w:tc>
        <w:tc>
          <w:tcPr>
            <w:tcW w:w="10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9,346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(940)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3,411</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(1,140)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10,677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5,104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(776)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2,366</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(1,465)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5,228</w:t>
            </w:r>
          </w:p>
        </w:tc>
        <w:tc>
          <w:tcPr>
            <w:tcW w:w="0" w:type="dxa"/>
            <w:vAlign w:val="bottom"/>
          </w:tcPr>
          <w:p>
            <w:pPr>
              <w:spacing w:after="0"/>
              <w:rPr>
                <w:sz w:val="1"/>
                <w:szCs w:val="1"/>
                <w:color w:val="auto"/>
              </w:rPr>
            </w:pPr>
          </w:p>
        </w:tc>
      </w:tr>
      <w:tr>
        <w:trPr>
          <w:trHeight w:val="138"/>
        </w:trPr>
        <w:tc>
          <w:tcPr>
            <w:tcW w:w="238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Expenditures for property</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(4,544)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(4,683)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(3,717)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(3,829)</w:t>
            </w:r>
          </w:p>
        </w:tc>
        <w:tc>
          <w:tcPr>
            <w:tcW w:w="0" w:type="dxa"/>
            <w:vAlign w:val="bottom"/>
          </w:tcPr>
          <w:p>
            <w:pPr>
              <w:spacing w:after="0"/>
              <w:rPr>
                <w:sz w:val="1"/>
                <w:szCs w:val="1"/>
                <w:color w:val="auto"/>
              </w:rPr>
            </w:pPr>
          </w:p>
        </w:tc>
      </w:tr>
      <w:tr>
        <w:trPr>
          <w:trHeight w:val="103"/>
        </w:trPr>
        <w:tc>
          <w:tcPr>
            <w:tcW w:w="2380" w:type="dxa"/>
            <w:vAlign w:val="bottom"/>
            <w:shd w:val="clear" w:color="auto" w:fill="CCEEFF"/>
          </w:tcPr>
          <w:p>
            <w:pPr>
              <w:ind w:left="120"/>
              <w:spacing w:after="0" w:line="103" w:lineRule="exact"/>
              <w:rPr>
                <w:sz w:val="20"/>
                <w:szCs w:val="20"/>
                <w:color w:val="auto"/>
              </w:rPr>
            </w:pPr>
            <w:r>
              <w:rPr>
                <w:rFonts w:ascii="Arial" w:cs="Arial" w:eastAsia="Arial" w:hAnsi="Arial"/>
                <w:sz w:val="10"/>
                <w:szCs w:val="10"/>
                <w:color w:val="auto"/>
              </w:rPr>
              <w:t>Available-for-sale marketable securities,</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(2,354)</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(374)</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(2,727)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(3,684)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(1,920)</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(5,605)</w:t>
            </w:r>
          </w:p>
        </w:tc>
        <w:tc>
          <w:tcPr>
            <w:tcW w:w="0" w:type="dxa"/>
            <w:vAlign w:val="bottom"/>
          </w:tcPr>
          <w:p>
            <w:pPr>
              <w:spacing w:after="0"/>
              <w:rPr>
                <w:sz w:val="1"/>
                <w:szCs w:val="1"/>
                <w:color w:val="auto"/>
              </w:rPr>
            </w:pPr>
          </w:p>
        </w:tc>
      </w:tr>
      <w:tr>
        <w:trPr>
          <w:trHeight w:val="129"/>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acquisitions</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80" w:type="dxa"/>
            <w:vAlign w:val="bottom"/>
          </w:tcPr>
          <w:p>
            <w:pPr>
              <w:ind w:left="120"/>
              <w:spacing w:after="0" w:line="96" w:lineRule="exact"/>
              <w:rPr>
                <w:sz w:val="20"/>
                <w:szCs w:val="20"/>
                <w:color w:val="auto"/>
              </w:rPr>
            </w:pPr>
            <w:r>
              <w:rPr>
                <w:rFonts w:ascii="Arial" w:cs="Arial" w:eastAsia="Arial" w:hAnsi="Arial"/>
                <w:sz w:val="10"/>
                <w:szCs w:val="10"/>
                <w:color w:val="auto"/>
              </w:rPr>
              <w:t>Available-for-sale marketable securities,</w:t>
            </w:r>
          </w:p>
        </w:tc>
        <w:tc>
          <w:tcPr>
            <w:tcW w:w="10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3,838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1,566</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5,404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2,197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1,646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3,838</w:t>
            </w:r>
          </w:p>
        </w:tc>
        <w:tc>
          <w:tcPr>
            <w:tcW w:w="0" w:type="dxa"/>
            <w:vAlign w:val="bottom"/>
          </w:tcPr>
          <w:p>
            <w:pPr>
              <w:spacing w:after="0"/>
              <w:rPr>
                <w:sz w:val="1"/>
                <w:szCs w:val="1"/>
                <w:color w:val="auto"/>
              </w:rPr>
            </w:pPr>
          </w:p>
        </w:tc>
      </w:tr>
      <w:tr>
        <w:trPr>
          <w:trHeight w:val="131"/>
        </w:trPr>
        <w:tc>
          <w:tcPr>
            <w:tcW w:w="2380" w:type="dxa"/>
            <w:vAlign w:val="bottom"/>
          </w:tcPr>
          <w:p>
            <w:pPr>
              <w:ind w:left="240"/>
              <w:spacing w:after="0"/>
              <w:rPr>
                <w:sz w:val="20"/>
                <w:szCs w:val="20"/>
                <w:color w:val="auto"/>
              </w:rPr>
            </w:pPr>
            <w:r>
              <w:rPr>
                <w:rFonts w:ascii="Arial" w:cs="Arial" w:eastAsia="Arial" w:hAnsi="Arial"/>
                <w:sz w:val="10"/>
                <w:szCs w:val="10"/>
                <w:color w:val="auto"/>
              </w:rPr>
              <w:t>liquidations</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finance receivables, net(a)</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(18,189)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(18,021)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(17,229)</w:t>
            </w:r>
          </w:p>
        </w:tc>
        <w:tc>
          <w:tcPr>
            <w:tcW w:w="0" w:type="dxa"/>
            <w:vAlign w:val="bottom"/>
          </w:tcPr>
          <w:p>
            <w:pPr>
              <w:spacing w:after="0"/>
              <w:rPr>
                <w:sz w:val="1"/>
                <w:szCs w:val="1"/>
                <w:color w:val="auto"/>
              </w:rPr>
            </w:pPr>
          </w:p>
        </w:tc>
      </w:tr>
      <w:tr>
        <w:trPr>
          <w:trHeight w:val="106"/>
        </w:trPr>
        <w:tc>
          <w:tcPr>
            <w:tcW w:w="2380" w:type="dxa"/>
            <w:vAlign w:val="bottom"/>
          </w:tcPr>
          <w:p>
            <w:pPr>
              <w:ind w:left="120"/>
              <w:spacing w:after="0" w:line="106" w:lineRule="exact"/>
              <w:rPr>
                <w:sz w:val="20"/>
                <w:szCs w:val="20"/>
                <w:color w:val="auto"/>
              </w:rPr>
            </w:pPr>
            <w:r>
              <w:rPr>
                <w:rFonts w:ascii="Arial" w:cs="Arial" w:eastAsia="Arial" w:hAnsi="Arial"/>
                <w:sz w:val="10"/>
                <w:szCs w:val="10"/>
                <w:color w:val="auto"/>
              </w:rPr>
              <w:t>Principal collections and recoveries on finance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240"/>
              <w:spacing w:after="0"/>
              <w:rPr>
                <w:sz w:val="20"/>
                <w:szCs w:val="20"/>
                <w:color w:val="auto"/>
              </w:rPr>
            </w:pPr>
            <w:r>
              <w:rPr>
                <w:rFonts w:ascii="Arial" w:cs="Arial" w:eastAsia="Arial" w:hAnsi="Arial"/>
                <w:sz w:val="10"/>
                <w:szCs w:val="10"/>
                <w:color w:val="auto"/>
              </w:rPr>
              <w:t>receivables</w:t>
            </w:r>
          </w:p>
        </w:tc>
        <w:tc>
          <w:tcPr>
            <w:tcW w:w="10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13,921</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13,922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13,763</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13,660</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Purchases of leased vehicles, net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(6,203)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(6,203)</w:t>
            </w:r>
          </w:p>
        </w:tc>
        <w:tc>
          <w:tcPr>
            <w:tcW w:w="0" w:type="dxa"/>
            <w:vAlign w:val="bottom"/>
          </w:tcPr>
          <w:p>
            <w:pPr>
              <w:spacing w:after="0"/>
              <w:rPr>
                <w:sz w:val="1"/>
                <w:szCs w:val="1"/>
                <w:color w:val="auto"/>
              </w:rPr>
            </w:pPr>
          </w:p>
        </w:tc>
      </w:tr>
      <w:tr>
        <w:trPr>
          <w:trHeight w:val="124"/>
        </w:trPr>
        <w:tc>
          <w:tcPr>
            <w:tcW w:w="2380" w:type="dxa"/>
            <w:vAlign w:val="bottom"/>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0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6,673</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6,673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7,549</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7,549</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investing activities(b)</w:t>
            </w: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(770)</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4,096</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(409)</w:t>
            </w:r>
          </w:p>
        </w:tc>
        <w:tc>
          <w:tcPr>
            <w:tcW w:w="0" w:type="dxa"/>
            <w:vAlign w:val="bottom"/>
          </w:tcPr>
          <w:p>
            <w:pPr>
              <w:spacing w:after="0"/>
              <w:rPr>
                <w:sz w:val="1"/>
                <w:szCs w:val="1"/>
                <w:color w:val="auto"/>
              </w:rPr>
            </w:pPr>
          </w:p>
        </w:tc>
      </w:tr>
      <w:tr>
        <w:trPr>
          <w:trHeight w:val="75"/>
        </w:trPr>
        <w:tc>
          <w:tcPr>
            <w:tcW w:w="2380" w:type="dxa"/>
            <w:vAlign w:val="bottom"/>
          </w:tcPr>
          <w:p>
            <w:pPr>
              <w:ind w:left="20"/>
              <w:spacing w:after="0" w:line="76" w:lineRule="exact"/>
              <w:rPr>
                <w:sz w:val="20"/>
                <w:szCs w:val="20"/>
                <w:color w:val="auto"/>
              </w:rPr>
            </w:pPr>
            <w:r>
              <w:rPr>
                <w:rFonts w:ascii="Arial" w:cs="Arial" w:eastAsia="Arial" w:hAnsi="Arial"/>
                <w:sz w:val="7"/>
                <w:szCs w:val="7"/>
                <w:b w:val="1"/>
                <w:bCs w:val="1"/>
                <w:color w:val="auto"/>
              </w:rPr>
              <w:t>Net cash provided by (used in) investing</w:t>
            </w:r>
          </w:p>
        </w:tc>
        <w:tc>
          <w:tcPr>
            <w:tcW w:w="10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(4,091)</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1,161</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(4,445)</w:t>
            </w: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0"/>
                <w:szCs w:val="10"/>
                <w:color w:val="auto"/>
              </w:rPr>
              <w:t>551</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(6,824)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(9,689)</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(366)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(2,951)</w:t>
            </w: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4,778</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(8,227)</w:t>
            </w:r>
          </w:p>
        </w:tc>
        <w:tc>
          <w:tcPr>
            <w:tcW w:w="0" w:type="dxa"/>
            <w:vAlign w:val="bottom"/>
          </w:tcPr>
          <w:p>
            <w:pPr>
              <w:spacing w:after="0"/>
              <w:rPr>
                <w:sz w:val="1"/>
                <w:szCs w:val="1"/>
                <w:color w:val="auto"/>
              </w:rPr>
            </w:pPr>
          </w:p>
        </w:tc>
      </w:tr>
      <w:tr>
        <w:trPr>
          <w:trHeight w:val="143"/>
        </w:trPr>
        <w:tc>
          <w:tcPr>
            <w:tcW w:w="2380" w:type="dxa"/>
            <w:vAlign w:val="bottom"/>
          </w:tcPr>
          <w:p>
            <w:pPr>
              <w:ind w:left="140"/>
              <w:spacing w:after="0"/>
              <w:rPr>
                <w:sz w:val="20"/>
                <w:szCs w:val="20"/>
                <w:color w:val="auto"/>
              </w:rPr>
            </w:pPr>
            <w:r>
              <w:rPr>
                <w:rFonts w:ascii="Arial" w:cs="Arial" w:eastAsia="Arial" w:hAnsi="Arial"/>
                <w:sz w:val="10"/>
                <w:szCs w:val="10"/>
                <w:b w:val="1"/>
                <w:bCs w:val="1"/>
                <w:color w:val="auto"/>
              </w:rPr>
              <w:t>activities</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120"/>
              <w:spacing w:after="0"/>
              <w:rPr>
                <w:sz w:val="20"/>
                <w:szCs w:val="20"/>
                <w:color w:val="auto"/>
              </w:rPr>
            </w:pPr>
            <w:r>
              <w:rPr>
                <w:rFonts w:ascii="Arial" w:cs="Arial" w:eastAsia="Arial" w:hAnsi="Arial"/>
                <w:sz w:val="10"/>
                <w:szCs w:val="10"/>
                <w:color w:val="auto"/>
              </w:rPr>
              <w:t>Net increase (decrease) in short-term debt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74</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70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999</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1,015</w:t>
            </w:r>
          </w:p>
        </w:tc>
        <w:tc>
          <w:tcPr>
            <w:tcW w:w="0" w:type="dxa"/>
            <w:vAlign w:val="bottom"/>
          </w:tcPr>
          <w:p>
            <w:pPr>
              <w:spacing w:after="0"/>
              <w:rPr>
                <w:sz w:val="1"/>
                <w:szCs w:val="1"/>
                <w:color w:val="auto"/>
              </w:rPr>
            </w:pPr>
          </w:p>
        </w:tc>
      </w:tr>
      <w:tr>
        <w:trPr>
          <w:trHeight w:val="113"/>
        </w:trPr>
        <w:tc>
          <w:tcPr>
            <w:tcW w:w="2380" w:type="dxa"/>
            <w:vAlign w:val="bottom"/>
            <w:shd w:val="clear" w:color="auto" w:fill="CCEEFF"/>
          </w:tcPr>
          <w:p>
            <w:pPr>
              <w:ind w:left="120"/>
              <w:spacing w:after="0" w:line="114" w:lineRule="exact"/>
              <w:rPr>
                <w:sz w:val="20"/>
                <w:szCs w:val="20"/>
                <w:color w:val="auto"/>
              </w:rPr>
            </w:pPr>
            <w:r>
              <w:rPr>
                <w:rFonts w:ascii="Arial" w:cs="Arial" w:eastAsia="Arial" w:hAnsi="Arial"/>
                <w:sz w:val="10"/>
                <w:szCs w:val="10"/>
                <w:color w:val="auto"/>
                <w:w w:val="99"/>
              </w:rPr>
              <w:t>Proceeds from issuance of debt (original maturities</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greater than three months)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26,224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26,235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23,594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23,596</w:t>
            </w:r>
          </w:p>
        </w:tc>
        <w:tc>
          <w:tcPr>
            <w:tcW w:w="0" w:type="dxa"/>
            <w:vAlign w:val="bottom"/>
          </w:tcPr>
          <w:p>
            <w:pPr>
              <w:spacing w:after="0"/>
              <w:rPr>
                <w:sz w:val="1"/>
                <w:szCs w:val="1"/>
                <w:color w:val="auto"/>
              </w:rPr>
            </w:pPr>
          </w:p>
        </w:tc>
      </w:tr>
      <w:tr>
        <w:trPr>
          <w:trHeight w:val="95"/>
        </w:trPr>
        <w:tc>
          <w:tcPr>
            <w:tcW w:w="2380" w:type="dxa"/>
            <w:vAlign w:val="bottom"/>
          </w:tcPr>
          <w:p>
            <w:pPr>
              <w:ind w:left="120"/>
              <w:spacing w:after="0" w:line="96" w:lineRule="exact"/>
              <w:rPr>
                <w:sz w:val="20"/>
                <w:szCs w:val="20"/>
                <w:color w:val="auto"/>
              </w:rPr>
            </w:pPr>
            <w:r>
              <w:rPr>
                <w:rFonts w:ascii="Arial" w:cs="Arial" w:eastAsia="Arial" w:hAnsi="Arial"/>
                <w:sz w:val="10"/>
                <w:szCs w:val="10"/>
                <w:color w:val="auto"/>
              </w:rPr>
              <w:t>Payments on debt (original maturities greater than</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(1,582)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(22,237)</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(23,812)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(68)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(22,192)</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(22,264)</w:t>
            </w:r>
          </w:p>
        </w:tc>
        <w:tc>
          <w:tcPr>
            <w:tcW w:w="0" w:type="dxa"/>
            <w:vAlign w:val="bottom"/>
          </w:tcPr>
          <w:p>
            <w:pPr>
              <w:spacing w:after="0"/>
              <w:rPr>
                <w:sz w:val="1"/>
                <w:szCs w:val="1"/>
                <w:color w:val="auto"/>
              </w:rPr>
            </w:pPr>
          </w:p>
        </w:tc>
      </w:tr>
      <w:tr>
        <w:trPr>
          <w:trHeight w:val="124"/>
        </w:trPr>
        <w:tc>
          <w:tcPr>
            <w:tcW w:w="238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Payment to purchase common stock</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2380" w:type="dxa"/>
            <w:vAlign w:val="bottom"/>
          </w:tcPr>
          <w:p>
            <w:pPr>
              <w:ind w:left="120"/>
              <w:spacing w:after="0" w:line="96" w:lineRule="exact"/>
              <w:rPr>
                <w:sz w:val="20"/>
                <w:szCs w:val="20"/>
                <w:color w:val="auto"/>
              </w:rPr>
            </w:pPr>
            <w:r>
              <w:rPr>
                <w:rFonts w:ascii="Arial" w:cs="Arial" w:eastAsia="Arial" w:hAnsi="Arial"/>
                <w:sz w:val="10"/>
                <w:szCs w:val="10"/>
                <w:color w:val="auto"/>
              </w:rPr>
              <w:t>Issuance (redemptions) of subsidiary preferred</w:t>
            </w:r>
          </w:p>
        </w:tc>
        <w:tc>
          <w:tcPr>
            <w:tcW w:w="10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235</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(235)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1,960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Arial" w:cs="Arial" w:eastAsia="Arial" w:hAnsi="Arial"/>
                <w:sz w:val="10"/>
                <w:szCs w:val="10"/>
                <w:color w:val="auto"/>
              </w:rPr>
              <w:t>(4,087)</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(2,127)</w:t>
            </w:r>
          </w:p>
        </w:tc>
        <w:tc>
          <w:tcPr>
            <w:tcW w:w="0" w:type="dxa"/>
            <w:vAlign w:val="bottom"/>
          </w:tcPr>
          <w:p>
            <w:pPr>
              <w:spacing w:after="0"/>
              <w:rPr>
                <w:sz w:val="1"/>
                <w:szCs w:val="1"/>
                <w:color w:val="auto"/>
              </w:rPr>
            </w:pPr>
          </w:p>
        </w:tc>
      </w:tr>
      <w:tr>
        <w:trPr>
          <w:trHeight w:val="124"/>
        </w:trPr>
        <w:tc>
          <w:tcPr>
            <w:tcW w:w="2380" w:type="dxa"/>
            <w:vAlign w:val="bottom"/>
          </w:tcPr>
          <w:p>
            <w:pPr>
              <w:ind w:left="240"/>
              <w:spacing w:after="0"/>
              <w:rPr>
                <w:sz w:val="20"/>
                <w:szCs w:val="20"/>
                <w:color w:val="auto"/>
              </w:rPr>
            </w:pPr>
            <w:r>
              <w:rPr>
                <w:rFonts w:ascii="Arial" w:cs="Arial" w:eastAsia="Arial" w:hAnsi="Arial"/>
                <w:sz w:val="10"/>
                <w:szCs w:val="10"/>
                <w:color w:val="auto"/>
              </w:rPr>
              <w:t>stock(b)</w:t>
            </w: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3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Dividends paid(c)</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(959)</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w:t>
            </w:r>
          </w:p>
        </w:tc>
        <w:tc>
          <w:tcPr>
            <w:tcW w:w="0" w:type="dxa"/>
            <w:vAlign w:val="bottom"/>
          </w:tcPr>
          <w:p>
            <w:pPr>
              <w:spacing w:after="0"/>
              <w:rPr>
                <w:sz w:val="1"/>
                <w:szCs w:val="1"/>
                <w:color w:val="auto"/>
              </w:rPr>
            </w:pPr>
          </w:p>
        </w:tc>
      </w:tr>
      <w:tr>
        <w:trPr>
          <w:trHeight w:val="131"/>
        </w:trPr>
        <w:tc>
          <w:tcPr>
            <w:tcW w:w="238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financing activities</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(511)</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(901)</w:t>
            </w:r>
          </w:p>
        </w:tc>
        <w:tc>
          <w:tcPr>
            <w:tcW w:w="0" w:type="dxa"/>
            <w:vAlign w:val="bottom"/>
          </w:tcPr>
          <w:p>
            <w:pPr>
              <w:spacing w:after="0"/>
              <w:rPr>
                <w:sz w:val="1"/>
                <w:szCs w:val="1"/>
                <w:color w:val="auto"/>
              </w:rPr>
            </w:pPr>
          </w:p>
        </w:tc>
      </w:tr>
      <w:tr>
        <w:trPr>
          <w:trHeight w:val="87"/>
        </w:trPr>
        <w:tc>
          <w:tcPr>
            <w:tcW w:w="2380" w:type="dxa"/>
            <w:vAlign w:val="bottom"/>
            <w:shd w:val="clear" w:color="auto" w:fill="CCEEFF"/>
          </w:tcPr>
          <w:p>
            <w:pPr>
              <w:ind w:left="20"/>
              <w:spacing w:after="0" w:line="87" w:lineRule="exact"/>
              <w:rPr>
                <w:sz w:val="20"/>
                <w:szCs w:val="20"/>
                <w:color w:val="auto"/>
              </w:rPr>
            </w:pPr>
            <w:r>
              <w:rPr>
                <w:rFonts w:ascii="Arial" w:cs="Arial" w:eastAsia="Arial" w:hAnsi="Arial"/>
                <w:sz w:val="10"/>
                <w:szCs w:val="10"/>
                <w:b w:val="1"/>
                <w:bCs w:val="1"/>
                <w:color w:val="auto"/>
              </w:rPr>
              <w:t>Net cash provided by (used in) financing</w:t>
            </w: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activities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(762)</w:t>
            </w:r>
          </w:p>
        </w:tc>
        <w:tc>
          <w:tcPr>
            <w:tcW w:w="0" w:type="dxa"/>
            <w:vAlign w:val="bottom"/>
          </w:tcPr>
          <w:p>
            <w:pPr>
              <w:spacing w:after="0"/>
              <w:rPr>
                <w:sz w:val="1"/>
                <w:szCs w:val="1"/>
                <w:color w:val="auto"/>
              </w:rPr>
            </w:pPr>
          </w:p>
        </w:tc>
      </w:tr>
      <w:tr>
        <w:trPr>
          <w:trHeight w:val="95"/>
        </w:trPr>
        <w:tc>
          <w:tcPr>
            <w:tcW w:w="2380" w:type="dxa"/>
            <w:vAlign w:val="bottom"/>
          </w:tcPr>
          <w:p>
            <w:pPr>
              <w:ind w:left="120"/>
              <w:spacing w:after="0" w:line="96" w:lineRule="exact"/>
              <w:rPr>
                <w:sz w:val="20"/>
                <w:szCs w:val="20"/>
                <w:color w:val="auto"/>
              </w:rPr>
            </w:pPr>
            <w:r>
              <w:rPr>
                <w:rFonts w:ascii="Arial" w:cs="Arial" w:eastAsia="Arial" w:hAnsi="Arial"/>
                <w:sz w:val="10"/>
                <w:szCs w:val="10"/>
                <w:color w:val="auto"/>
              </w:rPr>
              <w:t>Effect of exchange rate changes on cash, cash</w:t>
            </w:r>
          </w:p>
        </w:tc>
        <w:tc>
          <w:tcPr>
            <w:tcW w:w="100" w:type="dxa"/>
            <w:vAlign w:val="bottom"/>
          </w:tcPr>
          <w:p>
            <w:pPr>
              <w:spacing w:after="0"/>
              <w:rPr>
                <w:sz w:val="8"/>
                <w:szCs w:val="8"/>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62</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108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(80)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(66)</w:t>
            </w:r>
          </w:p>
        </w:tc>
        <w:tc>
          <w:tcPr>
            <w:tcW w:w="0" w:type="dxa"/>
            <w:vAlign w:val="bottom"/>
          </w:tcPr>
          <w:p>
            <w:pPr>
              <w:spacing w:after="0"/>
              <w:rPr>
                <w:sz w:val="1"/>
                <w:szCs w:val="1"/>
                <w:color w:val="auto"/>
              </w:rPr>
            </w:pPr>
          </w:p>
        </w:tc>
      </w:tr>
      <w:tr>
        <w:trPr>
          <w:trHeight w:val="131"/>
        </w:trPr>
        <w:tc>
          <w:tcPr>
            <w:tcW w:w="2380" w:type="dxa"/>
            <w:vAlign w:val="bottom"/>
          </w:tcPr>
          <w:p>
            <w:pPr>
              <w:ind w:left="240"/>
              <w:spacing w:after="0"/>
              <w:rPr>
                <w:sz w:val="20"/>
                <w:szCs w:val="20"/>
                <w:color w:val="auto"/>
              </w:rPr>
            </w:pPr>
            <w:r>
              <w:rPr>
                <w:rFonts w:ascii="Arial" w:cs="Arial" w:eastAsia="Arial" w:hAnsi="Arial"/>
                <w:sz w:val="10"/>
                <w:szCs w:val="10"/>
                <w:color w:val="auto"/>
              </w:rPr>
              <w:t>equivalents and restricted cash</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380" w:type="dxa"/>
            <w:vAlign w:val="bottom"/>
            <w:shd w:val="clear" w:color="auto" w:fill="CCEEFF"/>
          </w:tcPr>
          <w:p>
            <w:pPr>
              <w:ind w:left="120"/>
              <w:spacing w:after="0" w:line="93" w:lineRule="exact"/>
              <w:rPr>
                <w:sz w:val="20"/>
                <w:szCs w:val="20"/>
                <w:color w:val="auto"/>
              </w:rPr>
            </w:pPr>
            <w:r>
              <w:rPr>
                <w:rFonts w:ascii="Arial" w:cs="Arial" w:eastAsia="Arial" w:hAnsi="Arial"/>
                <w:sz w:val="10"/>
                <w:szCs w:val="10"/>
                <w:color w:val="auto"/>
              </w:rPr>
              <w:t>Net increase (decrease) in cash, cash equivalents</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2,363</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404</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2,038</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4,805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(5,025)</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263</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936</w:t>
            </w: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(3,827)</w:t>
            </w:r>
          </w:p>
        </w:tc>
        <w:tc>
          <w:tcPr>
            <w:tcW w:w="0" w:type="dxa"/>
            <w:vAlign w:val="bottom"/>
          </w:tcPr>
          <w:p>
            <w:pPr>
              <w:spacing w:after="0"/>
              <w:rPr>
                <w:sz w:val="1"/>
                <w:szCs w:val="1"/>
                <w:color w:val="auto"/>
              </w:rPr>
            </w:pPr>
          </w:p>
        </w:tc>
      </w:tr>
      <w:tr>
        <w:trPr>
          <w:trHeight w:val="138"/>
        </w:trPr>
        <w:tc>
          <w:tcPr>
            <w:tcW w:w="23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and restricted cash</w:t>
            </w:r>
          </w:p>
        </w:tc>
        <w:tc>
          <w:tcPr>
            <w:tcW w:w="10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80" w:type="dxa"/>
            <w:vAlign w:val="bottom"/>
          </w:tcPr>
          <w:p>
            <w:pPr>
              <w:ind w:left="20"/>
              <w:spacing w:after="0" w:line="106" w:lineRule="exact"/>
              <w:rPr>
                <w:sz w:val="20"/>
                <w:szCs w:val="20"/>
                <w:color w:val="auto"/>
              </w:rPr>
            </w:pPr>
            <w:r>
              <w:rPr>
                <w:rFonts w:ascii="Arial" w:cs="Arial" w:eastAsia="Arial" w:hAnsi="Arial"/>
                <w:sz w:val="10"/>
                <w:szCs w:val="10"/>
                <w:color w:val="auto"/>
              </w:rPr>
              <w:t>Cash, cash equivalents and restricted cash at</w:t>
            </w:r>
          </w:p>
        </w:tc>
        <w:tc>
          <w:tcPr>
            <w:tcW w:w="100" w:type="dxa"/>
            <w:vAlign w:val="bottom"/>
          </w:tcPr>
          <w:p>
            <w:pPr>
              <w:spacing w:after="0"/>
              <w:rPr>
                <w:sz w:val="9"/>
                <w:szCs w:val="9"/>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13,746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11"/>
              <w:spacing w:after="0"/>
              <w:rPr>
                <w:sz w:val="20"/>
                <w:szCs w:val="20"/>
                <w:color w:val="auto"/>
              </w:rPr>
            </w:pPr>
            <w:r>
              <w:rPr>
                <w:rFonts w:ascii="Arial" w:cs="Arial" w:eastAsia="Arial" w:hAnsi="Arial"/>
                <w:sz w:val="10"/>
                <w:szCs w:val="10"/>
                <w:color w:val="auto"/>
              </w:rPr>
              <w:t>1,526</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6,676</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0"/>
                <w:szCs w:val="10"/>
                <w:color w:val="auto"/>
              </w:rPr>
              <w:t>21,948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0"/>
                <w:szCs w:val="10"/>
                <w:color w:val="auto"/>
              </w:rPr>
              <w:t>14,774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1,584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7,183</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vMerge w:val="restart"/>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0"/>
                <w:szCs w:val="10"/>
                <w:color w:val="auto"/>
              </w:rPr>
              <w:t>23,542</w:t>
            </w:r>
          </w:p>
        </w:tc>
        <w:tc>
          <w:tcPr>
            <w:tcW w:w="0" w:type="dxa"/>
            <w:vAlign w:val="bottom"/>
          </w:tcPr>
          <w:p>
            <w:pPr>
              <w:spacing w:after="0"/>
              <w:rPr>
                <w:sz w:val="1"/>
                <w:szCs w:val="1"/>
                <w:color w:val="auto"/>
              </w:rPr>
            </w:pPr>
          </w:p>
        </w:tc>
      </w:tr>
      <w:tr>
        <w:trPr>
          <w:trHeight w:val="131"/>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beginning of period</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380" w:type="dxa"/>
            <w:vAlign w:val="bottom"/>
            <w:shd w:val="clear" w:color="auto" w:fill="CCEEFF"/>
          </w:tcPr>
          <w:p>
            <w:pPr>
              <w:ind w:left="20"/>
              <w:spacing w:after="0" w:line="83" w:lineRule="exact"/>
              <w:rPr>
                <w:sz w:val="20"/>
                <w:szCs w:val="20"/>
                <w:color w:val="auto"/>
              </w:rPr>
            </w:pPr>
            <w:r>
              <w:rPr>
                <w:rFonts w:ascii="Arial" w:cs="Arial" w:eastAsia="Arial" w:hAnsi="Arial"/>
                <w:sz w:val="9"/>
                <w:szCs w:val="9"/>
                <w:b w:val="1"/>
                <w:bCs w:val="1"/>
                <w:color w:val="auto"/>
              </w:rPr>
              <w:t>Cash, cash equivalents and restricted cash at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16,109</w:t>
            </w: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1,930</w:t>
            </w:r>
          </w:p>
        </w:tc>
        <w:tc>
          <w:tcPr>
            <w:tcW w:w="260" w:type="dxa"/>
            <w:vAlign w:val="bottom"/>
            <w:gridSpan w:val="2"/>
            <w:vMerge w:val="restart"/>
            <w:shd w:val="clear" w:color="auto" w:fill="CCEEFF"/>
          </w:tcPr>
          <w:p>
            <w:pPr>
              <w:jc w:val="right"/>
              <w:ind w:right="58"/>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8,715</w:t>
            </w:r>
          </w:p>
        </w:tc>
        <w:tc>
          <w:tcPr>
            <w:tcW w:w="880" w:type="dxa"/>
            <w:vAlign w:val="bottom"/>
            <w:gridSpan w:val="2"/>
            <w:vMerge w:val="restart"/>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26,753</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9,749</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1,847</w:t>
            </w:r>
          </w:p>
        </w:tc>
        <w:tc>
          <w:tcPr>
            <w:tcW w:w="280" w:type="dxa"/>
            <w:vAlign w:val="bottom"/>
            <w:gridSpan w:val="2"/>
            <w:vMerge w:val="restart"/>
            <w:shd w:val="clear" w:color="auto" w:fill="CCEEFF"/>
          </w:tcPr>
          <w:p>
            <w:pPr>
              <w:jc w:val="right"/>
              <w:ind w:right="78"/>
              <w:spacing w:after="0"/>
              <w:rPr>
                <w:sz w:val="20"/>
                <w:szCs w:val="20"/>
                <w:color w:val="auto"/>
              </w:rPr>
            </w:pPr>
            <w:r>
              <w:rPr>
                <w:rFonts w:ascii="Arial" w:cs="Arial" w:eastAsia="Arial" w:hAnsi="Arial"/>
                <w:sz w:val="10"/>
                <w:szCs w:val="10"/>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8,119</w:t>
            </w:r>
          </w:p>
        </w:tc>
        <w:tc>
          <w:tcPr>
            <w:tcW w:w="880" w:type="dxa"/>
            <w:vAlign w:val="bottom"/>
            <w:gridSpan w:val="2"/>
            <w:vMerge w:val="restart"/>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19,715</w:t>
            </w:r>
          </w:p>
        </w:tc>
        <w:tc>
          <w:tcPr>
            <w:tcW w:w="0" w:type="dxa"/>
            <w:vAlign w:val="bottom"/>
          </w:tcPr>
          <w:p>
            <w:pPr>
              <w:spacing w:after="0"/>
              <w:rPr>
                <w:sz w:val="1"/>
                <w:szCs w:val="1"/>
                <w:color w:val="auto"/>
              </w:rPr>
            </w:pPr>
          </w:p>
        </w:tc>
      </w:tr>
      <w:tr>
        <w:trPr>
          <w:trHeight w:val="147"/>
        </w:trPr>
        <w:tc>
          <w:tcPr>
            <w:tcW w:w="238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end of period</w:t>
            </w:r>
          </w:p>
        </w:tc>
        <w:tc>
          <w:tcPr>
            <w:tcW w:w="1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15"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Includes reclassifications of $0.2 billion and $0.6 billion in the six months ended June 30, 2023 and 2022 for purchases/collections of wholesale finance receivables resulting from vehicles sold by GM to dealers that have arranged their inventory floor plan financing through GM Financial.</w:t>
      </w:r>
    </w:p>
    <w:p>
      <w:pPr>
        <w:spacing w:after="0" w:line="14" w:lineRule="exact"/>
        <w:rPr>
          <w:rFonts w:ascii="Arial" w:cs="Arial" w:eastAsia="Arial" w:hAnsi="Arial"/>
          <w:sz w:val="8"/>
          <w:szCs w:val="8"/>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Includes eliminations of $0.2 billion and $2.0 billion in the six months ended June 30, 2023 and 2022 for Automotive investment in Cruise and reclassifications of $2.1 billion in the six months ended June 30, 2022 for redemption of Cruise preferred shares from SoftBank.</w:t>
      </w:r>
    </w:p>
    <w:p>
      <w:pPr>
        <w:spacing w:after="0" w:line="8" w:lineRule="exact"/>
        <w:rPr>
          <w:rFonts w:ascii="Arial" w:cs="Arial" w:eastAsia="Arial" w:hAnsi="Arial"/>
          <w:sz w:val="8"/>
          <w:szCs w:val="8"/>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 in the six months ended June 30, 2023 and 2022.</w:t>
      </w:r>
    </w:p>
    <w:p>
      <w:pPr>
        <w:spacing w:after="0" w:line="3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11</w:t>
      </w:r>
    </w:p>
    <w:sectPr>
      <w:pgSz w:w="11900" w:h="16838" w:orient="portrait"/>
      <w:cols w:equalWidth="0" w:num="1">
        <w:col w:w="11280"/>
      </w:cols>
      <w:pgMar w:left="300" w:top="6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2023-07-25T06:52:50Z</dcterms:created>
  <dcterms:modified xsi:type="dcterms:W3CDTF">2023-07-25T06:52:50Z</dcterms:modified>
</cp:coreProperties>
</file>