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Johnson Gerald</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940"/>
        <w:spacing w:after="0" w:line="294"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01/11/2021</w:t>
      </w:r>
    </w:p>
    <w:p>
      <w:pPr>
        <w:spacing w:after="0" w:line="20" w:lineRule="exact"/>
        <w:rPr>
          <w:sz w:val="24"/>
          <w:szCs w:val="24"/>
          <w:color w:val="auto"/>
        </w:rPr>
      </w:pPr>
      <w:r>
        <w:rPr>
          <w:sz w:val="24"/>
          <w:szCs w:val="24"/>
          <w:color w:val="auto"/>
        </w:rPr>
        <w:br w:type="column"/>
      </w:r>
    </w:p>
    <w:p>
      <w:pPr>
        <w:ind w:left="-7" w:right="660" w:firstLine="7"/>
        <w:spacing w:after="0" w:line="25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3"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53"/>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11"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740" w:type="dxa"/>
            <w:vAlign w:val="bottom"/>
            <w:gridSpan w:val="5"/>
          </w:tcPr>
          <w:p>
            <w:pPr>
              <w:jc w:val="center"/>
              <w:ind w:right="117"/>
              <w:spacing w:after="0" w:line="113"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tcPr>
          <w:p>
            <w:pPr>
              <w:ind w:left="2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1"/>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01/11/2021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31,627</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34.34</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72,904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01/11/2021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31,627</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7"/>
              </w:rPr>
              <w:t>$</w:t>
            </w:r>
            <w:r>
              <w:rPr>
                <w:rFonts w:ascii="Times New Roman" w:cs="Times New Roman" w:eastAsia="Times New Roman" w:hAnsi="Times New Roman"/>
                <w:sz w:val="17"/>
                <w:szCs w:val="17"/>
                <w:color w:val="0000FF"/>
                <w:w w:val="87"/>
              </w:rPr>
              <w:t>44.51</w:t>
            </w:r>
            <w:r>
              <w:rPr>
                <w:rFonts w:ascii="Times New Roman" w:cs="Times New Roman" w:eastAsia="Times New Roman" w:hAnsi="Times New Roman"/>
                <w:sz w:val="21"/>
                <w:szCs w:val="21"/>
                <w:color w:val="008000"/>
                <w:w w:val="87"/>
                <w:vertAlign w:val="superscript"/>
              </w:rPr>
              <w:t>(2)</w:t>
            </w: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41,277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w w:val="99"/>
              </w:rPr>
              <w:t>31,627</w:t>
            </w:r>
            <w:r>
              <w:rPr>
                <w:rFonts w:ascii="Times New Roman" w:cs="Times New Roman" w:eastAsia="Times New Roman" w:hAnsi="Times New Roman"/>
                <w:sz w:val="21"/>
                <w:szCs w:val="21"/>
                <w:color w:val="008000"/>
                <w:w w:val="99"/>
                <w:vertAlign w:val="superscript"/>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31,627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34.34</w:t>
            </w: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01/11/2021</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06/07/2027</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-3148965</wp:posOffset>
            </wp:positionV>
            <wp:extent cx="7034530" cy="3286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2867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$44.50 to $44.58, inclusive. The Reporting Person undertakes to provide to the SEC, GM and any security holder, upon request, full information regarding the number of shares sold at each price point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4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June 7, 2017, under the Company's 2017 Long-Term Incentive Plan. The stock options vested in three equal installments on February 14, 2018, February 14, 2019, and February 14, 2020.</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Tia Y. Turk, Attorney-in-Fact </w:t>
      </w:r>
      <w:r>
        <w:rPr>
          <w:rFonts w:ascii="Times New Roman" w:cs="Times New Roman" w:eastAsia="Times New Roman" w:hAnsi="Times New Roman"/>
          <w:sz w:val="33"/>
          <w:szCs w:val="33"/>
          <w:color w:val="0000FF"/>
          <w:vertAlign w:val="subscript"/>
        </w:rPr>
        <w:t>01/13/2021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Mr.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669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2226"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2021-01-13T16:41:30Z</dcterms:created>
  <dcterms:modified xsi:type="dcterms:W3CDTF">2021-01-13T16:41:30Z</dcterms:modified>
</cp:coreProperties>
</file>