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60" w:type="dxa"/>
        <w:tblCellMar>
          <w:top w:w="0" w:type="dxa"/>
          <w:left w:w="0" w:type="dxa"/>
          <w:bottom w:w="0" w:type="dxa"/>
          <w:right w:w="0" w:type="dxa"/>
        </w:tblCellMar>
      </w:tblPr>
      <w:tr>
        <w:trPr>
          <w:trHeight w:val="218"/>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001-34960</w:t>
            </w:r>
          </w:p>
        </w:tc>
        <w:tc>
          <w:tcPr>
            <w:tcW w:w="4140" w:type="dxa"/>
            <w:vAlign w:val="bottom"/>
          </w:tcPr>
          <w:p>
            <w:pPr>
              <w:jc w:val="center"/>
              <w:ind w:left="66"/>
              <w:spacing w:after="0"/>
              <w:rPr>
                <w:sz w:val="20"/>
                <w:szCs w:val="20"/>
                <w:color w:val="auto"/>
              </w:rPr>
            </w:pPr>
            <w:r>
              <w:rPr>
                <w:rFonts w:ascii="Arial" w:cs="Arial" w:eastAsia="Arial" w:hAnsi="Arial"/>
                <w:sz w:val="18"/>
                <w:szCs w:val="18"/>
                <w:b w:val="1"/>
                <w:bCs w:val="1"/>
                <w:color w:val="auto"/>
                <w:w w:val="96"/>
              </w:rPr>
              <w:t>DELAWARE</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27-0756180</w:t>
            </w:r>
          </w:p>
        </w:tc>
      </w:tr>
      <w:tr>
        <w:trPr>
          <w:trHeight w:val="149"/>
        </w:trPr>
        <w:tc>
          <w:tcPr>
            <w:tcW w:w="21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4140" w:type="dxa"/>
            <w:vAlign w:val="bottom"/>
          </w:tcPr>
          <w:p>
            <w:pPr>
              <w:jc w:val="center"/>
              <w:ind w:left="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280" w:type="dxa"/>
            <w:vAlign w:val="bottom"/>
          </w:tcPr>
          <w:p>
            <w:pPr>
              <w:jc w:val="center"/>
              <w:ind w:left="11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14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4140" w:type="dxa"/>
            <w:vAlign w:val="bottom"/>
          </w:tcPr>
          <w:p>
            <w:pPr>
              <w:jc w:val="center"/>
              <w:ind w:left="66"/>
              <w:spacing w:after="0"/>
              <w:rPr>
                <w:sz w:val="20"/>
                <w:szCs w:val="20"/>
                <w:color w:val="auto"/>
              </w:rPr>
            </w:pPr>
            <w:r>
              <w:rPr>
                <w:rFonts w:ascii="Arial" w:cs="Arial" w:eastAsia="Arial" w:hAnsi="Arial"/>
                <w:sz w:val="14"/>
                <w:szCs w:val="14"/>
                <w:b w:val="1"/>
                <w:bCs w:val="1"/>
                <w:color w:val="auto"/>
                <w:w w:val="89"/>
              </w:rPr>
              <w:t>of incorporation)</w:t>
            </w: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0" w:lineRule="exact"/>
        <w:rPr>
          <w:sz w:val="24"/>
          <w:szCs w:val="24"/>
          <w:color w:val="auto"/>
        </w:rPr>
      </w:pPr>
    </w:p>
    <w:p>
      <w:pPr>
        <w:sectPr>
          <w:pgSz w:w="11900" w:h="16838" w:orient="portrait"/>
          <w:cols w:equalWidth="0" w:num="1">
            <w:col w:w="11020"/>
          </w:cols>
          <w:pgMar w:left="240" w:top="230" w:right="639" w:bottom="1440" w:gutter="0" w:footer="0" w:header="0"/>
        </w:sectPr>
      </w:pPr>
    </w:p>
    <w:p>
      <w:pPr>
        <w:spacing w:after="0" w:line="2"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840"/>
          </w:cols>
          <w:pgMar w:left="240" w:top="230" w:right="639" w:bottom="1440" w:gutter="0" w:footer="0" w:header="0"/>
          <w:type w:val="continuous"/>
        </w:sectPr>
      </w:pPr>
    </w:p>
    <w:p>
      <w:pPr>
        <w:ind w:left="2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40"/>
          </w:cols>
          <w:pgMar w:left="240" w:top="230"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19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2.02 RESULTS OF OPERATIONS AND FINANCIAL CONDITION</w:t>
        </w:r>
      </w:hyperlink>
    </w:p>
    <w:p>
      <w:pPr>
        <w:spacing w:after="0" w:line="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9.01 FINANCIAL STATEMENTS AND EXHIBITS</w:t>
        </w:r>
      </w:hyperlink>
    </w:p>
    <w:p>
      <w:pPr>
        <w:spacing w:after="0" w:line="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SIGNATURES</w:t>
        </w:r>
      </w:hyperlink>
    </w:p>
    <w:p>
      <w:pPr>
        <w:spacing w:after="0" w:line="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INDEX TO EXHIBITS</w:t>
        </w:r>
      </w:hyperlink>
    </w:p>
    <w:p>
      <w:pPr>
        <w:spacing w:after="0" w:line="96" w:lineRule="exact"/>
        <w:rPr>
          <w:sz w:val="20"/>
          <w:szCs w:val="20"/>
          <w:color w:val="auto"/>
        </w:rPr>
      </w:pPr>
    </w:p>
    <w:p>
      <w:pPr>
        <w:ind w:left="9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News Release Dated May 5, 2011 and Financial Statements</w:t>
        </w:r>
      </w:hyperlink>
    </w:p>
    <w:p>
      <w:pPr>
        <w:spacing w:after="0" w:line="90" w:lineRule="exact"/>
        <w:rPr>
          <w:sz w:val="20"/>
          <w:szCs w:val="20"/>
          <w:color w:val="auto"/>
        </w:rPr>
      </w:pPr>
    </w:p>
    <w:p>
      <w:pPr>
        <w:ind w:left="9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Charts Furnished to Securities Analysts</w:t>
        </w:r>
      </w:hyperlink>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May 5, 2011 a news release was issued on the subject of first quarter 2011 consolidated earnings for General Motors Company (GM). The news release did not include certain financial statements, related footnotes and certain other financial information that will be filed with the Securities and Exchange Commission as part of GM’s Quarterly Report on Form 10-Q. The news release and financial statements are incorporated as Exhibit 99.1.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Charts furnished to securities analysts in connection with GM’s first quarter 2011 earnings release are attached as Exhibit 99.2.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140" w:type="dxa"/>
            <w:vAlign w:val="bottom"/>
            <w:gridSpan w:val="5"/>
          </w:tcPr>
          <w:p>
            <w:pPr>
              <w:ind w:left="1200"/>
              <w:spacing w:after="0"/>
              <w:rPr>
                <w:sz w:val="20"/>
                <w:szCs w:val="20"/>
                <w:color w:val="auto"/>
              </w:rPr>
            </w:pPr>
            <w:r>
              <w:rPr>
                <w:rFonts w:ascii="Arial" w:cs="Arial" w:eastAsia="Arial" w:hAnsi="Arial"/>
                <w:sz w:val="18"/>
                <w:szCs w:val="18"/>
                <w:b w:val="1"/>
                <w:bCs w:val="1"/>
                <w:color w:val="auto"/>
              </w:rPr>
              <w:t>EXHIBITS</w:t>
            </w:r>
          </w:p>
        </w:tc>
      </w:tr>
      <w:tr>
        <w:trPr>
          <w:trHeight w:val="372"/>
        </w:trPr>
        <w:tc>
          <w:tcPr>
            <w:tcW w:w="480" w:type="dxa"/>
            <w:vAlign w:val="bottom"/>
          </w:tcPr>
          <w:p>
            <w:pPr>
              <w:spacing w:after="0"/>
              <w:rPr>
                <w:sz w:val="20"/>
                <w:szCs w:val="20"/>
                <w:color w:val="auto"/>
              </w:rPr>
            </w:pPr>
            <w:r>
              <w:rPr>
                <w:rFonts w:ascii="Arial" w:cs="Arial" w:eastAsia="Arial" w:hAnsi="Arial"/>
                <w:sz w:val="14"/>
                <w:szCs w:val="14"/>
                <w:color w:val="auto"/>
                <w:w w:val="93"/>
              </w:rPr>
              <w:t>Exhibits</w:t>
            </w:r>
          </w:p>
        </w:tc>
        <w:tc>
          <w:tcPr>
            <w:tcW w:w="660" w:type="dxa"/>
            <w:vAlign w:val="bottom"/>
          </w:tcPr>
          <w:p>
            <w:pPr>
              <w:spacing w:after="0"/>
              <w:rPr>
                <w:sz w:val="24"/>
                <w:szCs w:val="24"/>
                <w:color w:val="auto"/>
              </w:rPr>
            </w:pPr>
          </w:p>
        </w:tc>
        <w:tc>
          <w:tcPr>
            <w:tcW w:w="2940" w:type="dxa"/>
            <w:vAlign w:val="bottom"/>
            <w:gridSpan w:val="3"/>
          </w:tcPr>
          <w:p>
            <w:pPr>
              <w:ind w:left="260"/>
              <w:spacing w:after="0"/>
              <w:rPr>
                <w:sz w:val="20"/>
                <w:szCs w:val="20"/>
                <w:color w:val="auto"/>
              </w:rPr>
            </w:pPr>
            <w:r>
              <w:rPr>
                <w:rFonts w:ascii="Arial" w:cs="Arial" w:eastAsia="Arial" w:hAnsi="Arial"/>
                <w:sz w:val="14"/>
                <w:szCs w:val="14"/>
                <w:color w:val="auto"/>
              </w:rPr>
              <w:t>Description</w:t>
            </w:r>
          </w:p>
        </w:tc>
        <w:tc>
          <w:tcPr>
            <w:tcW w:w="12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4"/>
                <w:szCs w:val="14"/>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9"/>
        </w:trPr>
        <w:tc>
          <w:tcPr>
            <w:tcW w:w="11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2940" w:type="dxa"/>
            <w:vAlign w:val="bottom"/>
            <w:gridSpan w:val="3"/>
          </w:tcPr>
          <w:p>
            <w:pPr>
              <w:ind w:left="260"/>
              <w:spacing w:after="0"/>
              <w:rPr>
                <w:sz w:val="20"/>
                <w:szCs w:val="20"/>
                <w:color w:val="auto"/>
              </w:rPr>
            </w:pPr>
            <w:r>
              <w:rPr>
                <w:rFonts w:ascii="Arial" w:cs="Arial" w:eastAsia="Arial" w:hAnsi="Arial"/>
                <w:sz w:val="18"/>
                <w:szCs w:val="18"/>
                <w:color w:val="auto"/>
              </w:rPr>
              <w:t>News Release Dated</w:t>
            </w: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89"/>
              </w:rPr>
              <w:t>Attached as Exhibit</w:t>
            </w:r>
          </w:p>
        </w:tc>
      </w:tr>
      <w:tr>
        <w:trPr>
          <w:trHeight w:val="216"/>
        </w:trPr>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40" w:type="dxa"/>
            <w:vAlign w:val="bottom"/>
            <w:gridSpan w:val="3"/>
          </w:tcPr>
          <w:p>
            <w:pPr>
              <w:ind w:left="260"/>
              <w:spacing w:after="0"/>
              <w:rPr>
                <w:sz w:val="20"/>
                <w:szCs w:val="20"/>
                <w:color w:val="auto"/>
              </w:rPr>
            </w:pPr>
            <w:r>
              <w:rPr>
                <w:rFonts w:ascii="Arial" w:cs="Arial" w:eastAsia="Arial" w:hAnsi="Arial"/>
                <w:sz w:val="18"/>
                <w:szCs w:val="18"/>
                <w:color w:val="auto"/>
              </w:rPr>
              <w:t>May 5, 2011 and</w:t>
            </w: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40" w:type="dxa"/>
            <w:vAlign w:val="bottom"/>
            <w:gridSpan w:val="3"/>
          </w:tcPr>
          <w:p>
            <w:pPr>
              <w:ind w:left="260"/>
              <w:spacing w:after="0"/>
              <w:rPr>
                <w:sz w:val="20"/>
                <w:szCs w:val="20"/>
                <w:color w:val="auto"/>
              </w:rPr>
            </w:pPr>
            <w:r>
              <w:rPr>
                <w:rFonts w:ascii="Arial" w:cs="Arial" w:eastAsia="Arial" w:hAnsi="Arial"/>
                <w:sz w:val="18"/>
                <w:szCs w:val="18"/>
                <w:color w:val="auto"/>
              </w:rPr>
              <w:t>Financial Statements</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31"/>
        </w:trPr>
        <w:tc>
          <w:tcPr>
            <w:tcW w:w="1140" w:type="dxa"/>
            <w:vAlign w:val="bottom"/>
            <w:gridSpan w:val="2"/>
          </w:tcPr>
          <w:p>
            <w:pPr>
              <w:spacing w:after="0"/>
              <w:rPr>
                <w:sz w:val="20"/>
                <w:szCs w:val="20"/>
                <w:color w:val="auto"/>
              </w:rPr>
            </w:pPr>
            <w:r>
              <w:rPr>
                <w:rFonts w:ascii="Arial" w:cs="Arial" w:eastAsia="Arial" w:hAnsi="Arial"/>
                <w:sz w:val="18"/>
                <w:szCs w:val="18"/>
                <w:color w:val="auto"/>
              </w:rPr>
              <w:t>Exhibit 99.2</w:t>
            </w:r>
          </w:p>
        </w:tc>
        <w:tc>
          <w:tcPr>
            <w:tcW w:w="2940" w:type="dxa"/>
            <w:vAlign w:val="bottom"/>
            <w:gridSpan w:val="3"/>
          </w:tcPr>
          <w:p>
            <w:pPr>
              <w:ind w:left="260"/>
              <w:spacing w:after="0"/>
              <w:rPr>
                <w:sz w:val="20"/>
                <w:szCs w:val="20"/>
                <w:color w:val="auto"/>
              </w:rPr>
            </w:pPr>
            <w:r>
              <w:rPr>
                <w:rFonts w:ascii="Arial" w:cs="Arial" w:eastAsia="Arial" w:hAnsi="Arial"/>
                <w:sz w:val="18"/>
                <w:szCs w:val="18"/>
                <w:color w:val="auto"/>
              </w:rPr>
              <w:t>Charts Furnished to</w:t>
            </w: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89"/>
              </w:rPr>
              <w:t>Attached as Exhibit</w:t>
            </w:r>
          </w:p>
        </w:tc>
      </w:tr>
      <w:tr>
        <w:trPr>
          <w:trHeight w:val="222"/>
        </w:trPr>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40" w:type="dxa"/>
            <w:vAlign w:val="bottom"/>
            <w:gridSpan w:val="3"/>
          </w:tcPr>
          <w:p>
            <w:pPr>
              <w:ind w:left="260"/>
              <w:spacing w:after="0"/>
              <w:rPr>
                <w:sz w:val="20"/>
                <w:szCs w:val="20"/>
                <w:color w:val="auto"/>
              </w:rPr>
            </w:pPr>
            <w:r>
              <w:rPr>
                <w:rFonts w:ascii="Arial" w:cs="Arial" w:eastAsia="Arial" w:hAnsi="Arial"/>
                <w:sz w:val="18"/>
                <w:szCs w:val="18"/>
                <w:color w:val="auto"/>
              </w:rPr>
              <w:t>Securities Analysts</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ectPr>
          <w:pgSz w:w="11900" w:h="16838" w:orient="portrait"/>
          <w:cols w:equalWidth="0" w:num="1">
            <w:col w:w="11300"/>
          </w:cols>
          <w:pgMar w:left="24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5, 2011</w:t>
      </w:r>
      <w:r>
        <w:rPr>
          <w:sz w:val="20"/>
          <w:szCs w:val="20"/>
          <w:color w:val="auto"/>
        </w:rPr>
        <w:tab/>
      </w:r>
      <w:r>
        <w:rPr>
          <w:rFonts w:ascii="Arial" w:cs="Arial" w:eastAsia="Arial" w:hAnsi="Arial"/>
          <w:sz w:val="16"/>
          <w:szCs w:val="16"/>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Controller and Chief Accounting Officer</w:t>
      </w:r>
    </w:p>
    <w:p>
      <w:pPr>
        <w:sectPr>
          <w:pgSz w:w="11900" w:h="16838" w:orient="portrait"/>
          <w:cols w:equalWidth="0" w:num="1">
            <w:col w:w="11000"/>
          </w:cols>
          <w:pgMar w:left="240" w:top="459" w:right="6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88900</wp:posOffset>
            </wp:positionV>
            <wp:extent cx="6089015"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089015" cy="702945"/>
                    </a:xfrm>
                    <a:prstGeom prst="rect">
                      <a:avLst/>
                    </a:prstGeom>
                    <a:noFill/>
                  </pic:spPr>
                </pic:pic>
              </a:graphicData>
            </a:graphic>
          </wp:anchor>
        </w:drawing>
        <w:t>For Release: May 5, 2011, 7:30 a.m. EDT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GM Reports Net Income of $3.2 Billion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Net income of $1.77 per share including a net gain from special items of $0.82 per share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EBIT of $3.5 billion and EBIT-adjusted of $2.0 billion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GM Europe achieves breakeven results on an EBIT-adjusted basis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DETROIT – General Motors Company (NYSE: GM) today announced first quarter net income attributable to common stockholders of $3.2 billion, or $1.77 per fully-diluted share, marking the company’s fifth consecutive profitable quarter. Revenue increased $4.7 billion to $36.2 billion, compared with the first quarter of 2010.</w:t>
      </w:r>
    </w:p>
    <w:p>
      <w:pPr>
        <w:spacing w:after="0" w:line="14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are on plan,” said Dan Akerson, chairman and CEO. “GM has delivered five consecutive profitable quarters, thanks to strong customer demand for our new fuel-efficient vehicles and a competitive cost structure that allows us to leverage our strong brands around the world and focus on driving profitable automotive growth.”</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income attributable to common stockholders includes gains of $1.6 billion and $0.3 billion respectively related to the sales of the company’s ownership interest in Delphi Automotive LLP and Ally Financial Inc. preferred stock. It also includes a $0.4 billion goodwill impairment charge at GM Europe (GME) resulting from a change in accounting standards and charges totaling $0.1 billion at GM International Operations (GMIO) related to revised tax regulations affecting the company’s India joint venture. Combined, these special items increased net income attributable to common stockholders by $1.5 billion or $0.82 per fully-diluted share.</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Earnings before interest and tax (EBIT) were $3.5 billion. EBIT adjusted to exclude special items was $2.0 billion compared with $1.7 billion in the first quarter of 2010.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GM Results Overview </w:t>
      </w:r>
      <w:r>
        <w:rPr>
          <w:rFonts w:ascii="Arial" w:cs="Arial" w:eastAsia="Arial" w:hAnsi="Arial"/>
          <w:sz w:val="18"/>
          <w:szCs w:val="18"/>
          <w:color w:val="auto"/>
        </w:rPr>
        <w:t>(in billions except for per share amounts)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4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Q1 2010</w:t>
            </w:r>
          </w:p>
        </w:tc>
        <w:tc>
          <w:tcPr>
            <w:tcW w:w="10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Q1 2011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6"/>
              </w:rPr>
              <w:t>31.5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1"/>
              </w:rPr>
              <w:t>36.2</w:t>
            </w: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 attributable to common stockholders</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0.9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(EPS) diluted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6"/>
              </w:rPr>
              <w:t>0.55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1"/>
              </w:rPr>
              <w:t>1.77</w:t>
            </w: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EBIT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1.8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Less special items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EBIT – adjusted</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1.7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Impact of special items on EPS diluted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6"/>
              </w:rPr>
              <w:t>0.08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1"/>
              </w:rPr>
              <w:t>0.82</w:t>
            </w: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Automotive net cash flow from operating activities</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1.9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Automotive free cash flow</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Includes $2.5 billion negative impact related to wholesale advance financing agreement termination</w:t>
      </w:r>
    </w:p>
    <w:p>
      <w:pPr>
        <w:sectPr>
          <w:pgSz w:w="11900" w:h="16838" w:orient="portrait"/>
          <w:cols w:equalWidth="0" w:num="1">
            <w:col w:w="11360"/>
          </w:cols>
          <w:pgMar w:left="240" w:top="1401" w:right="299" w:bottom="1440" w:gutter="0" w:footer="0" w:header="0"/>
        </w:sectPr>
      </w:pPr>
    </w:p>
    <w:bookmarkStart w:id="5" w:name="page6"/>
    <w:bookmarkEnd w:id="5"/>
    <w:p>
      <w:pPr>
        <w:jc w:val="both"/>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North America (GMNA) reported EBIT of $2.9 billion compared with $1.2 billion in the first quarter of 2010. On an EBIT-adjusted basis, GMNA increased its earnings by $0.1 billion to $1.3 billion compared with the first quarter of 2010. The company expects GMNA’s quarterly EBIT-adjusted results to improve on average for the remainder of the year compared with the first quarter as better pricing and improved fixed cost should more than offset commodity cost increases and unfavorable mix.</w:t>
      </w:r>
    </w:p>
    <w:p>
      <w:pPr>
        <w:spacing w:after="0" w:line="14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GME reported EBIT of $(0.4) billion. GME’s results improved by $0.6 billion on an EBIT-adjusted basis compared with the first quarter of 2010 and it achieved a significant milestone by delivering breakeven results on that basis. Based on current plans, GME is targeting to achieve breakeven results on an EBIT-adjusted basis before restructuring for the entire year.</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GMIO reported EBIT of $0.5 billion compared with $0.9 billion in the first quarter of 2010. On an EBIT-adjusted basis, GMIO earned $0.6 billion in the first quarter, a decline of $0.3 billion compared with the first quarter of 2010.</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GM South America (GMSA) reported EBIT of $0.1 billion, down $0.2 billion from the first quarter of 2010. There were no adjustments in either period.</w:t>
      </w:r>
    </w:p>
    <w:p>
      <w:pPr>
        <w:spacing w:after="0" w:line="19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GM expects that full-year 2011 EBIT-adjusted results will show solid improvement over 2010. GM continues to expect no material impact on full-year results from the Japan crisis.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quarter, automotive cash flow from operating activities was $(0.6) billion and automotive free cash flow was $(1.9) billion. Both figures include the $2.5 billion cash impact of GM’s decision, announced in October 2010, to end a wholesale advance agreement with Ally Financial.</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GM ended the quarter with very strong total automotive liquidity of $36.5 billion. Automotive cash and marketable securities, including Canadian Health Care Trust restricted cash, was $30.6 billion compared with $27.6 billion at the end of the fourth quarter of 2010.</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“GM has great potential to deliver profitable growth around the world as the recovery continues,” said Dan Ammann, senior vice president and CFO. “While we’re encouraged, we keenly recognize we have more opportunities to leverage our scale, improve spending and investment efficiencies, and optimize our strong balance sheet.”</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About General Motors </w:t>
      </w:r>
      <w:r>
        <w:rPr>
          <w:rFonts w:ascii="Arial" w:cs="Arial" w:eastAsia="Arial" w:hAnsi="Arial"/>
          <w:sz w:val="18"/>
          <w:szCs w:val="18"/>
          <w:color w:val="auto"/>
        </w:rPr>
        <w:t>– General Motors (NYSE:GM, TSX: GMM), one of the world’s largest automakers, traces its roots back to 1908. With its global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headquarters in Detroit, GM employs 202,000 people in every major region of the world and does business in more than 120 countries. GM and its strategic partners produce cars and trucks in 30 countries, and sell and service these vehicles through the following brands: Baojun, Buick, Cadillac, Chevrolet, GMC, Daewoo, Holden, Isuzu, Jiefang, Opel, Vauxhall, and Wuling. GM’s largest national market is China, followed by the United States, Brazil, the United Kingdom, Germany, Canada, and Italy. GM’s OnStar subsidiary is the industry leader in vehicle safety, security and information services. More information on the new General Motors can be found at </w:t>
      </w:r>
      <w:r>
        <w:rPr>
          <w:rFonts w:ascii="Arial" w:cs="Arial" w:eastAsia="Arial" w:hAnsi="Arial"/>
          <w:sz w:val="18"/>
          <w:szCs w:val="18"/>
          <w:u w:val="single" w:color="auto"/>
          <w:color w:val="auto"/>
        </w:rPr>
        <w:t>www.gm.com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360"/>
          </w:cols>
          <w:pgMar w:left="240" w:top="280" w:right="299" w:bottom="1440" w:gutter="0" w:footer="0" w:header="0"/>
        </w:sectPr>
      </w:pPr>
    </w:p>
    <w:p>
      <w:pPr>
        <w:spacing w:after="0" w:line="123" w:lineRule="exact"/>
        <w:rPr>
          <w:sz w:val="20"/>
          <w:szCs w:val="20"/>
          <w:color w:val="auto"/>
        </w:rPr>
      </w:pPr>
    </w:p>
    <w:p>
      <w:pPr>
        <w:ind w:right="1260"/>
        <w:spacing w:after="0" w:line="298" w:lineRule="auto"/>
        <w:rPr>
          <w:sz w:val="20"/>
          <w:szCs w:val="20"/>
          <w:color w:val="auto"/>
        </w:rPr>
      </w:pPr>
      <w:r>
        <w:rPr>
          <w:rFonts w:ascii="Arial" w:cs="Arial" w:eastAsia="Arial" w:hAnsi="Arial"/>
          <w:sz w:val="16"/>
          <w:szCs w:val="16"/>
          <w:color w:val="auto"/>
        </w:rPr>
        <w:t>Reneé Rashid-Merem Office 313-665-3128 Cell 313-701-8560 renee.rashid-merem@gm.com</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Randy Arickx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313-667-0006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313-268-7070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randy.c.arickx@gm.com</w:t>
      </w:r>
    </w:p>
    <w:p>
      <w:pPr>
        <w:spacing w:after="0" w:line="174" w:lineRule="exact"/>
        <w:rPr>
          <w:sz w:val="20"/>
          <w:szCs w:val="20"/>
          <w:color w:val="auto"/>
        </w:rPr>
      </w:pPr>
    </w:p>
    <w:p>
      <w:pPr>
        <w:sectPr>
          <w:pgSz w:w="11900" w:h="16838" w:orient="portrait"/>
          <w:cols w:equalWidth="0" w:num="2">
            <w:col w:w="3400" w:space="720"/>
            <w:col w:w="7240"/>
          </w:cols>
          <w:pgMar w:left="240" w:top="280" w:right="299" w:bottom="1440" w:gutter="0" w:footer="0" w:header="0"/>
          <w:type w:val="continuous"/>
        </w:sectPr>
      </w:pPr>
    </w:p>
    <w:p>
      <w:pPr>
        <w:jc w:val="center"/>
        <w:ind w:right="-7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60"/>
          </w:cols>
          <w:pgMar w:left="240" w:top="280" w:right="2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 on Form 10-Q provides information about these and other factors, which we may revise or supplement in future reports to the SEC.</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7" w:name="page8"/>
    <w:bookmarkEnd w:id="7"/>
    <w:p>
      <w:pPr>
        <w:ind w:left="5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accompanying tables and charts for securities analysts include earnings before interest and taxes (EBIT), EBIT adjusted and Automotive free cash flow which are not prepared in accordance with Accounting Principles Generally Accepted in the United States of America (U.S. GAAP) and have not been audited or reviewed by GM’s independent auditors. EBIT, EBIT adjusted and Automotive free cash flow are considered non-GAAP financial measures.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among geographic regions. Accordingly, GM believes these non-GAAP financial measures are useful in allowing for greater transparency of GM’s core operations and they are therefore used by management in its financial and operational decision-making.</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their method of calculation. As a result, the use of these non-GAAP financial measures has limitations and should not be considered in isolation from, or as a substitute for, other measures such as Net income or Net income attributable to common stockholders. Due to these limitations, these non-GAAP financial measures are used as a supplement to U.S. GAAP measures.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reconciliation of EBIT to its most comparable U.S. GAAP measure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9"/>
              </w:rPr>
              <w:t>Three Months</w:t>
            </w:r>
          </w:p>
        </w:tc>
        <w:tc>
          <w:tcPr>
            <w:tcW w:w="42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Three Months</w:t>
            </w: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40" w:type="dxa"/>
            <w:vAlign w:val="bottom"/>
            <w:gridSpan w:val="4"/>
          </w:tcPr>
          <w:p>
            <w:pPr>
              <w:ind w:left="1080"/>
              <w:spacing w:after="0"/>
              <w:rPr>
                <w:sz w:val="20"/>
                <w:szCs w:val="20"/>
                <w:color w:val="auto"/>
              </w:rPr>
            </w:pPr>
            <w:r>
              <w:rPr>
                <w:rFonts w:ascii="Arial" w:cs="Arial" w:eastAsia="Arial" w:hAnsi="Arial"/>
                <w:sz w:val="14"/>
                <w:szCs w:val="14"/>
                <w:b w:val="1"/>
                <w:bCs w:val="1"/>
                <w:color w:val="auto"/>
              </w:rPr>
              <w:t>March 31, 2011</w:t>
            </w:r>
          </w:p>
        </w:tc>
        <w:tc>
          <w:tcPr>
            <w:tcW w:w="1440" w:type="dxa"/>
            <w:vAlign w:val="bottom"/>
            <w:gridSpan w:val="4"/>
          </w:tcPr>
          <w:p>
            <w:pPr>
              <w:ind w:left="420"/>
              <w:spacing w:after="0"/>
              <w:rPr>
                <w:sz w:val="20"/>
                <w:szCs w:val="20"/>
                <w:color w:val="auto"/>
              </w:rPr>
            </w:pPr>
            <w:r>
              <w:rPr>
                <w:rFonts w:ascii="Arial" w:cs="Arial" w:eastAsia="Arial" w:hAnsi="Arial"/>
                <w:sz w:val="14"/>
                <w:szCs w:val="14"/>
                <w:b w:val="1"/>
                <w:bCs w:val="1"/>
                <w:color w:val="auto"/>
              </w:rPr>
              <w:t>March 31, 2010</w:t>
            </w: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segments</w:t>
            </w:r>
          </w:p>
        </w:tc>
        <w:tc>
          <w:tcPr>
            <w:tcW w:w="1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GMNA(a)</w:t>
            </w:r>
          </w:p>
        </w:tc>
        <w:tc>
          <w:tcPr>
            <w:tcW w:w="12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2,898</w:t>
            </w:r>
          </w:p>
        </w:tc>
        <w:tc>
          <w:tcPr>
            <w:tcW w:w="460" w:type="dxa"/>
            <w:vAlign w:val="bottom"/>
          </w:tcPr>
          <w:p>
            <w:pPr>
              <w:spacing w:after="0"/>
              <w:rPr>
                <w:sz w:val="18"/>
                <w:szCs w:val="18"/>
                <w:color w:val="auto"/>
              </w:rPr>
            </w:pP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GME(a)(b)</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w:t>
            </w: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GMIO(a)(b)</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GMSA(a)(b)</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GM Financial(c)</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segments</w:t>
            </w:r>
          </w:p>
        </w:tc>
        <w:tc>
          <w:tcPr>
            <w:tcW w:w="1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Corporate and eliminations</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EBIT(c)</w:t>
            </w:r>
          </w:p>
        </w:tc>
        <w:tc>
          <w:tcPr>
            <w:tcW w:w="1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3,525</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Automotive interest expense</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1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stockholders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Less: Cumulative dividends on preferred stock</w:t>
            </w:r>
          </w:p>
        </w:tc>
        <w:tc>
          <w:tcPr>
            <w:tcW w:w="1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26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3,151</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2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and income taxes are recorded centrally in Corporate; therefore, there are no reconciling items for GM’s automotive operating segments between EBIT and Net income attributable to stockholders.</w:t>
      </w:r>
    </w:p>
    <w:p>
      <w:pPr>
        <w:ind w:left="460" w:right="2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year ended December 31, 2010 GM changed its managerial and financial reporting structure so that certain entities geographically located within Russia and Uzbekistan were transferred from GM’s GME segment to GM’s GMIO segment and certain entities geographically located in Brazil, Argentina, Colombia, Ecuador, Venezuela, Bolivia, Chile, Paraguay, Peru and Uruguay were transferred from GM’s GMIO segment to GM’s newly created GMSA segment. GM has retrospectively revised the segment presentation for all periods presented.</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GM Financial amounts represent income before income taxes.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reconciliation of EBIT adjusted to EBIT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Arial" w:cs="Arial" w:eastAsia="Arial" w:hAnsi="Arial"/>
                <w:sz w:val="14"/>
                <w:szCs w:val="14"/>
                <w:b w:val="1"/>
                <w:bCs w:val="1"/>
                <w:color w:val="auto"/>
                <w:w w:val="91"/>
              </w:rPr>
              <w:t>Three Months</w:t>
            </w:r>
          </w:p>
        </w:tc>
        <w:tc>
          <w:tcPr>
            <w:tcW w:w="9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260"/>
              <w:spacing w:after="0" w:line="149" w:lineRule="exact"/>
              <w:rPr>
                <w:sz w:val="20"/>
                <w:szCs w:val="20"/>
                <w:color w:val="auto"/>
              </w:rPr>
            </w:pPr>
            <w:r>
              <w:rPr>
                <w:rFonts w:ascii="Arial" w:cs="Arial" w:eastAsia="Arial" w:hAnsi="Arial"/>
                <w:sz w:val="14"/>
                <w:szCs w:val="14"/>
                <w:b w:val="1"/>
                <w:bCs w:val="1"/>
                <w:color w:val="auto"/>
              </w:rPr>
              <w:t>Ended</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4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2011(a)</w:t>
            </w:r>
          </w:p>
        </w:tc>
        <w:tc>
          <w:tcPr>
            <w:tcW w:w="1900" w:type="dxa"/>
            <w:vAlign w:val="bottom"/>
            <w:gridSpan w:val="4"/>
          </w:tcPr>
          <w:p>
            <w:pPr>
              <w:ind w:left="900"/>
              <w:spacing w:after="0"/>
              <w:rPr>
                <w:sz w:val="20"/>
                <w:szCs w:val="20"/>
                <w:color w:val="auto"/>
              </w:rPr>
            </w:pPr>
            <w:r>
              <w:rPr>
                <w:rFonts w:ascii="Arial" w:cs="Arial" w:eastAsia="Arial" w:hAnsi="Arial"/>
                <w:sz w:val="14"/>
                <w:szCs w:val="14"/>
                <w:b w:val="1"/>
                <w:bCs w:val="1"/>
                <w:color w:val="auto"/>
                <w:w w:val="98"/>
              </w:rPr>
              <w:t>March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EBIT adjusted</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Special items</w:t>
            </w:r>
          </w:p>
        </w:tc>
        <w:tc>
          <w:tcPr>
            <w:tcW w:w="2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3,525</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GM Financial amounts included in EBIT and EBIT adjusted represent income before income taxes.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Items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three months ended March 31, 2011 special items included:</w:t>
      </w:r>
    </w:p>
    <w:p>
      <w:pPr>
        <w:spacing w:after="0" w:line="90" w:lineRule="exact"/>
        <w:rPr>
          <w:sz w:val="20"/>
          <w:szCs w:val="20"/>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 of $1.6 billion in GMNA related to the sale of GM’s Class A Membership Interests in Delphi Automotive LLP;</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 of $339 million in Corporate related to the sale of 100% of the Ally Financial Preferred Stock;</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charge of $395 million in GME related to goodwill;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Charge of $106 million in GMIO related to GM’s India joint venture.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three months ended March 31, 2010 special items included a gain of $123 million in GME related to the sale of Saab Automobile AB to Spyker Cars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16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summarizes the reconciliation of Automotive free cash flow to Automotive Net cash provided by (used in) operating activities (dollars in millions):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40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3260" w:type="dxa"/>
            <w:vAlign w:val="bottom"/>
            <w:gridSpan w:val="4"/>
          </w:tcPr>
          <w:p>
            <w:pPr>
              <w:ind w:left="1920"/>
              <w:spacing w:after="0"/>
              <w:rPr>
                <w:sz w:val="20"/>
                <w:szCs w:val="20"/>
                <w:color w:val="auto"/>
              </w:rPr>
            </w:pPr>
            <w:r>
              <w:rPr>
                <w:rFonts w:ascii="Arial" w:cs="Arial" w:eastAsia="Arial" w:hAnsi="Arial"/>
                <w:sz w:val="14"/>
                <w:szCs w:val="14"/>
                <w:b w:val="1"/>
                <w:bCs w:val="1"/>
                <w:color w:val="auto"/>
              </w:rPr>
              <w:t>March 31, 2011</w:t>
            </w:r>
          </w:p>
        </w:tc>
        <w:tc>
          <w:tcPr>
            <w:tcW w:w="1400" w:type="dxa"/>
            <w:vAlign w:val="bottom"/>
            <w:gridSpan w:val="4"/>
          </w:tcPr>
          <w:p>
            <w:pPr>
              <w:jc w:val="center"/>
              <w:ind w:left="202"/>
              <w:spacing w:after="0"/>
              <w:rPr>
                <w:sz w:val="20"/>
                <w:szCs w:val="20"/>
                <w:color w:val="auto"/>
              </w:rPr>
            </w:pPr>
            <w:r>
              <w:rPr>
                <w:rFonts w:ascii="Arial" w:cs="Arial" w:eastAsia="Arial" w:hAnsi="Arial"/>
                <w:sz w:val="14"/>
                <w:szCs w:val="14"/>
                <w:b w:val="1"/>
                <w:bCs w:val="1"/>
                <w:color w:val="auto"/>
                <w:w w:val="88"/>
              </w:rPr>
              <w:t>March 31, 2010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Automotive</w:t>
            </w:r>
          </w:p>
        </w:tc>
        <w:tc>
          <w:tcPr>
            <w:tcW w:w="1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Free cash flow</w:t>
            </w:r>
          </w:p>
        </w:tc>
        <w:tc>
          <w:tcPr>
            <w:tcW w:w="210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(1,918)</w:t>
            </w:r>
          </w:p>
        </w:tc>
        <w:tc>
          <w:tcPr>
            <w:tcW w:w="5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9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tcPr>
          <w:p>
            <w:pPr>
              <w:spacing w:after="0"/>
              <w:rPr>
                <w:sz w:val="20"/>
                <w:szCs w:val="20"/>
                <w:color w:val="auto"/>
              </w:rPr>
            </w:pPr>
            <w:r>
              <w:rPr>
                <w:rFonts w:ascii="Arial" w:cs="Arial" w:eastAsia="Arial" w:hAnsi="Arial"/>
                <w:sz w:val="18"/>
                <w:szCs w:val="18"/>
                <w:b w:val="1"/>
                <w:bCs w:val="1"/>
                <w:color w:val="auto"/>
                <w:w w:val="92"/>
              </w:rPr>
              <w:t>Net cash provided by (used in) operating activities</w:t>
            </w:r>
          </w:p>
        </w:tc>
        <w:tc>
          <w:tcPr>
            <w:tcW w:w="19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920" w:type="dxa"/>
            <w:vAlign w:val="bottom"/>
            <w:vMerge w:val="restart"/>
          </w:tcPr>
          <w:p>
            <w:pPr>
              <w:jc w:val="right"/>
              <w:ind w:right="1479"/>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0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selected data by segment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GM</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GMNA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GME</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14"/>
                <w:szCs w:val="14"/>
                <w:color w:val="auto"/>
              </w:rPr>
            </w:pP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rPr>
              <w:t>GMSA</w:t>
            </w: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Corporate</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w w:val="85"/>
              </w:rPr>
              <w:t>Automotive</w:t>
            </w:r>
          </w:p>
        </w:tc>
        <w:tc>
          <w:tcPr>
            <w:tcW w:w="1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Financial</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Eliminations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2011</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 net sales and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22,110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6,870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5,427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3,896</w:t>
            </w:r>
          </w:p>
        </w:tc>
        <w:tc>
          <w:tcPr>
            <w:tcW w:w="80" w:type="dxa"/>
            <w:vAlign w:val="bottom"/>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(2,420)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35,899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36,194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1"/>
              </w:rPr>
              <w:t>Depreciation, amortization and impairment of long-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lived assets and finite-lived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740" w:type="dxa"/>
            <w:vAlign w:val="bottom"/>
            <w:gridSpan w:val="2"/>
          </w:tcPr>
          <w:p>
            <w:pPr>
              <w:spacing w:after="0"/>
              <w:rPr>
                <w:sz w:val="20"/>
                <w:szCs w:val="20"/>
                <w:color w:val="auto"/>
              </w:rPr>
            </w:pPr>
            <w:r>
              <w:rPr>
                <w:rFonts w:ascii="Arial" w:cs="Arial" w:eastAsia="Arial" w:hAnsi="Arial"/>
                <w:sz w:val="18"/>
                <w:szCs w:val="18"/>
                <w:color w:val="auto"/>
                <w:w w:val="96"/>
              </w:rPr>
              <w:t>Equity income, net of tax and gain on disposal of</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investments(a)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2,144</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a gain of $1.6 billion recorded on the sale of GM’s Class A Membership Interests in Delphi Automotive LLP.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3"/>
              </w:rPr>
              <w:t>Total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GME</w:t>
            </w:r>
          </w:p>
        </w:tc>
        <w:tc>
          <w:tcPr>
            <w:tcW w:w="100" w:type="dxa"/>
            <w:vAlign w:val="bottom"/>
          </w:tcPr>
          <w:p>
            <w:pPr>
              <w:spacing w:after="0"/>
              <w:rPr>
                <w:sz w:val="14"/>
                <w:szCs w:val="14"/>
                <w:color w:val="auto"/>
              </w:rPr>
            </w:pPr>
          </w:p>
        </w:tc>
        <w:tc>
          <w:tcPr>
            <w:tcW w:w="6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GMIO</w:t>
            </w:r>
          </w:p>
        </w:tc>
        <w:tc>
          <w:tcPr>
            <w:tcW w:w="80" w:type="dxa"/>
            <w:vAlign w:val="bottom"/>
          </w:tcPr>
          <w:p>
            <w:pPr>
              <w:spacing w:after="0"/>
              <w:rPr>
                <w:sz w:val="14"/>
                <w:szCs w:val="14"/>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GMSA</w:t>
            </w: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5"/>
              </w:rPr>
              <w:t>Corporate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5"/>
              </w:rPr>
              <w:t>Automotive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2010</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Total net sales and revenue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19,286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5,461</w:t>
            </w:r>
          </w:p>
        </w:tc>
        <w:tc>
          <w:tcPr>
            <w:tcW w:w="700" w:type="dxa"/>
            <w:vAlign w:val="bottom"/>
            <w:gridSpan w:val="5"/>
          </w:tcPr>
          <w:p>
            <w:pPr>
              <w:jc w:val="right"/>
              <w:ind w:right="100"/>
              <w:spacing w:after="0"/>
              <w:rPr>
                <w:sz w:val="20"/>
                <w:szCs w:val="20"/>
                <w:color w:val="auto"/>
              </w:rPr>
            </w:pPr>
            <w:r>
              <w:rPr>
                <w:rFonts w:ascii="Arial" w:cs="Arial" w:eastAsia="Arial" w:hAnsi="Arial"/>
                <w:sz w:val="18"/>
                <w:szCs w:val="18"/>
                <w:color w:val="auto"/>
              </w:rPr>
              <w:t>$4,985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84"/>
              </w:rPr>
              <w:t>3,324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3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(1,625)</w:t>
            </w:r>
          </w:p>
        </w:tc>
        <w:tc>
          <w:tcPr>
            <w:tcW w:w="3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31,476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Depreciation, amortization and impairment of long-lived assets and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finite-lived intangible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5020" w:type="dxa"/>
            <w:vAlign w:val="bottom"/>
            <w:gridSpan w:val="3"/>
          </w:tcPr>
          <w:p>
            <w:pPr>
              <w:spacing w:after="0"/>
              <w:rPr>
                <w:sz w:val="20"/>
                <w:szCs w:val="20"/>
                <w:color w:val="auto"/>
              </w:rPr>
            </w:pPr>
            <w:r>
              <w:rPr>
                <w:rFonts w:ascii="Arial" w:cs="Arial" w:eastAsia="Arial" w:hAnsi="Arial"/>
                <w:sz w:val="18"/>
                <w:szCs w:val="18"/>
                <w:color w:val="auto"/>
              </w:rPr>
              <w:t>Equity income, net of tax and gain on disposal of investments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rPr>
              <w:t>362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380" w:type="dxa"/>
            <w:vAlign w:val="bottom"/>
            <w:gridSpan w:val="4"/>
          </w:tcPr>
          <w:p>
            <w:pPr>
              <w:jc w:val="right"/>
              <w:spacing w:after="0"/>
              <w:rPr>
                <w:sz w:val="20"/>
                <w:szCs w:val="20"/>
                <w:color w:val="auto"/>
              </w:rPr>
            </w:pPr>
            <w:r>
              <w:rPr>
                <w:rFonts w:ascii="Arial" w:cs="Arial" w:eastAsia="Arial" w:hAnsi="Arial"/>
                <w:sz w:val="18"/>
                <w:szCs w:val="18"/>
                <w:color w:val="auto"/>
                <w:w w:val="98"/>
              </w:rPr>
              <w:t>The following tables summarize worldwide employment and payroll:</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0"/>
              </w:rPr>
              <w:t>March 31, 2011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8"/>
          </w:tcPr>
          <w:p>
            <w:pPr>
              <w:ind w:left="60"/>
              <w:spacing w:after="0"/>
              <w:rPr>
                <w:sz w:val="20"/>
                <w:szCs w:val="20"/>
                <w:color w:val="auto"/>
              </w:rPr>
            </w:pPr>
            <w:r>
              <w:rPr>
                <w:rFonts w:ascii="Arial" w:cs="Arial" w:eastAsia="Arial" w:hAnsi="Arial"/>
                <w:sz w:val="14"/>
                <w:szCs w:val="14"/>
                <w:b w:val="1"/>
                <w:bCs w:val="1"/>
                <w:color w:val="auto"/>
                <w:w w:val="93"/>
              </w:rPr>
              <w:t>December 31, 2010</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Worldwide Employment (thousands)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GMNA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96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40</w:t>
            </w: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GMIO</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32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GMSA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GM Financial</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Worldwide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5000" w:type="dxa"/>
            <w:vAlign w:val="bottom"/>
            <w:gridSpan w:val="2"/>
          </w:tcPr>
          <w:p>
            <w:pPr>
              <w:ind w:left="1360"/>
              <w:spacing w:after="0"/>
              <w:rPr>
                <w:sz w:val="20"/>
                <w:szCs w:val="20"/>
                <w:color w:val="auto"/>
              </w:rPr>
            </w:pPr>
            <w:r>
              <w:rPr>
                <w:rFonts w:ascii="Arial" w:cs="Arial" w:eastAsia="Arial" w:hAnsi="Arial"/>
                <w:sz w:val="18"/>
                <w:szCs w:val="18"/>
                <w:color w:val="auto"/>
              </w:rPr>
              <w:t>U.S. – Salaried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28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 Hourly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March 31, 2011</w:t>
            </w:r>
          </w:p>
        </w:tc>
        <w:tc>
          <w:tcPr>
            <w:tcW w:w="30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March 31, 2010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Worldwide Payroll (billions)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3.0</w:t>
            </w: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ind w:right="-3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21" w:lineRule="exact"/>
        <w:rPr>
          <w:sz w:val="20"/>
          <w:szCs w:val="20"/>
          <w:color w:val="auto"/>
        </w:rPr>
      </w:pPr>
    </w:p>
    <w:p>
      <w:pPr>
        <w:jc w:val="center"/>
        <w:ind w:right="-371"/>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right="-371"/>
        <w:spacing w:after="0"/>
        <w:rPr>
          <w:sz w:val="20"/>
          <w:szCs w:val="20"/>
          <w:color w:val="auto"/>
        </w:rPr>
      </w:pPr>
      <w:r>
        <w:rPr>
          <w:rFonts w:ascii="Arial" w:cs="Arial" w:eastAsia="Arial" w:hAnsi="Arial"/>
          <w:sz w:val="18"/>
          <w:szCs w:val="18"/>
          <w:i w:val="1"/>
          <w:iCs w:val="1"/>
          <w:color w:val="auto"/>
        </w:rPr>
        <w:t>(Unaudited)</w:t>
      </w:r>
    </w:p>
    <w:p>
      <w:pPr>
        <w:spacing w:after="0" w:line="134"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Three Months</w:t>
            </w:r>
          </w:p>
        </w:tc>
        <w:tc>
          <w:tcPr>
            <w:tcW w:w="8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82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560" w:type="dxa"/>
            <w:vAlign w:val="bottom"/>
          </w:tcPr>
          <w:p>
            <w:pPr>
              <w:spacing w:after="0"/>
              <w:rPr>
                <w:sz w:val="14"/>
                <w:szCs w:val="14"/>
                <w:color w:val="auto"/>
              </w:rPr>
            </w:pPr>
          </w:p>
        </w:tc>
        <w:tc>
          <w:tcPr>
            <w:tcW w:w="2300" w:type="dxa"/>
            <w:vAlign w:val="bottom"/>
            <w:gridSpan w:val="2"/>
          </w:tcPr>
          <w:p>
            <w:pPr>
              <w:jc w:val="center"/>
              <w:ind w:left="1295"/>
              <w:spacing w:after="0"/>
              <w:rPr>
                <w:sz w:val="20"/>
                <w:szCs w:val="20"/>
                <w:color w:val="auto"/>
              </w:rPr>
            </w:pPr>
            <w:r>
              <w:rPr>
                <w:rFonts w:ascii="Arial" w:cs="Arial" w:eastAsia="Arial" w:hAnsi="Arial"/>
                <w:sz w:val="14"/>
                <w:szCs w:val="14"/>
                <w:b w:val="1"/>
                <w:bCs w:val="1"/>
                <w:color w:val="auto"/>
                <w:w w:val="88"/>
              </w:rPr>
              <w:t>March 31, 2011</w:t>
            </w:r>
          </w:p>
        </w:tc>
        <w:tc>
          <w:tcPr>
            <w:tcW w:w="1820" w:type="dxa"/>
            <w:vAlign w:val="bottom"/>
            <w:gridSpan w:val="3"/>
          </w:tcPr>
          <w:p>
            <w:pPr>
              <w:jc w:val="center"/>
              <w:ind w:left="615"/>
              <w:spacing w:after="0"/>
              <w:rPr>
                <w:sz w:val="20"/>
                <w:szCs w:val="20"/>
                <w:color w:val="auto"/>
              </w:rPr>
            </w:pPr>
            <w:r>
              <w:rPr>
                <w:rFonts w:ascii="Arial" w:cs="Arial" w:eastAsia="Arial" w:hAnsi="Arial"/>
                <w:sz w:val="14"/>
                <w:szCs w:val="14"/>
                <w:b w:val="1"/>
                <w:bCs w:val="1"/>
                <w:color w:val="auto"/>
                <w:w w:val="88"/>
              </w:rPr>
              <w:t>March 31, 2010</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Production Volume (units in thousands)(a)</w:t>
            </w:r>
          </w:p>
        </w:tc>
        <w:tc>
          <w:tcPr>
            <w:tcW w:w="14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GMNA – Cars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GMNA – Trucks</w:t>
            </w:r>
          </w:p>
        </w:tc>
        <w:tc>
          <w:tcPr>
            <w:tcW w:w="14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r>
      <w:tr>
        <w:trPr>
          <w:trHeight w:val="221"/>
        </w:trPr>
        <w:tc>
          <w:tcPr>
            <w:tcW w:w="4560" w:type="dxa"/>
            <w:vAlign w:val="bottom"/>
          </w:tcPr>
          <w:p>
            <w:pPr>
              <w:spacing w:after="0"/>
              <w:rPr>
                <w:sz w:val="20"/>
                <w:szCs w:val="20"/>
                <w:color w:val="auto"/>
              </w:rPr>
            </w:pPr>
            <w:r>
              <w:rPr>
                <w:rFonts w:ascii="Arial" w:cs="Arial" w:eastAsia="Arial" w:hAnsi="Arial"/>
                <w:sz w:val="18"/>
                <w:szCs w:val="18"/>
                <w:color w:val="auto"/>
              </w:rPr>
              <w:t>Total GMNA</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r>
      <w:tr>
        <w:trPr>
          <w:trHeight w:val="21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GME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GMIO - Consolidated Entities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GMIO - Joint Ventures(b)</w:t>
            </w:r>
          </w:p>
        </w:tc>
        <w:tc>
          <w:tcPr>
            <w:tcW w:w="14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8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r>
      <w:tr>
        <w:trPr>
          <w:trHeight w:val="221"/>
        </w:trPr>
        <w:tc>
          <w:tcPr>
            <w:tcW w:w="4560" w:type="dxa"/>
            <w:vAlign w:val="bottom"/>
          </w:tcPr>
          <w:p>
            <w:pPr>
              <w:spacing w:after="0"/>
              <w:rPr>
                <w:sz w:val="20"/>
                <w:szCs w:val="20"/>
                <w:color w:val="auto"/>
              </w:rPr>
            </w:pPr>
            <w:r>
              <w:rPr>
                <w:rFonts w:ascii="Arial" w:cs="Arial" w:eastAsia="Arial" w:hAnsi="Arial"/>
                <w:sz w:val="18"/>
                <w:szCs w:val="18"/>
                <w:color w:val="auto"/>
              </w:rPr>
              <w:t>Total GMIO</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966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r>
      <w:tr>
        <w:trPr>
          <w:trHeight w:val="21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GMSA</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b w:val="1"/>
                <w:bCs w:val="1"/>
                <w:color w:val="auto"/>
              </w:rPr>
              <w:t>Total Worldwide</w:t>
            </w:r>
          </w:p>
        </w:tc>
        <w:tc>
          <w:tcPr>
            <w:tcW w:w="14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2,327</w:t>
            </w:r>
          </w:p>
        </w:tc>
        <w:tc>
          <w:tcPr>
            <w:tcW w:w="8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2,085</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Production volume includes vehicles produced by certain joint ventures.</w:t>
      </w:r>
    </w:p>
    <w:p>
      <w:pPr>
        <w:spacing w:after="0" w:line="15" w:lineRule="exact"/>
        <w:rPr>
          <w:rFonts w:ascii="Arial" w:cs="Arial" w:eastAsia="Arial" w:hAnsi="Arial"/>
          <w:sz w:val="18"/>
          <w:szCs w:val="18"/>
          <w:color w:val="auto"/>
        </w:rPr>
      </w:pPr>
    </w:p>
    <w:p>
      <w:pPr>
        <w:ind w:left="452" w:hanging="452"/>
        <w:spacing w:after="0" w:line="255"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joint venture agreements with SGMW (44%) in the three months ended March 31, 2011 and (34%) in the three months ended March 31, 2010 and FAW-GM (50%) allows for significant rights as a member as well as the contractual right to report SGMW and FAW-GM joint venture production in China.</w:t>
      </w:r>
    </w:p>
    <w:p>
      <w:pPr>
        <w:spacing w:after="0" w:line="131"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32"/>
          </w:cols>
          <w:pgMar w:left="248" w:top="274" w:right="619" w:bottom="1440" w:gutter="0" w:footer="0" w:header="0"/>
        </w:sectPr>
      </w:pPr>
    </w:p>
    <w:bookmarkStart w:id="11" w:name="page12"/>
    <w:bookmarkEnd w:id="11"/>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i w:val="1"/>
          <w:iCs w:val="1"/>
          <w:color w:val="auto"/>
        </w:rPr>
        <w:t>(Unaudited)</w:t>
      </w:r>
    </w:p>
    <w:p>
      <w:pPr>
        <w:spacing w:after="0" w:line="134"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92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Three Months</w:t>
            </w:r>
          </w:p>
        </w:tc>
      </w:tr>
      <w:tr>
        <w:trPr>
          <w:trHeight w:val="149"/>
        </w:trPr>
        <w:tc>
          <w:tcPr>
            <w:tcW w:w="4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92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4320" w:type="dxa"/>
            <w:vAlign w:val="bottom"/>
          </w:tcPr>
          <w:p>
            <w:pPr>
              <w:spacing w:after="0"/>
              <w:rPr>
                <w:sz w:val="14"/>
                <w:szCs w:val="14"/>
                <w:color w:val="auto"/>
              </w:rPr>
            </w:pPr>
          </w:p>
        </w:tc>
        <w:tc>
          <w:tcPr>
            <w:tcW w:w="2120" w:type="dxa"/>
            <w:vAlign w:val="bottom"/>
            <w:gridSpan w:val="2"/>
          </w:tcPr>
          <w:p>
            <w:pPr>
              <w:jc w:val="center"/>
              <w:ind w:left="1153"/>
              <w:spacing w:after="0"/>
              <w:rPr>
                <w:sz w:val="20"/>
                <w:szCs w:val="20"/>
                <w:color w:val="auto"/>
              </w:rPr>
            </w:pPr>
            <w:r>
              <w:rPr>
                <w:rFonts w:ascii="Arial" w:cs="Arial" w:eastAsia="Arial" w:hAnsi="Arial"/>
                <w:sz w:val="14"/>
                <w:szCs w:val="14"/>
                <w:b w:val="1"/>
                <w:bCs w:val="1"/>
                <w:color w:val="auto"/>
                <w:w w:val="88"/>
              </w:rPr>
              <w:t>March 31, 2011</w:t>
            </w:r>
          </w:p>
        </w:tc>
        <w:tc>
          <w:tcPr>
            <w:tcW w:w="2240" w:type="dxa"/>
            <w:vAlign w:val="bottom"/>
            <w:gridSpan w:val="3"/>
          </w:tcPr>
          <w:p>
            <w:pPr>
              <w:jc w:val="center"/>
              <w:ind w:left="713"/>
              <w:spacing w:after="0"/>
              <w:rPr>
                <w:sz w:val="20"/>
                <w:szCs w:val="20"/>
                <w:color w:val="auto"/>
              </w:rPr>
            </w:pPr>
            <w:r>
              <w:rPr>
                <w:rFonts w:ascii="Arial" w:cs="Arial" w:eastAsia="Arial" w:hAnsi="Arial"/>
                <w:sz w:val="14"/>
                <w:szCs w:val="14"/>
                <w:b w:val="1"/>
                <w:bCs w:val="1"/>
                <w:color w:val="auto"/>
                <w:w w:val="89"/>
              </w:rPr>
              <w:t>March 31, 2010(a)(b)</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Sales (units in thousands)(c)(d)(e)</w:t>
            </w:r>
          </w:p>
        </w:tc>
        <w:tc>
          <w:tcPr>
            <w:tcW w:w="12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Chevrolet – Cars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860"/>
              <w:spacing w:after="0"/>
              <w:rPr>
                <w:sz w:val="20"/>
                <w:szCs w:val="20"/>
                <w:color w:val="auto"/>
              </w:rPr>
            </w:pPr>
            <w:r>
              <w:rPr>
                <w:rFonts w:ascii="Arial" w:cs="Arial" w:eastAsia="Arial" w:hAnsi="Arial"/>
                <w:sz w:val="18"/>
                <w:szCs w:val="18"/>
                <w:color w:val="auto"/>
              </w:rPr>
              <w:t>Chevrolet – Trucks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Cadillac</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860"/>
              <w:spacing w:after="0"/>
              <w:rPr>
                <w:sz w:val="20"/>
                <w:szCs w:val="20"/>
                <w:color w:val="auto"/>
              </w:rPr>
            </w:pPr>
            <w:r>
              <w:rPr>
                <w:rFonts w:ascii="Arial" w:cs="Arial" w:eastAsia="Arial" w:hAnsi="Arial"/>
                <w:sz w:val="18"/>
                <w:szCs w:val="18"/>
                <w:color w:val="auto"/>
              </w:rPr>
              <w:t>Buick</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GMC</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86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United States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477</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860"/>
              <w:spacing w:after="0"/>
              <w:rPr>
                <w:sz w:val="20"/>
                <w:szCs w:val="20"/>
                <w:color w:val="auto"/>
              </w:rPr>
            </w:pPr>
            <w:r>
              <w:rPr>
                <w:rFonts w:ascii="Arial" w:cs="Arial" w:eastAsia="Arial" w:hAnsi="Arial"/>
                <w:sz w:val="18"/>
                <w:szCs w:val="18"/>
                <w:color w:val="auto"/>
              </w:rPr>
              <w:t>Canada, Mexico and Other</w:t>
            </w:r>
          </w:p>
        </w:tc>
        <w:tc>
          <w:tcPr>
            <w:tcW w:w="1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9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GMNA</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684</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564</w:t>
            </w:r>
          </w:p>
        </w:tc>
        <w:tc>
          <w:tcPr>
            <w:tcW w:w="100" w:type="dxa"/>
            <w:vAlign w:val="bottom"/>
            <w:shd w:val="clear" w:color="auto" w:fill="CCEEFF"/>
          </w:tcPr>
          <w:p>
            <w:pPr>
              <w:spacing w:after="0"/>
              <w:rPr>
                <w:sz w:val="18"/>
                <w:szCs w:val="18"/>
                <w:color w:val="auto"/>
              </w:rPr>
            </w:pPr>
          </w:p>
        </w:tc>
      </w:tr>
      <w:tr>
        <w:trPr>
          <w:trHeight w:val="222"/>
        </w:trPr>
        <w:tc>
          <w:tcPr>
            <w:tcW w:w="4320" w:type="dxa"/>
            <w:vAlign w:val="bottom"/>
          </w:tcPr>
          <w:p>
            <w:pPr>
              <w:ind w:left="440"/>
              <w:spacing w:after="0"/>
              <w:rPr>
                <w:sz w:val="20"/>
                <w:szCs w:val="20"/>
                <w:color w:val="auto"/>
              </w:rPr>
            </w:pPr>
            <w:r>
              <w:rPr>
                <w:rFonts w:ascii="Arial" w:cs="Arial" w:eastAsia="Arial" w:hAnsi="Arial"/>
                <w:sz w:val="18"/>
                <w:szCs w:val="18"/>
                <w:color w:val="auto"/>
              </w:rPr>
              <w:t>GME</w:t>
            </w:r>
          </w:p>
        </w:tc>
        <w:tc>
          <w:tcPr>
            <w:tcW w:w="12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Opel/Vauxhall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860"/>
              <w:spacing w:after="0"/>
              <w:rPr>
                <w:sz w:val="20"/>
                <w:szCs w:val="20"/>
                <w:color w:val="auto"/>
              </w:rPr>
            </w:pPr>
            <w:r>
              <w:rPr>
                <w:rFonts w:ascii="Arial" w:cs="Arial" w:eastAsia="Arial" w:hAnsi="Arial"/>
                <w:sz w:val="18"/>
                <w:szCs w:val="18"/>
                <w:color w:val="auto"/>
              </w:rPr>
              <w:t>Chevrolet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30"/>
        </w:trPr>
        <w:tc>
          <w:tcPr>
            <w:tcW w:w="4320" w:type="dxa"/>
            <w:vAlign w:val="bottom"/>
          </w:tcPr>
          <w:p>
            <w:pPr>
              <w:ind w:left="860"/>
              <w:spacing w:after="0"/>
              <w:rPr>
                <w:sz w:val="20"/>
                <w:szCs w:val="20"/>
                <w:color w:val="auto"/>
              </w:rPr>
            </w:pPr>
            <w:r>
              <w:rPr>
                <w:rFonts w:ascii="Arial" w:cs="Arial" w:eastAsia="Arial" w:hAnsi="Arial"/>
                <w:sz w:val="18"/>
                <w:szCs w:val="18"/>
                <w:b w:val="1"/>
                <w:bCs w:val="1"/>
                <w:color w:val="auto"/>
              </w:rPr>
              <w:t>Total GME</w:t>
            </w:r>
          </w:p>
        </w:tc>
        <w:tc>
          <w:tcPr>
            <w:tcW w:w="12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w:t>
            </w:r>
          </w:p>
        </w:tc>
        <w:tc>
          <w:tcPr>
            <w:tcW w:w="9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w:t>
            </w:r>
          </w:p>
        </w:tc>
        <w:tc>
          <w:tcPr>
            <w:tcW w:w="100" w:type="dxa"/>
            <w:vAlign w:val="bottom"/>
          </w:tcPr>
          <w:p>
            <w:pPr>
              <w:spacing w:after="0"/>
              <w:rPr>
                <w:sz w:val="20"/>
                <w:szCs w:val="20"/>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GMIO</w:t>
            </w:r>
          </w:p>
        </w:tc>
        <w:tc>
          <w:tcPr>
            <w:tcW w:w="1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860"/>
              <w:spacing w:after="0"/>
              <w:rPr>
                <w:sz w:val="20"/>
                <w:szCs w:val="20"/>
                <w:color w:val="auto"/>
              </w:rPr>
            </w:pPr>
            <w:r>
              <w:rPr>
                <w:rFonts w:ascii="Arial" w:cs="Arial" w:eastAsia="Arial" w:hAnsi="Arial"/>
                <w:sz w:val="18"/>
                <w:szCs w:val="18"/>
                <w:color w:val="auto"/>
              </w:rPr>
              <w:t>Chevrolet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Wuling</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860"/>
              <w:spacing w:after="0"/>
              <w:rPr>
                <w:sz w:val="20"/>
                <w:szCs w:val="20"/>
                <w:color w:val="auto"/>
              </w:rPr>
            </w:pPr>
            <w:r>
              <w:rPr>
                <w:rFonts w:ascii="Arial" w:cs="Arial" w:eastAsia="Arial" w:hAnsi="Arial"/>
                <w:sz w:val="18"/>
                <w:szCs w:val="18"/>
                <w:color w:val="auto"/>
              </w:rPr>
              <w:t>Buick</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GM Daewoo</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860"/>
              <w:spacing w:after="0"/>
              <w:rPr>
                <w:sz w:val="20"/>
                <w:szCs w:val="20"/>
                <w:color w:val="auto"/>
              </w:rPr>
            </w:pPr>
            <w:r>
              <w:rPr>
                <w:rFonts w:ascii="Arial" w:cs="Arial" w:eastAsia="Arial" w:hAnsi="Arial"/>
                <w:sz w:val="18"/>
                <w:szCs w:val="18"/>
                <w:color w:val="auto"/>
              </w:rPr>
              <w:t>Holden</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FAW-GM</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860"/>
              <w:spacing w:after="0"/>
              <w:rPr>
                <w:sz w:val="20"/>
                <w:szCs w:val="20"/>
                <w:color w:val="auto"/>
              </w:rPr>
            </w:pPr>
            <w:r>
              <w:rPr>
                <w:rFonts w:ascii="Arial" w:cs="Arial" w:eastAsia="Arial" w:hAnsi="Arial"/>
                <w:sz w:val="18"/>
                <w:szCs w:val="18"/>
                <w:color w:val="auto"/>
              </w:rPr>
              <w:t>GMC</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Cadillac</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86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9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GMIO(f)(g)</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855</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790</w:t>
            </w:r>
          </w:p>
        </w:tc>
        <w:tc>
          <w:tcPr>
            <w:tcW w:w="100" w:type="dxa"/>
            <w:vAlign w:val="bottom"/>
            <w:shd w:val="clear" w:color="auto" w:fill="CCEEFF"/>
          </w:tcPr>
          <w:p>
            <w:pPr>
              <w:spacing w:after="0"/>
              <w:rPr>
                <w:sz w:val="18"/>
                <w:szCs w:val="18"/>
                <w:color w:val="auto"/>
              </w:rPr>
            </w:pPr>
          </w:p>
        </w:tc>
      </w:tr>
      <w:tr>
        <w:trPr>
          <w:trHeight w:val="222"/>
        </w:trPr>
        <w:tc>
          <w:tcPr>
            <w:tcW w:w="4320" w:type="dxa"/>
            <w:vAlign w:val="bottom"/>
          </w:tcPr>
          <w:p>
            <w:pPr>
              <w:ind w:left="440"/>
              <w:spacing w:after="0"/>
              <w:rPr>
                <w:sz w:val="20"/>
                <w:szCs w:val="20"/>
                <w:color w:val="auto"/>
              </w:rPr>
            </w:pPr>
            <w:r>
              <w:rPr>
                <w:rFonts w:ascii="Arial" w:cs="Arial" w:eastAsia="Arial" w:hAnsi="Arial"/>
                <w:sz w:val="18"/>
                <w:szCs w:val="18"/>
                <w:color w:val="auto"/>
              </w:rPr>
              <w:t>GMSA</w:t>
            </w:r>
          </w:p>
        </w:tc>
        <w:tc>
          <w:tcPr>
            <w:tcW w:w="12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Chevrolet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86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GMSA</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b w:val="1"/>
                <w:bCs w:val="1"/>
                <w:color w:val="auto"/>
              </w:rPr>
              <w:t>Total Worldwide</w:t>
            </w:r>
          </w:p>
        </w:tc>
        <w:tc>
          <w:tcPr>
            <w:tcW w:w="1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2,221</w:t>
            </w:r>
          </w:p>
        </w:tc>
        <w:tc>
          <w:tcPr>
            <w:tcW w:w="9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1,999</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GM Saab Automobile AB (Saab) vehicle sales data through February 2010.</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32" w:lineRule="exact"/>
        <w:rPr>
          <w:rFonts w:ascii="Arial" w:cs="Arial" w:eastAsia="Arial" w:hAnsi="Arial"/>
          <w:sz w:val="16"/>
          <w:szCs w:val="16"/>
          <w:color w:val="auto"/>
        </w:rPr>
      </w:pPr>
    </w:p>
    <w:p>
      <w:pPr>
        <w:ind w:left="452" w:hanging="452"/>
        <w:spacing w:after="0" w:line="250"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GMNA vehicle sales primarily represent sales to the ultimate customer. GME, GMIO and GMSA vehicle sales primarily represent estimated sales to the ultimate customer. In countries where end customer data is not readily available other data sources, such as wholesale volumes, are used to estimate vehicle sales.</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following joint venture vehicle sales:</w:t>
      </w:r>
    </w:p>
    <w:p>
      <w:pPr>
        <w:spacing w:after="0" w:line="188"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94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39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94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3940" w:type="dxa"/>
            <w:vAlign w:val="bottom"/>
          </w:tcPr>
          <w:p>
            <w:pPr>
              <w:spacing w:after="0"/>
              <w:rPr>
                <w:sz w:val="14"/>
                <w:szCs w:val="14"/>
                <w:color w:val="auto"/>
              </w:rPr>
            </w:pPr>
          </w:p>
        </w:tc>
        <w:tc>
          <w:tcPr>
            <w:tcW w:w="2800" w:type="dxa"/>
            <w:vAlign w:val="bottom"/>
            <w:gridSpan w:val="2"/>
          </w:tcPr>
          <w:p>
            <w:pPr>
              <w:jc w:val="center"/>
              <w:ind w:left="1817"/>
              <w:spacing w:after="0"/>
              <w:rPr>
                <w:sz w:val="20"/>
                <w:szCs w:val="20"/>
                <w:color w:val="auto"/>
              </w:rPr>
            </w:pPr>
            <w:r>
              <w:rPr>
                <w:rFonts w:ascii="Arial" w:cs="Arial" w:eastAsia="Arial" w:hAnsi="Arial"/>
                <w:sz w:val="14"/>
                <w:szCs w:val="14"/>
                <w:b w:val="1"/>
                <w:bCs w:val="1"/>
                <w:color w:val="auto"/>
                <w:w w:val="90"/>
              </w:rPr>
              <w:t>March 31, 2011</w:t>
            </w:r>
          </w:p>
        </w:tc>
        <w:tc>
          <w:tcPr>
            <w:tcW w:w="1940" w:type="dxa"/>
            <w:vAlign w:val="bottom"/>
            <w:gridSpan w:val="3"/>
          </w:tcPr>
          <w:p>
            <w:pPr>
              <w:jc w:val="center"/>
              <w:ind w:left="737"/>
              <w:spacing w:after="0"/>
              <w:rPr>
                <w:sz w:val="20"/>
                <w:szCs w:val="20"/>
                <w:color w:val="auto"/>
              </w:rPr>
            </w:pPr>
            <w:r>
              <w:rPr>
                <w:rFonts w:ascii="Arial" w:cs="Arial" w:eastAsia="Arial" w:hAnsi="Arial"/>
                <w:sz w:val="14"/>
                <w:szCs w:val="14"/>
                <w:b w:val="1"/>
                <w:bCs w:val="1"/>
                <w:color w:val="auto"/>
                <w:w w:val="88"/>
              </w:rPr>
              <w:t>March 31, 2010</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Joint venture sales in China</w:t>
            </w:r>
          </w:p>
        </w:tc>
        <w:tc>
          <w:tcPr>
            <w:tcW w:w="19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SGM</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SGMW and FAW-GM</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Joint venture sales in India</w:t>
            </w:r>
          </w:p>
        </w:tc>
        <w:tc>
          <w:tcPr>
            <w:tcW w:w="1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HKJV</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52" w:right="340" w:hanging="452"/>
        <w:spacing w:after="0" w:line="259"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joint venture agreements with SGMW (44%) in the three months ended March 31, 2011 and (34%) in the three months ended March 31, 2010 and FAW-GM (50%) allow for significant rights as a member as well as the contractual right to report SGMW and FAW-GM joint venture vehicle sales in China as part of GM’s global market share.</w:t>
      </w:r>
    </w:p>
    <w:p>
      <w:pPr>
        <w:sectPr>
          <w:pgSz w:w="11900" w:h="16838" w:orient="portrait"/>
          <w:cols w:equalWidth="0" w:num="1">
            <w:col w:w="11372"/>
          </w:cols>
          <w:pgMar w:left="248" w:top="274" w:right="279" w:bottom="1440" w:gutter="0" w:footer="0" w:header="0"/>
        </w:sectPr>
      </w:pPr>
    </w:p>
    <w:p>
      <w:pPr>
        <w:spacing w:after="0" w:line="127"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72"/>
          </w:cols>
          <w:pgMar w:left="248" w:top="274" w:right="279" w:bottom="1440" w:gutter="0" w:footer="0" w:header="0"/>
          <w:type w:val="continuous"/>
        </w:sectPr>
      </w:pPr>
    </w:p>
    <w:bookmarkStart w:id="12" w:name="page13"/>
    <w:bookmarkEnd w:id="12"/>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i w:val="1"/>
          <w:iCs w:val="1"/>
          <w:color w:val="auto"/>
        </w:rPr>
        <w:t>(Unaudited)</w:t>
      </w:r>
    </w:p>
    <w:p>
      <w:pPr>
        <w:spacing w:after="0" w:line="134"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Three Months</w:t>
            </w:r>
          </w:p>
        </w:tc>
        <w:tc>
          <w:tcPr>
            <w:tcW w:w="48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r>
      <w:tr>
        <w:trPr>
          <w:trHeight w:val="149"/>
        </w:trPr>
        <w:tc>
          <w:tcPr>
            <w:tcW w:w="3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3700" w:type="dxa"/>
            <w:vAlign w:val="bottom"/>
          </w:tcPr>
          <w:p>
            <w:pPr>
              <w:spacing w:after="0"/>
              <w:rPr>
                <w:sz w:val="14"/>
                <w:szCs w:val="14"/>
                <w:color w:val="auto"/>
              </w:rPr>
            </w:pPr>
          </w:p>
        </w:tc>
        <w:tc>
          <w:tcPr>
            <w:tcW w:w="3040" w:type="dxa"/>
            <w:vAlign w:val="bottom"/>
            <w:gridSpan w:val="3"/>
          </w:tcPr>
          <w:p>
            <w:pPr>
              <w:jc w:val="center"/>
              <w:ind w:left="754"/>
              <w:spacing w:after="0"/>
              <w:rPr>
                <w:sz w:val="20"/>
                <w:szCs w:val="20"/>
                <w:color w:val="auto"/>
              </w:rPr>
            </w:pPr>
            <w:r>
              <w:rPr>
                <w:rFonts w:ascii="Arial" w:cs="Arial" w:eastAsia="Arial" w:hAnsi="Arial"/>
                <w:sz w:val="14"/>
                <w:szCs w:val="14"/>
                <w:b w:val="1"/>
                <w:bCs w:val="1"/>
                <w:color w:val="auto"/>
                <w:w w:val="88"/>
              </w:rPr>
              <w:t>March 31, 2011</w:t>
            </w:r>
          </w:p>
        </w:tc>
        <w:tc>
          <w:tcPr>
            <w:tcW w:w="1940" w:type="dxa"/>
            <w:vAlign w:val="bottom"/>
            <w:gridSpan w:val="3"/>
          </w:tcPr>
          <w:p>
            <w:pPr>
              <w:jc w:val="center"/>
              <w:ind w:left="154"/>
              <w:spacing w:after="0"/>
              <w:rPr>
                <w:sz w:val="20"/>
                <w:szCs w:val="20"/>
                <w:color w:val="auto"/>
              </w:rPr>
            </w:pPr>
            <w:r>
              <w:rPr>
                <w:rFonts w:ascii="Arial" w:cs="Arial" w:eastAsia="Arial" w:hAnsi="Arial"/>
                <w:sz w:val="14"/>
                <w:szCs w:val="14"/>
                <w:b w:val="1"/>
                <w:bCs w:val="1"/>
                <w:color w:val="auto"/>
                <w:w w:val="90"/>
              </w:rPr>
              <w:t>March 31, 2010(a)(b)</w:t>
            </w: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Share(c)(d)(e)</w:t>
            </w:r>
          </w:p>
        </w:tc>
        <w:tc>
          <w:tcPr>
            <w:tcW w:w="15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United States – Cars</w:t>
            </w:r>
          </w:p>
        </w:tc>
        <w:tc>
          <w:tcPr>
            <w:tcW w:w="3040" w:type="dxa"/>
            <w:vAlign w:val="bottom"/>
            <w:gridSpan w:val="3"/>
          </w:tcPr>
          <w:p>
            <w:pPr>
              <w:jc w:val="right"/>
              <w:ind w:right="500"/>
              <w:spacing w:after="0"/>
              <w:rPr>
                <w:sz w:val="20"/>
                <w:szCs w:val="20"/>
                <w:color w:val="auto"/>
              </w:rPr>
            </w:pPr>
            <w:r>
              <w:rPr>
                <w:rFonts w:ascii="Arial" w:cs="Arial" w:eastAsia="Arial" w:hAnsi="Arial"/>
                <w:sz w:val="18"/>
                <w:szCs w:val="18"/>
                <w:color w:val="auto"/>
              </w:rPr>
              <w:t>15.4%</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 Trucks</w:t>
            </w:r>
          </w:p>
        </w:tc>
        <w:tc>
          <w:tcPr>
            <w:tcW w:w="3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22.4%</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Total United States</w:t>
            </w:r>
          </w:p>
        </w:tc>
        <w:tc>
          <w:tcPr>
            <w:tcW w:w="3040" w:type="dxa"/>
            <w:vAlign w:val="bottom"/>
            <w:gridSpan w:val="3"/>
          </w:tcPr>
          <w:p>
            <w:pPr>
              <w:jc w:val="right"/>
              <w:ind w:right="500"/>
              <w:spacing w:after="0"/>
              <w:rPr>
                <w:sz w:val="20"/>
                <w:szCs w:val="20"/>
                <w:color w:val="auto"/>
              </w:rPr>
            </w:pPr>
            <w:r>
              <w:rPr>
                <w:rFonts w:ascii="Arial" w:cs="Arial" w:eastAsia="Arial" w:hAnsi="Arial"/>
                <w:sz w:val="18"/>
                <w:szCs w:val="18"/>
                <w:color w:val="auto"/>
              </w:rPr>
              <w:t>19.0%</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18.4%</w:t>
            </w: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GMNA</w:t>
            </w:r>
          </w:p>
        </w:tc>
        <w:tc>
          <w:tcPr>
            <w:tcW w:w="3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18.3%</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Total GME</w:t>
            </w:r>
          </w:p>
        </w:tc>
        <w:tc>
          <w:tcPr>
            <w:tcW w:w="3040" w:type="dxa"/>
            <w:vAlign w:val="bottom"/>
            <w:gridSpan w:val="3"/>
          </w:tcPr>
          <w:p>
            <w:pPr>
              <w:jc w:val="right"/>
              <w:ind w:right="500"/>
              <w:spacing w:after="0"/>
              <w:rPr>
                <w:sz w:val="20"/>
                <w:szCs w:val="20"/>
                <w:color w:val="auto"/>
              </w:rPr>
            </w:pPr>
            <w:r>
              <w:rPr>
                <w:rFonts w:ascii="Arial" w:cs="Arial" w:eastAsia="Arial" w:hAnsi="Arial"/>
                <w:sz w:val="18"/>
                <w:szCs w:val="18"/>
                <w:color w:val="auto"/>
              </w:rPr>
              <w:t>8.6%</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GMIO(f)(g)</w:t>
            </w:r>
          </w:p>
        </w:tc>
        <w:tc>
          <w:tcPr>
            <w:tcW w:w="3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9.2%</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Total GMSA</w:t>
            </w:r>
          </w:p>
        </w:tc>
        <w:tc>
          <w:tcPr>
            <w:tcW w:w="3040" w:type="dxa"/>
            <w:vAlign w:val="bottom"/>
            <w:gridSpan w:val="3"/>
          </w:tcPr>
          <w:p>
            <w:pPr>
              <w:jc w:val="right"/>
              <w:ind w:right="500"/>
              <w:spacing w:after="0"/>
              <w:rPr>
                <w:sz w:val="20"/>
                <w:szCs w:val="20"/>
                <w:color w:val="auto"/>
              </w:rPr>
            </w:pPr>
            <w:r>
              <w:rPr>
                <w:rFonts w:ascii="Arial" w:cs="Arial" w:eastAsia="Arial" w:hAnsi="Arial"/>
                <w:sz w:val="18"/>
                <w:szCs w:val="18"/>
                <w:color w:val="auto"/>
              </w:rPr>
              <w:t>18.8%</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Worldwide</w:t>
            </w:r>
          </w:p>
        </w:tc>
        <w:tc>
          <w:tcPr>
            <w:tcW w:w="3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11.5%</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11.1%</w:t>
            </w:r>
          </w:p>
        </w:tc>
      </w:tr>
      <w:tr>
        <w:trPr>
          <w:trHeight w:val="323"/>
        </w:trPr>
        <w:tc>
          <w:tcPr>
            <w:tcW w:w="3700" w:type="dxa"/>
            <w:vAlign w:val="bottom"/>
          </w:tcPr>
          <w:p>
            <w:pPr>
              <w:spacing w:after="0"/>
              <w:rPr>
                <w:sz w:val="20"/>
                <w:szCs w:val="20"/>
                <w:color w:val="auto"/>
              </w:rPr>
            </w:pPr>
            <w:r>
              <w:rPr>
                <w:rFonts w:ascii="Arial" w:cs="Arial" w:eastAsia="Arial" w:hAnsi="Arial"/>
                <w:sz w:val="18"/>
                <w:szCs w:val="18"/>
                <w:b w:val="1"/>
                <w:bCs w:val="1"/>
                <w:color w:val="auto"/>
              </w:rPr>
              <w:t>U.S. Retail/Fleet Mix</w:t>
            </w: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7"/>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Fleet Sales – Cars</w:t>
            </w:r>
          </w:p>
        </w:tc>
        <w:tc>
          <w:tcPr>
            <w:tcW w:w="3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28.6%</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 Fleet Sales – Trucks</w:t>
            </w:r>
          </w:p>
        </w:tc>
        <w:tc>
          <w:tcPr>
            <w:tcW w:w="3040" w:type="dxa"/>
            <w:vAlign w:val="bottom"/>
            <w:gridSpan w:val="3"/>
          </w:tcPr>
          <w:p>
            <w:pPr>
              <w:jc w:val="right"/>
              <w:ind w:right="500"/>
              <w:spacing w:after="0"/>
              <w:rPr>
                <w:sz w:val="20"/>
                <w:szCs w:val="20"/>
                <w:color w:val="auto"/>
              </w:rPr>
            </w:pPr>
            <w:r>
              <w:rPr>
                <w:rFonts w:ascii="Arial" w:cs="Arial" w:eastAsia="Arial" w:hAnsi="Arial"/>
                <w:sz w:val="18"/>
                <w:szCs w:val="18"/>
                <w:color w:val="auto"/>
              </w:rPr>
              <w:t>20.5%</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24.5%</w:t>
            </w: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Vehicles</w:t>
            </w:r>
          </w:p>
        </w:tc>
        <w:tc>
          <w:tcPr>
            <w:tcW w:w="3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23.6%</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30.9%</w:t>
            </w:r>
          </w:p>
        </w:tc>
      </w:tr>
      <w:tr>
        <w:trPr>
          <w:trHeight w:val="322"/>
        </w:trPr>
        <w:tc>
          <w:tcPr>
            <w:tcW w:w="3700" w:type="dxa"/>
            <w:vAlign w:val="bottom"/>
          </w:tcPr>
          <w:p>
            <w:pPr>
              <w:spacing w:after="0"/>
              <w:rPr>
                <w:sz w:val="20"/>
                <w:szCs w:val="20"/>
                <w:color w:val="auto"/>
              </w:rPr>
            </w:pPr>
            <w:r>
              <w:rPr>
                <w:rFonts w:ascii="Arial" w:cs="Arial" w:eastAsia="Arial" w:hAnsi="Arial"/>
                <w:sz w:val="18"/>
                <w:szCs w:val="18"/>
                <w:color w:val="auto"/>
              </w:rPr>
              <w:t>GMNA Capacity Utilization(h)</w:t>
            </w:r>
          </w:p>
        </w:tc>
        <w:tc>
          <w:tcPr>
            <w:tcW w:w="3040" w:type="dxa"/>
            <w:vAlign w:val="bottom"/>
            <w:gridSpan w:val="3"/>
          </w:tcPr>
          <w:p>
            <w:pPr>
              <w:jc w:val="right"/>
              <w:ind w:right="500"/>
              <w:spacing w:after="0"/>
              <w:rPr>
                <w:sz w:val="20"/>
                <w:szCs w:val="20"/>
                <w:color w:val="auto"/>
              </w:rPr>
            </w:pPr>
            <w:r>
              <w:rPr>
                <w:rFonts w:ascii="Arial" w:cs="Arial" w:eastAsia="Arial" w:hAnsi="Arial"/>
                <w:sz w:val="18"/>
                <w:szCs w:val="18"/>
                <w:color w:val="auto"/>
              </w:rPr>
              <w:t>99.1%</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GM Saab vehicle sales data through February 2010.</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share information is based on vehicle sales volume.</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32" w:lineRule="exact"/>
        <w:rPr>
          <w:rFonts w:ascii="Arial" w:cs="Arial" w:eastAsia="Arial" w:hAnsi="Arial"/>
          <w:sz w:val="16"/>
          <w:szCs w:val="16"/>
          <w:color w:val="auto"/>
        </w:rPr>
      </w:pPr>
    </w:p>
    <w:p>
      <w:pPr>
        <w:ind w:left="452" w:hanging="452"/>
        <w:spacing w:after="0" w:line="250"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GMNA vehicle sales primarily represent sales to the ultimate customer. GME, GMIO and GMSA vehicle sales primarily represent estimated sales to the ultimate customer. In countries where end customer data is not readily available other data sources, such as wholesale volumes, are used to estimate vehicle sales.</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following joint venture vehicle sales (units in thousands):</w:t>
      </w:r>
    </w:p>
    <w:p>
      <w:pPr>
        <w:spacing w:after="0" w:line="188"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94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39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94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3940" w:type="dxa"/>
            <w:vAlign w:val="bottom"/>
          </w:tcPr>
          <w:p>
            <w:pPr>
              <w:spacing w:after="0"/>
              <w:rPr>
                <w:sz w:val="14"/>
                <w:szCs w:val="14"/>
                <w:color w:val="auto"/>
              </w:rPr>
            </w:pPr>
          </w:p>
        </w:tc>
        <w:tc>
          <w:tcPr>
            <w:tcW w:w="2800" w:type="dxa"/>
            <w:vAlign w:val="bottom"/>
            <w:gridSpan w:val="2"/>
          </w:tcPr>
          <w:p>
            <w:pPr>
              <w:jc w:val="center"/>
              <w:ind w:left="1817"/>
              <w:spacing w:after="0"/>
              <w:rPr>
                <w:sz w:val="20"/>
                <w:szCs w:val="20"/>
                <w:color w:val="auto"/>
              </w:rPr>
            </w:pPr>
            <w:r>
              <w:rPr>
                <w:rFonts w:ascii="Arial" w:cs="Arial" w:eastAsia="Arial" w:hAnsi="Arial"/>
                <w:sz w:val="14"/>
                <w:szCs w:val="14"/>
                <w:b w:val="1"/>
                <w:bCs w:val="1"/>
                <w:color w:val="auto"/>
                <w:w w:val="90"/>
              </w:rPr>
              <w:t>March 31, 2011</w:t>
            </w:r>
          </w:p>
        </w:tc>
        <w:tc>
          <w:tcPr>
            <w:tcW w:w="1940" w:type="dxa"/>
            <w:vAlign w:val="bottom"/>
            <w:gridSpan w:val="3"/>
          </w:tcPr>
          <w:p>
            <w:pPr>
              <w:jc w:val="center"/>
              <w:ind w:left="737"/>
              <w:spacing w:after="0"/>
              <w:rPr>
                <w:sz w:val="20"/>
                <w:szCs w:val="20"/>
                <w:color w:val="auto"/>
              </w:rPr>
            </w:pPr>
            <w:r>
              <w:rPr>
                <w:rFonts w:ascii="Arial" w:cs="Arial" w:eastAsia="Arial" w:hAnsi="Arial"/>
                <w:sz w:val="14"/>
                <w:szCs w:val="14"/>
                <w:b w:val="1"/>
                <w:bCs w:val="1"/>
                <w:color w:val="auto"/>
                <w:w w:val="88"/>
              </w:rPr>
              <w:t>March 31, 2010</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Joint venture sales in China</w:t>
            </w:r>
          </w:p>
        </w:tc>
        <w:tc>
          <w:tcPr>
            <w:tcW w:w="19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SGM</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SGMW and FAW-GM</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Joint venture sales in India</w:t>
            </w:r>
          </w:p>
        </w:tc>
        <w:tc>
          <w:tcPr>
            <w:tcW w:w="1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HKJV</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52" w:right="340" w:hanging="452"/>
        <w:spacing w:after="0" w:line="253"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joint venture agreements with SGMW (44%) in the three months ended March 31, 2011 and (34%) in the three months ended March 31, 2010 and FAW-GM (50%) allow for significant rights as a member as well as the contractual right to report SGMW and FAW-GM joint venture vehicle sales in China as part of GM’s global market share.</w:t>
      </w: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shift rated, annualized.</w:t>
      </w:r>
    </w:p>
    <w:p>
      <w:pPr>
        <w:spacing w:after="0" w:line="15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74"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3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March</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March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4"/>
              </w:rPr>
              <w:t>31, 2011</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8"/>
              </w:rPr>
              <w:t>31, 2010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and revenue</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Automotive sales</w:t>
            </w:r>
          </w:p>
        </w:tc>
        <w:tc>
          <w:tcPr>
            <w:tcW w:w="3540" w:type="dxa"/>
            <w:vAlign w:val="bottom"/>
            <w:gridSpan w:val="2"/>
          </w:tcPr>
          <w:p>
            <w:pPr>
              <w:ind w:left="3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35,879</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GM Financial revenue</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Other automotive revenue</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net sales and revenue</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36,194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31,476</w:t>
            </w: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3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Automotive cost of sales</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31,685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GM Financial operating and other expenses</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165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Automotive selling, general and administrative expense</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Other automotive expenses, net</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costs and expenses</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34,850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Goodwill impairment charges</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income</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Automotive interest expense</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equity income</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 expense</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net of tax and gain on disposal of investments</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gridSpan w:val="2"/>
            <w:vMerge w:val="continue"/>
          </w:tcPr>
          <w:p>
            <w:pPr>
              <w:spacing w:after="0"/>
              <w:rPr>
                <w:sz w:val="19"/>
                <w:szCs w:val="19"/>
                <w:color w:val="auto"/>
              </w:rPr>
            </w:pPr>
          </w:p>
        </w:tc>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3,411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stockholders</w:t>
            </w:r>
          </w:p>
        </w:tc>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gridSpan w:val="2"/>
            <w:vMerge w:val="continue"/>
          </w:tcPr>
          <w:p>
            <w:pPr>
              <w:spacing w:after="0"/>
              <w:rPr>
                <w:sz w:val="19"/>
                <w:szCs w:val="19"/>
                <w:color w:val="auto"/>
              </w:rPr>
            </w:pPr>
          </w:p>
        </w:tc>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3,366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dividends on preferred stock</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gridSpan w:val="2"/>
            <w:vMerge w:val="continue"/>
          </w:tcPr>
          <w:p>
            <w:pPr>
              <w:spacing w:after="0"/>
              <w:rPr>
                <w:sz w:val="19"/>
                <w:szCs w:val="19"/>
                <w:color w:val="auto"/>
              </w:rPr>
            </w:pPr>
          </w:p>
        </w:tc>
        <w:tc>
          <w:tcPr>
            <w:tcW w:w="34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3,151</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Basic and Diluted</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common stockholders – basic</w:t>
            </w:r>
          </w:p>
        </w:tc>
        <w:tc>
          <w:tcPr>
            <w:tcW w:w="354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3,151</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w w:val="91"/>
              </w:rPr>
              <w:t>Addition of preferred dividends to holders of Series B Preferred Stock</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common stockholders – diluted</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3,210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w:t>
            </w:r>
          </w:p>
        </w:tc>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2"/>
            <w:vMerge w:val="continue"/>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common shares outstanding – basic</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Dilutive effect of warrants</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162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conversion of Series B Preferred Stock</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Dilutive effect of restricted stock units</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common shares outstanding – diluted</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Basic earnings per share</w:t>
            </w:r>
          </w:p>
        </w:tc>
        <w:tc>
          <w:tcPr>
            <w:tcW w:w="3540" w:type="dxa"/>
            <w:vAlign w:val="bottom"/>
            <w:gridSpan w:val="2"/>
          </w:tcPr>
          <w:p>
            <w:pPr>
              <w:ind w:left="3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2.09</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354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1.77</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400" w:type="dxa"/>
            <w:vAlign w:val="bottom"/>
          </w:tcPr>
          <w:p>
            <w:pPr>
              <w:jc w:val="right"/>
              <w:ind w:right="3072"/>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3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jc w:val="center"/>
              <w:ind w:right="532"/>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Automotive Current Assets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20,975</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cash, cash equivalents and marketable securities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29,593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Accounts and notes receivable (net of allowance of $336 and $252)</w:t>
            </w: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12,990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13,991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Equipment on operating leases, net</w:t>
            </w: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3,099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 and deferred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62,949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Automotive Non-current Assets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Equity in net assets of nonconsolidated affiliates</w:t>
            </w: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6,937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net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19,944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28,752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11,488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Other assets and deferred income taxes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71,370</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b w:val="1"/>
                <w:bCs w:val="1"/>
                <w:color w:val="auto"/>
              </w:rPr>
              <w:t>Total Automotive Assets</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134,319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GM Financial Assets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w w:val="95"/>
              </w:rPr>
              <w:t>Finance receivables, net (including finance receivables transferred to special purpose entities of $8,603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gridSpan w:val="2"/>
          </w:tcPr>
          <w:p>
            <w:pPr>
              <w:ind w:left="660"/>
              <w:spacing w:after="0"/>
              <w:rPr>
                <w:sz w:val="20"/>
                <w:szCs w:val="20"/>
                <w:color w:val="auto"/>
              </w:rPr>
            </w:pPr>
            <w:r>
              <w:rPr>
                <w:rFonts w:ascii="Arial" w:cs="Arial" w:eastAsia="Arial" w:hAnsi="Arial"/>
                <w:sz w:val="18"/>
                <w:szCs w:val="18"/>
                <w:color w:val="auto"/>
              </w:rPr>
              <w:t>$7,156)</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8,276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1,265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Other assets (including leased assets transferred to special purpose entities of $188 at March 31, 2011)</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420"/>
              <w:spacing w:after="0"/>
              <w:rPr>
                <w:sz w:val="20"/>
                <w:szCs w:val="20"/>
                <w:color w:val="auto"/>
              </w:rPr>
            </w:pPr>
            <w:r>
              <w:rPr>
                <w:rFonts w:ascii="Arial" w:cs="Arial" w:eastAsia="Arial" w:hAnsi="Arial"/>
                <w:sz w:val="18"/>
                <w:szCs w:val="18"/>
                <w:b w:val="1"/>
                <w:bCs w:val="1"/>
                <w:color w:val="auto"/>
              </w:rPr>
              <w:t>Total GM Financial Assets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11,527</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145,846</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jc w:val="center"/>
              <w:ind w:right="552"/>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Automotive Current Liabilities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Accounts payable (principally trade)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24,739</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debt and current portion of long-term debt (including debt at GM Korea of $117 and $70)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Accrued liabilities (including derivative liabilities at GM Korea of $49 and $111)</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25,200</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51,682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Automotive Non-current Liabilities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(including debt at GM Korea of $8 and $835)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Postretirement benefits other than pensions</w:t>
            </w: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9,396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21,660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Other liabilities and deferred income taxes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12,851</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non-current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47,175</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b w:val="1"/>
                <w:bCs w:val="1"/>
                <w:color w:val="auto"/>
              </w:rPr>
              <w:t>Total Automotive Liabilities</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98,857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GM Financial Liabilities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Securitization notes payable</w:t>
            </w: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6,061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facilities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GM Financial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106,760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2,000,000,000 shares authorized: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Series A (276,101,695 shares issued and outstanding (each with a $25.00 liquidation preference) at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March 31, 2011 and December 31, 2010)</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5,536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(100,000,000 shares issued and outstanding (each with a $50.00 liquidation preference) at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March 31, 2011 and December 31, 2010)</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4,855</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w w:val="98"/>
              </w:rPr>
              <w:t>Common stock, $0.01 par value (5,000,000,000 shares authorized, 1,560,755,989 and 1,500,149,928 shares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jc w:val="center"/>
              <w:ind w:right="512"/>
              <w:spacing w:after="0"/>
              <w:rPr>
                <w:sz w:val="20"/>
                <w:szCs w:val="20"/>
                <w:color w:val="auto"/>
              </w:rPr>
            </w:pPr>
            <w:r>
              <w:rPr>
                <w:rFonts w:ascii="Arial" w:cs="Arial" w:eastAsia="Arial" w:hAnsi="Arial"/>
                <w:sz w:val="18"/>
                <w:szCs w:val="18"/>
                <w:color w:val="auto"/>
                <w:w w:val="86"/>
              </w:rPr>
              <w:t>issued and outstanding at March 31, 2011 and 1,500,136,998 shares issued and outstanding at December 31,</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gridSpan w:val="2"/>
          </w:tcPr>
          <w:p>
            <w:pPr>
              <w:jc w:val="right"/>
              <w:ind w:right="7892"/>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 surplus (principally additional paid-in capital)</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24,347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1,951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38,198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39,086</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145,846</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274" w:right="239" w:bottom="572" w:gutter="0" w:footer="0" w:header="0"/>
        </w:sect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274" w:right="239" w:bottom="572"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946265" cy="5368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46265" cy="5368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Exhibit 99.2</w:t>
      </w:r>
    </w:p>
    <w:p>
      <w:pPr>
        <w:spacing w:after="0"/>
        <w:rPr>
          <w:sz w:val="20"/>
          <w:szCs w:val="20"/>
          <w:color w:val="auto"/>
        </w:rPr>
      </w:pPr>
      <w:r>
        <w:rPr>
          <w:rFonts w:ascii="Arial" w:cs="Arial" w:eastAsia="Arial" w:hAnsi="Arial"/>
          <w:sz w:val="3"/>
          <w:szCs w:val="3"/>
          <w:color w:val="FFFFFF"/>
        </w:rPr>
        <w:t>General Motors Company</w:t>
      </w:r>
    </w:p>
    <w:p>
      <w:pPr>
        <w:spacing w:after="0" w:line="194" w:lineRule="auto"/>
        <w:rPr>
          <w:sz w:val="20"/>
          <w:szCs w:val="20"/>
          <w:color w:val="auto"/>
        </w:rPr>
      </w:pPr>
      <w:r>
        <w:rPr>
          <w:rFonts w:ascii="Arial" w:cs="Arial" w:eastAsia="Arial" w:hAnsi="Arial"/>
          <w:sz w:val="5"/>
          <w:szCs w:val="5"/>
          <w:color w:val="FFFFFF"/>
        </w:rPr>
        <w:t>Q1 2011 Results</w:t>
      </w:r>
    </w:p>
    <w:p>
      <w:pPr>
        <w:spacing w:after="0"/>
        <w:rPr>
          <w:sz w:val="20"/>
          <w:szCs w:val="20"/>
          <w:color w:val="auto"/>
        </w:rPr>
      </w:pPr>
      <w:r>
        <w:rPr>
          <w:rFonts w:ascii="Arial" w:cs="Arial" w:eastAsia="Arial" w:hAnsi="Arial"/>
          <w:sz w:val="14"/>
          <w:szCs w:val="14"/>
          <w:color w:val="FFFFFF"/>
        </w:rPr>
        <w:t>May 5, 2011</w:t>
      </w:r>
    </w:p>
    <w:p>
      <w:pPr>
        <w:sectPr>
          <w:pgSz w:w="11900" w:h="16838" w:orient="portrait"/>
          <w:cols w:equalWidth="0" w:num="1">
            <w:col w:w="11420"/>
          </w:cols>
          <w:pgMar w:left="240" w:top="125"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FFFFFF"/>
        </w:rPr>
        <w:t>ForwardInthispre“should,”LookingentationStatementsandinrelated comments by our management, our use of the words “expect,” “anticipate,” “possible,” “potential,” “target,” “believe,” “commit,” “intend,” “continue,” “may,” “would,”</w:t>
      </w:r>
    </w:p>
    <w:p>
      <w:pPr>
        <w:spacing w:after="0" w:line="7"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judgments“could,” are reasonable,“projct,”but“projected,”thesestatements“positioned”arenotguaranteesorsimilar expressionsofanyeventsis orintendedfinancialto results,identifyandforwardouractuallookingresultsstatementsmaydifferthat materiallyrepresentourduelaborcurrenttovarietyjudgmentofimportantaboutpossiblefactors.futureAmongevents.otherWitems,believesuchthese factors might include: ourmaterialablity to realize production efficiencies and to achieve reductions in costs as a result of our restructuring initiatives and modifications; our ability to maintain quality control over</w:t>
      </w:r>
    </w:p>
    <w:p>
      <w:pPr>
        <w:ind w:right="160"/>
        <w:spacing w:after="0"/>
        <w:rPr>
          <w:sz w:val="20"/>
          <w:szCs w:val="20"/>
          <w:color w:val="auto"/>
        </w:rPr>
      </w:pPr>
      <w:r>
        <w:rPr>
          <w:rFonts w:ascii="Arial" w:cs="Arial" w:eastAsia="Arial" w:hAnsi="Arial"/>
          <w:sz w:val="3"/>
          <w:szCs w:val="3"/>
          <w:color w:val="FFFFFF"/>
        </w:rPr>
        <w:t>andour vehiclesfinancingandsourcesavoidand an appropriatevehiclerecalls;level ofourdebt,suppliers’includingabilityasrequiredtodeliverto parts,fund oursystemsplannedandsignificantcomponentsinvestmentatsuchtimesinnewto allowtechnology;ustomeetour abilityproductiontorealizeschedules;successfulourabilityvehicletoapplicationsmaintainadequateofnew liquidity technology; and ability to to attract new customers, particularly for our new products.</w:t>
      </w:r>
    </w:p>
    <w:p>
      <w:pPr>
        <w:spacing w:after="0" w:line="6" w:lineRule="exact"/>
        <w:rPr>
          <w:sz w:val="20"/>
          <w:szCs w:val="20"/>
          <w:color w:val="auto"/>
        </w:rPr>
      </w:pPr>
    </w:p>
    <w:p>
      <w:pPr>
        <w:ind w:right="600"/>
        <w:spacing w:after="0" w:line="209" w:lineRule="auto"/>
        <w:rPr>
          <w:sz w:val="20"/>
          <w:szCs w:val="20"/>
          <w:color w:val="auto"/>
        </w:rPr>
      </w:pPr>
      <w:r>
        <w:rPr>
          <w:rFonts w:ascii="Arial" w:cs="Arial" w:eastAsia="Arial" w:hAnsi="Arial"/>
          <w:sz w:val="12"/>
          <w:szCs w:val="12"/>
          <w:color w:val="FFFFFF"/>
        </w:rPr>
        <w:t>GM’s most recent annual reportcontinueForm 10-K and quarterly report on Form 10-Q provides information about these and other factors, which we may revise or supplement in future reports to the SEC. 1</w:t>
      </w:r>
    </w:p>
    <w:p>
      <w:pPr>
        <w:sectPr>
          <w:pgSz w:w="11900" w:h="16838" w:orient="portrait"/>
          <w:cols w:equalWidth="0" w:num="1">
            <w:col w:w="11380"/>
          </w:cols>
          <w:pgMar w:left="240" w:top="1440" w:right="2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7"/>
          <w:szCs w:val="7"/>
          <w:color w:val="FFFFFF"/>
        </w:rPr>
        <w:t>FirstQ1‘11QuarterF/(U) 2011vs.Q1</w:t>
      </w:r>
      <w:r>
        <w:rPr>
          <w:rFonts w:ascii="Arial" w:cs="Arial" w:eastAsia="Arial" w:hAnsi="Arial"/>
          <w:sz w:val="10"/>
          <w:szCs w:val="10"/>
          <w:color w:val="FFFFFF"/>
          <w:vertAlign w:val="superscript"/>
        </w:rPr>
        <w:t>2B</w:t>
      </w:r>
      <w:r>
        <w:rPr>
          <w:rFonts w:ascii="Arial" w:cs="Arial" w:eastAsia="Arial" w:hAnsi="Arial"/>
          <w:sz w:val="7"/>
          <w:szCs w:val="7"/>
          <w:color w:val="FFFFFF"/>
        </w:rPr>
        <w:t>Highlights‘10</w:t>
      </w:r>
    </w:p>
    <w:p>
      <w:pPr>
        <w:spacing w:after="0" w:line="205" w:lineRule="auto"/>
        <w:rPr>
          <w:sz w:val="20"/>
          <w:szCs w:val="20"/>
          <w:color w:val="auto"/>
        </w:rPr>
      </w:pPr>
      <w:r>
        <w:rPr>
          <w:rFonts w:ascii="Arial" w:cs="Arial" w:eastAsia="Arial" w:hAnsi="Arial"/>
          <w:sz w:val="6"/>
          <w:szCs w:val="6"/>
          <w:color w:val="FFFFFF"/>
        </w:rPr>
        <w:t>NetGlobalRevenueDeliveries$36. .2M</w:t>
      </w:r>
    </w:p>
    <w:p>
      <w:pPr>
        <w:spacing w:after="0"/>
        <w:rPr>
          <w:sz w:val="20"/>
          <w:szCs w:val="20"/>
          <w:color w:val="auto"/>
        </w:rPr>
      </w:pPr>
      <w:r>
        <w:rPr>
          <w:rFonts w:ascii="Arial" w:cs="Arial" w:eastAsia="Arial" w:hAnsi="Arial"/>
          <w:sz w:val="3"/>
          <w:szCs w:val="3"/>
          <w:color w:val="FFFFFF"/>
        </w:rPr>
        <w:t>EBIT - Adj. $2.0B</w:t>
      </w:r>
    </w:p>
    <w:p>
      <w:pPr>
        <w:ind w:left="300"/>
        <w:spacing w:after="0" w:line="194" w:lineRule="auto"/>
        <w:rPr>
          <w:sz w:val="20"/>
          <w:szCs w:val="20"/>
          <w:color w:val="auto"/>
        </w:rPr>
      </w:pPr>
      <w:r>
        <w:rPr>
          <w:rFonts w:ascii="Arial" w:cs="Arial" w:eastAsia="Arial" w:hAnsi="Arial"/>
          <w:sz w:val="3"/>
          <w:szCs w:val="3"/>
          <w:color w:val="FFFFFF"/>
        </w:rPr>
        <w:t>NA</w:t>
      </w:r>
      <w:r>
        <w:rPr>
          <w:rFonts w:ascii="Arial" w:cs="Arial" w:eastAsia="Arial" w:hAnsi="Arial"/>
          <w:sz w:val="5"/>
          <w:szCs w:val="5"/>
          <w:color w:val="FFFFFF"/>
          <w:vertAlign w:val="superscript"/>
        </w:rPr>
        <w:t>E</w:t>
      </w:r>
      <w:r>
        <w:rPr>
          <w:rFonts w:ascii="Arial" w:cs="Arial" w:eastAsia="Arial" w:hAnsi="Arial"/>
          <w:sz w:val="3"/>
          <w:szCs w:val="3"/>
          <w:color w:val="FFFFFF"/>
        </w:rPr>
        <w:t xml:space="preserve"> $1.3B</w:t>
      </w:r>
    </w:p>
    <w:p>
      <w:pPr>
        <w:jc w:val="right"/>
        <w:ind w:right="9479"/>
        <w:spacing w:after="0" w:line="188" w:lineRule="auto"/>
        <w:rPr>
          <w:sz w:val="20"/>
          <w:szCs w:val="20"/>
          <w:color w:val="auto"/>
        </w:rPr>
      </w:pPr>
      <w:r>
        <w:rPr>
          <w:rFonts w:ascii="Arial" w:cs="Arial" w:eastAsia="Arial" w:hAnsi="Arial"/>
          <w:sz w:val="9"/>
          <w:szCs w:val="9"/>
          <w:color w:val="FFFFFF"/>
          <w:vertAlign w:val="subscript"/>
        </w:rPr>
        <w:t>IO</w:t>
      </w:r>
      <w:r>
        <w:rPr>
          <w:rFonts w:ascii="Arial" w:cs="Arial" w:eastAsia="Arial" w:hAnsi="Arial"/>
          <w:sz w:val="7"/>
          <w:szCs w:val="7"/>
          <w:color w:val="FFFFFF"/>
        </w:rPr>
        <w:t>$0.0B</w:t>
      </w:r>
    </w:p>
    <w:p>
      <w:pPr>
        <w:jc w:val="right"/>
        <w:ind w:right="9379"/>
        <w:spacing w:after="0" w:line="187" w:lineRule="auto"/>
        <w:rPr>
          <w:sz w:val="20"/>
          <w:szCs w:val="20"/>
          <w:color w:val="auto"/>
        </w:rPr>
      </w:pPr>
      <w:r>
        <w:rPr>
          <w:rFonts w:ascii="Arial" w:cs="Arial" w:eastAsia="Arial" w:hAnsi="Arial"/>
          <w:sz w:val="7"/>
          <w:szCs w:val="7"/>
          <w:color w:val="FFFFFF"/>
        </w:rPr>
        <w:t xml:space="preserve">- GMSA </w:t>
      </w:r>
      <w:r>
        <w:rPr>
          <w:rFonts w:ascii="Arial" w:cs="Arial" w:eastAsia="Arial" w:hAnsi="Arial"/>
          <w:sz w:val="9"/>
          <w:szCs w:val="9"/>
          <w:color w:val="FFFFFF"/>
          <w:vertAlign w:val="superscript"/>
        </w:rPr>
        <w:t>$</w:t>
      </w:r>
      <w:r>
        <w:rPr>
          <w:rFonts w:ascii="Arial" w:cs="Arial" w:eastAsia="Arial" w:hAnsi="Arial"/>
          <w:sz w:val="7"/>
          <w:szCs w:val="7"/>
          <w:color w:val="FFFFFF"/>
        </w:rPr>
        <w:t>$</w:t>
      </w:r>
      <w:r>
        <w:rPr>
          <w:rFonts w:ascii="Arial" w:cs="Arial" w:eastAsia="Arial" w:hAnsi="Arial"/>
          <w:sz w:val="9"/>
          <w:szCs w:val="9"/>
          <w:color w:val="FFFFFF"/>
          <w:vertAlign w:val="superscript"/>
        </w:rPr>
        <w:t>0.6B</w:t>
      </w:r>
      <w:r>
        <w:rPr>
          <w:rFonts w:ascii="Arial" w:cs="Arial" w:eastAsia="Arial" w:hAnsi="Arial"/>
          <w:sz w:val="7"/>
          <w:szCs w:val="7"/>
          <w:color w:val="FFFFFF"/>
        </w:rPr>
        <w:t>0.1B</w:t>
      </w:r>
    </w:p>
    <w:p>
      <w:pPr>
        <w:spacing w:after="0"/>
        <w:rPr>
          <w:sz w:val="20"/>
          <w:szCs w:val="20"/>
          <w:color w:val="auto"/>
        </w:rPr>
      </w:pPr>
      <w:r>
        <w:rPr>
          <w:rFonts w:ascii="Arial" w:cs="Arial" w:eastAsia="Arial" w:hAnsi="Arial"/>
          <w:sz w:val="12"/>
          <w:szCs w:val="12"/>
          <w:color w:val="FFFFFF"/>
        </w:rPr>
        <w:t>2Available Liquidity $36.5B</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FFFFFF"/>
        </w:rPr>
        <w:t>SummaryQ12010Q1of 2011Q12011 Results</w:t>
      </w:r>
    </w:p>
    <w:p>
      <w:pPr>
        <w:spacing w:after="0" w:line="187" w:lineRule="auto"/>
        <w:rPr>
          <w:sz w:val="20"/>
          <w:szCs w:val="20"/>
          <w:color w:val="auto"/>
        </w:rPr>
      </w:pPr>
      <w:r>
        <w:rPr>
          <w:rFonts w:ascii="Arial" w:cs="Arial" w:eastAsia="Arial" w:hAnsi="Arial"/>
          <w:sz w:val="9"/>
          <w:szCs w:val="9"/>
          <w:color w:val="FFFFFF"/>
        </w:rPr>
        <w:t>NetGAAPRevenue ($B) 31.5 36.2</w:t>
      </w:r>
    </w:p>
    <w:p>
      <w:pPr>
        <w:spacing w:after="0"/>
        <w:rPr>
          <w:sz w:val="20"/>
          <w:szCs w:val="20"/>
          <w:color w:val="auto"/>
        </w:rPr>
      </w:pPr>
      <w:r>
        <w:rPr>
          <w:rFonts w:ascii="Arial" w:cs="Arial" w:eastAsia="Arial" w:hAnsi="Arial"/>
          <w:sz w:val="3"/>
          <w:szCs w:val="3"/>
          <w:color w:val="FFFFFF"/>
        </w:rPr>
        <w:t>Operating Income ($B) 1.2 0.9</w:t>
      </w:r>
    </w:p>
    <w:p>
      <w:pPr>
        <w:spacing w:after="0" w:line="181" w:lineRule="auto"/>
        <w:rPr>
          <w:sz w:val="20"/>
          <w:szCs w:val="20"/>
          <w:color w:val="auto"/>
        </w:rPr>
      </w:pPr>
      <w:r>
        <w:rPr>
          <w:rFonts w:ascii="Arial" w:cs="Arial" w:eastAsia="Arial" w:hAnsi="Arial"/>
          <w:sz w:val="10"/>
          <w:szCs w:val="10"/>
          <w:color w:val="FFFFFF"/>
        </w:rPr>
        <w:t>EPSNetIncome–Dilutedto Common($/Share) 0.55Stockholders1.77 ($B) 0.9 3.2</w:t>
      </w:r>
    </w:p>
    <w:p>
      <w:pPr>
        <w:spacing w:after="0"/>
        <w:rPr>
          <w:sz w:val="20"/>
          <w:szCs w:val="20"/>
          <w:color w:val="auto"/>
        </w:rPr>
      </w:pPr>
      <w:r>
        <w:rPr>
          <w:rFonts w:ascii="Arial" w:cs="Arial" w:eastAsia="Arial" w:hAnsi="Arial"/>
          <w:sz w:val="3"/>
          <w:szCs w:val="3"/>
          <w:color w:val="FFFFFF"/>
        </w:rPr>
        <w:t>Non- GAAP</w:t>
      </w:r>
    </w:p>
    <w:p>
      <w:pPr>
        <w:spacing w:after="0" w:line="181" w:lineRule="auto"/>
        <w:rPr>
          <w:sz w:val="20"/>
          <w:szCs w:val="20"/>
          <w:color w:val="auto"/>
        </w:rPr>
      </w:pPr>
      <w:r>
        <w:rPr>
          <w:rFonts w:ascii="Arial" w:cs="Arial" w:eastAsia="Arial" w:hAnsi="Arial"/>
          <w:sz w:val="10"/>
          <w:szCs w:val="10"/>
          <w:color w:val="FFFFFF"/>
        </w:rPr>
        <w:t>AutomotiveEBIT-Adj.(Free$B)1.7Cash2.0*Flow ($B) 1.0 (1.9)**</w:t>
      </w:r>
    </w:p>
    <w:p>
      <w:pPr>
        <w:ind w:right="4179"/>
        <w:spacing w:after="0" w:line="209" w:lineRule="auto"/>
        <w:rPr>
          <w:sz w:val="20"/>
          <w:szCs w:val="20"/>
          <w:color w:val="auto"/>
        </w:rPr>
      </w:pPr>
      <w:r>
        <w:rPr>
          <w:rFonts w:ascii="Arial" w:cs="Arial" w:eastAsia="Arial" w:hAnsi="Arial"/>
          <w:sz w:val="10"/>
          <w:szCs w:val="10"/>
          <w:color w:val="FFFFFF"/>
        </w:rPr>
        <w:t>**EBITAutomotive-Adj.includesFreeCashGM FlowFinancialincludesonanunfavorableEarningsBefore$2.5BTaximpact(EBT)relatedbasisto termination of in-transit financing 3</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color w:val="FFFFFF"/>
        </w:rPr>
        <w:t>Q1Net 2010IncomeQ1to2011Common Stockholders</w:t>
      </w:r>
    </w:p>
    <w:p>
      <w:pPr>
        <w:spacing w:after="0"/>
        <w:rPr>
          <w:sz w:val="20"/>
          <w:szCs w:val="20"/>
          <w:color w:val="auto"/>
        </w:rPr>
      </w:pPr>
      <w:r>
        <w:rPr>
          <w:rFonts w:ascii="Arial" w:cs="Arial" w:eastAsia="Arial" w:hAnsi="Arial"/>
          <w:sz w:val="3"/>
          <w:szCs w:val="3"/>
          <w:color w:val="FFFFFF"/>
        </w:rPr>
        <w:t>EPSNetIncome–Dilutedto Common($/Share) 0.55Stockholders1.77 ($B) 0.9 3.2</w:t>
      </w:r>
    </w:p>
    <w:p>
      <w:pPr>
        <w:spacing w:after="0" w:line="194" w:lineRule="auto"/>
        <w:rPr>
          <w:sz w:val="20"/>
          <w:szCs w:val="20"/>
          <w:color w:val="auto"/>
        </w:rPr>
      </w:pPr>
      <w:r>
        <w:rPr>
          <w:rFonts w:ascii="Arial" w:cs="Arial" w:eastAsia="Arial" w:hAnsi="Arial"/>
          <w:sz w:val="5"/>
          <w:szCs w:val="5"/>
          <w:color w:val="FFFFFF"/>
        </w:rPr>
        <w:t>Special Items Included ($B):</w:t>
      </w:r>
    </w:p>
    <w:p>
      <w:pPr>
        <w:ind w:left="180"/>
        <w:spacing w:after="0" w:line="211" w:lineRule="auto"/>
        <w:rPr>
          <w:sz w:val="20"/>
          <w:szCs w:val="20"/>
          <w:color w:val="auto"/>
        </w:rPr>
      </w:pPr>
      <w:r>
        <w:rPr>
          <w:rFonts w:ascii="Arial" w:cs="Arial" w:eastAsia="Arial" w:hAnsi="Arial"/>
          <w:sz w:val="4"/>
          <w:szCs w:val="4"/>
          <w:color w:val="FFFFFF"/>
          <w:vertAlign w:val="superscript"/>
        </w:rPr>
        <w:t>ain on Sale of</w:t>
      </w:r>
      <w:r>
        <w:rPr>
          <w:rFonts w:ascii="Arial" w:cs="Arial" w:eastAsia="Arial" w:hAnsi="Arial"/>
          <w:sz w:val="2"/>
          <w:szCs w:val="2"/>
          <w:color w:val="FFFFFF"/>
        </w:rPr>
        <w:t xml:space="preserve"> Delphi Membership Interest 0.0 1.6</w:t>
      </w:r>
    </w:p>
    <w:p>
      <w:pPr>
        <w:ind w:left="180"/>
        <w:spacing w:after="0" w:line="212" w:lineRule="auto"/>
        <w:tabs>
          <w:tab w:leader="none" w:pos="1820" w:val="left"/>
        </w:tabs>
        <w:rPr>
          <w:sz w:val="20"/>
          <w:szCs w:val="20"/>
          <w:color w:val="auto"/>
        </w:rPr>
      </w:pPr>
      <w:r>
        <w:rPr>
          <w:rFonts w:ascii="Arial" w:cs="Arial" w:eastAsia="Arial" w:hAnsi="Arial"/>
          <w:sz w:val="4"/>
          <w:szCs w:val="4"/>
          <w:color w:val="FFFFFF"/>
          <w:vertAlign w:val="superscript"/>
        </w:rPr>
        <w:t>ME</w:t>
      </w:r>
      <w:r>
        <w:rPr>
          <w:sz w:val="20"/>
          <w:szCs w:val="20"/>
          <w:color w:val="auto"/>
        </w:rPr>
        <w:tab/>
      </w:r>
      <w:r>
        <w:rPr>
          <w:rFonts w:ascii="Arial" w:cs="Arial" w:eastAsia="Arial" w:hAnsi="Arial"/>
          <w:sz w:val="4"/>
          <w:szCs w:val="4"/>
          <w:color w:val="FFFFFF"/>
          <w:vertAlign w:val="superscript"/>
        </w:rPr>
        <w:t>(0</w:t>
      </w:r>
    </w:p>
    <w:p>
      <w:pPr>
        <w:ind w:left="80"/>
        <w:spacing w:after="0" w:line="211" w:lineRule="auto"/>
        <w:rPr>
          <w:sz w:val="20"/>
          <w:szCs w:val="20"/>
          <w:color w:val="auto"/>
        </w:rPr>
      </w:pPr>
      <w:r>
        <w:rPr>
          <w:rFonts w:ascii="Arial" w:cs="Arial" w:eastAsia="Arial" w:hAnsi="Arial"/>
          <w:sz w:val="4"/>
          <w:szCs w:val="4"/>
          <w:color w:val="FFFFFF"/>
          <w:vertAlign w:val="superscript"/>
        </w:rPr>
        <w:t>Gain</w:t>
      </w:r>
      <w:r>
        <w:rPr>
          <w:rFonts w:ascii="Arial" w:cs="Arial" w:eastAsia="Arial" w:hAnsi="Arial"/>
          <w:sz w:val="2"/>
          <w:szCs w:val="2"/>
          <w:color w:val="FFFFFF"/>
        </w:rPr>
        <w:t xml:space="preserve"> Goodwill AllyImpairmentPreferred0.00. .4)0.3</w:t>
      </w:r>
    </w:p>
    <w:p>
      <w:pPr>
        <w:spacing w:after="0" w:line="188" w:lineRule="auto"/>
        <w:tabs>
          <w:tab w:leader="none" w:pos="360" w:val="left"/>
        </w:tabs>
        <w:rPr>
          <w:sz w:val="20"/>
          <w:szCs w:val="20"/>
          <w:color w:val="auto"/>
        </w:rPr>
      </w:pPr>
      <w:r>
        <w:rPr>
          <w:rFonts w:ascii="Arial" w:cs="Arial" w:eastAsia="Arial" w:hAnsi="Arial"/>
          <w:sz w:val="9"/>
          <w:szCs w:val="9"/>
          <w:color w:val="FFFFFF"/>
          <w:vertAlign w:val="superscript"/>
        </w:rPr>
        <w:t>-</w:t>
      </w:r>
      <w:r>
        <w:rPr>
          <w:sz w:val="20"/>
          <w:szCs w:val="20"/>
          <w:color w:val="auto"/>
        </w:rPr>
        <w:tab/>
      </w:r>
      <w:r>
        <w:rPr>
          <w:rFonts w:ascii="Arial" w:cs="Arial" w:eastAsia="Arial" w:hAnsi="Arial"/>
          <w:sz w:val="7"/>
          <w:szCs w:val="7"/>
          <w:color w:val="FFFFFF"/>
        </w:rPr>
        <w:t>on Saab Sale 0.1 0.0</w:t>
      </w:r>
    </w:p>
    <w:p>
      <w:pPr>
        <w:spacing w:after="0" w:line="188" w:lineRule="auto"/>
        <w:rPr>
          <w:sz w:val="20"/>
          <w:szCs w:val="20"/>
          <w:color w:val="auto"/>
        </w:rPr>
      </w:pPr>
      <w:r>
        <w:rPr>
          <w:rFonts w:ascii="Arial" w:cs="Arial" w:eastAsia="Arial" w:hAnsi="Arial"/>
          <w:sz w:val="9"/>
          <w:szCs w:val="9"/>
          <w:color w:val="FFFFFF"/>
        </w:rPr>
        <w:t>TotalIndiaImpactJVImpairmentofSpecial&amp;Items:related charges 0.0 (0.1)</w:t>
      </w:r>
    </w:p>
    <w:p>
      <w:pPr>
        <w:spacing w:after="0" w:line="211" w:lineRule="auto"/>
        <w:rPr>
          <w:sz w:val="20"/>
          <w:szCs w:val="20"/>
          <w:color w:val="auto"/>
        </w:rPr>
      </w:pPr>
      <w:r>
        <w:rPr>
          <w:rFonts w:ascii="Arial" w:cs="Arial" w:eastAsia="Arial" w:hAnsi="Arial"/>
          <w:sz w:val="8"/>
          <w:szCs w:val="8"/>
          <w:color w:val="FFFFFF"/>
        </w:rPr>
        <w:t>EPSNetIncome–Dilutedto Common($/Share) 0.08Stockholders0.82 ($B) 0.1 1.5</w:t>
      </w:r>
    </w:p>
    <w:p>
      <w:pPr>
        <w:spacing w:after="0"/>
        <w:rPr>
          <w:sz w:val="20"/>
          <w:szCs w:val="20"/>
          <w:color w:val="auto"/>
        </w:rPr>
      </w:pPr>
      <w:r>
        <w:rPr>
          <w:rFonts w:ascii="Arial" w:cs="Arial" w:eastAsia="Arial" w:hAnsi="Arial"/>
          <w:sz w:val="14"/>
          <w:szCs w:val="14"/>
          <w:color w:val="FFFFFF"/>
        </w:rPr>
        <w:t>4Note: Results may not foot due to rounding</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FFFFFF"/>
        </w:rPr>
        <w:t>(Q1$B)OperatingQ12010 IncomeQ1</w:t>
      </w:r>
      <w:r>
        <w:rPr>
          <w:rFonts w:ascii="Arial" w:cs="Arial" w:eastAsia="Arial" w:hAnsi="Arial"/>
          <w:sz w:val="27"/>
          <w:szCs w:val="27"/>
          <w:color w:val="FFFFFF"/>
          <w:vertAlign w:val="subscript"/>
        </w:rPr>
        <w:t>201</w:t>
      </w:r>
      <w:r>
        <w:rPr>
          <w:rFonts w:ascii="Arial" w:cs="Arial" w:eastAsia="Arial" w:hAnsi="Arial"/>
          <w:sz w:val="14"/>
          <w:szCs w:val="14"/>
          <w:color w:val="FFFFFF"/>
        </w:rPr>
        <w:t>1Walk to EBIT- Adj.</w:t>
      </w:r>
    </w:p>
    <w:p>
      <w:pPr>
        <w:spacing w:after="0" w:line="196" w:lineRule="auto"/>
        <w:rPr>
          <w:sz w:val="20"/>
          <w:szCs w:val="20"/>
          <w:color w:val="auto"/>
        </w:rPr>
      </w:pPr>
      <w:r>
        <w:rPr>
          <w:rFonts w:ascii="Arial" w:cs="Arial" w:eastAsia="Arial" w:hAnsi="Arial"/>
          <w:sz w:val="9"/>
          <w:szCs w:val="9"/>
          <w:color w:val="FFFFFF"/>
        </w:rPr>
        <w:t>Operating Income  .  0.9</w:t>
      </w:r>
    </w:p>
    <w:p>
      <w:pPr>
        <w:spacing w:after="0"/>
        <w:rPr>
          <w:sz w:val="20"/>
          <w:szCs w:val="20"/>
          <w:color w:val="auto"/>
        </w:rPr>
      </w:pPr>
      <w:r>
        <w:rPr>
          <w:rFonts w:ascii="Arial" w:cs="Arial" w:eastAsia="Arial" w:hAnsi="Arial"/>
          <w:sz w:val="3"/>
          <w:szCs w:val="3"/>
          <w:color w:val="FFFFFF"/>
        </w:rPr>
        <w:t>Equity Income 0.4  .</w:t>
      </w:r>
    </w:p>
    <w:p>
      <w:pPr>
        <w:spacing w:after="0" w:line="194" w:lineRule="auto"/>
        <w:rPr>
          <w:sz w:val="20"/>
          <w:szCs w:val="20"/>
          <w:color w:val="auto"/>
        </w:rPr>
      </w:pPr>
      <w:r>
        <w:rPr>
          <w:rFonts w:ascii="Arial" w:cs="Arial" w:eastAsia="Arial" w:hAnsi="Arial"/>
          <w:sz w:val="5"/>
          <w:szCs w:val="5"/>
          <w:color w:val="FFFFFF"/>
          <w:vertAlign w:val="superscript"/>
        </w:rPr>
        <w:t>Non-</w:t>
      </w:r>
      <w:r>
        <w:rPr>
          <w:rFonts w:ascii="Arial" w:cs="Arial" w:eastAsia="Arial" w:hAnsi="Arial"/>
          <w:sz w:val="3"/>
          <w:szCs w:val="3"/>
          <w:color w:val="FFFFFF"/>
        </w:rPr>
        <w:t>Controlling Interests (0.1) 0.0</w:t>
      </w:r>
    </w:p>
    <w:p>
      <w:pPr>
        <w:ind w:left="280"/>
        <w:spacing w:after="0" w:line="188" w:lineRule="auto"/>
        <w:rPr>
          <w:sz w:val="20"/>
          <w:szCs w:val="20"/>
          <w:color w:val="auto"/>
        </w:rPr>
      </w:pPr>
      <w:r>
        <w:rPr>
          <w:rFonts w:ascii="Arial" w:cs="Arial" w:eastAsia="Arial" w:hAnsi="Arial"/>
          <w:sz w:val="9"/>
          <w:szCs w:val="9"/>
          <w:color w:val="FFFFFF"/>
        </w:rPr>
        <w:t>Operating Income 0.3 0.5</w:t>
      </w:r>
    </w:p>
    <w:p>
      <w:pPr>
        <w:spacing w:after="0"/>
        <w:rPr>
          <w:sz w:val="20"/>
          <w:szCs w:val="20"/>
          <w:color w:val="auto"/>
        </w:rPr>
      </w:pPr>
      <w:r>
        <w:rPr>
          <w:rFonts w:ascii="Arial" w:cs="Arial" w:eastAsia="Arial" w:hAnsi="Arial"/>
          <w:sz w:val="3"/>
          <w:szCs w:val="3"/>
          <w:color w:val="FFFFFF"/>
        </w:rPr>
        <w:t>LessEarningsSpecialBeforeItemsInterest0.11.5&amp; Taxes (EBIT) 1.8 3.5</w:t>
      </w:r>
    </w:p>
    <w:p>
      <w:pPr>
        <w:spacing w:after="0" w:line="181" w:lineRule="auto"/>
        <w:rPr>
          <w:sz w:val="20"/>
          <w:szCs w:val="20"/>
          <w:color w:val="auto"/>
        </w:rPr>
      </w:pPr>
      <w:r>
        <w:rPr>
          <w:rFonts w:ascii="Arial" w:cs="Arial" w:eastAsia="Arial" w:hAnsi="Arial"/>
          <w:sz w:val="10"/>
          <w:szCs w:val="10"/>
          <w:color w:val="FFFFFF"/>
        </w:rPr>
        <w:t>EBIT- Adj. 1.7 2.0</w:t>
      </w:r>
    </w:p>
    <w:p>
      <w:pPr>
        <w:spacing w:after="0"/>
        <w:rPr>
          <w:sz w:val="20"/>
          <w:szCs w:val="20"/>
          <w:color w:val="auto"/>
        </w:rPr>
      </w:pPr>
      <w:r>
        <w:rPr>
          <w:rFonts w:ascii="Arial" w:cs="Arial" w:eastAsia="Arial" w:hAnsi="Arial"/>
          <w:sz w:val="12"/>
          <w:szCs w:val="12"/>
          <w:color w:val="FFFFFF"/>
        </w:rPr>
        <w:t>5Note: EBIT-Adj. includes GM Financial on an Earnings Before Tax (EBT) basis</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FFFFFF"/>
        </w:rPr>
        <w:t>(Q1$B)EBIT &amp; EBIT- Adj.</w:t>
      </w:r>
    </w:p>
    <w:p>
      <w:pPr>
        <w:spacing w:after="0" w:line="211" w:lineRule="auto"/>
        <w:rPr>
          <w:sz w:val="20"/>
          <w:szCs w:val="20"/>
          <w:color w:val="auto"/>
        </w:rPr>
      </w:pPr>
      <w:r>
        <w:rPr>
          <w:rFonts w:ascii="Arial" w:cs="Arial" w:eastAsia="Arial" w:hAnsi="Arial"/>
          <w:sz w:val="2"/>
          <w:szCs w:val="2"/>
          <w:color w:val="FFFFFF"/>
        </w:rPr>
        <w:t>Q1GMNA</w:t>
      </w:r>
      <w:r>
        <w:rPr>
          <w:rFonts w:ascii="Arial" w:cs="Arial" w:eastAsia="Arial" w:hAnsi="Arial"/>
          <w:sz w:val="4"/>
          <w:szCs w:val="4"/>
          <w:color w:val="FFFFFF"/>
          <w:vertAlign w:val="subscript"/>
        </w:rPr>
        <w:t>2010</w:t>
      </w:r>
      <w:r>
        <w:rPr>
          <w:rFonts w:ascii="Arial" w:cs="Arial" w:eastAsia="Arial" w:hAnsi="Arial"/>
          <w:sz w:val="2"/>
          <w:szCs w:val="2"/>
          <w:color w:val="FFFFFF"/>
        </w:rPr>
        <w:t>GME</w:t>
      </w:r>
      <w:r>
        <w:rPr>
          <w:rFonts w:ascii="Arial" w:cs="Arial" w:eastAsia="Arial" w:hAnsi="Arial"/>
          <w:sz w:val="4"/>
          <w:szCs w:val="4"/>
          <w:color w:val="FFFFFF"/>
          <w:vertAlign w:val="superscript"/>
        </w:rPr>
        <w:t>Q1</w:t>
      </w:r>
      <w:r>
        <w:rPr>
          <w:rFonts w:ascii="Arial" w:cs="Arial" w:eastAsia="Arial" w:hAnsi="Arial"/>
          <w:sz w:val="2"/>
          <w:szCs w:val="2"/>
          <w:color w:val="FFFFFF"/>
        </w:rPr>
        <w:t>201GMIO</w:t>
      </w:r>
      <w:r>
        <w:rPr>
          <w:rFonts w:ascii="Arial" w:cs="Arial" w:eastAsia="Arial" w:hAnsi="Arial"/>
          <w:sz w:val="4"/>
          <w:szCs w:val="4"/>
          <w:color w:val="FFFFFF"/>
          <w:vertAlign w:val="superscript"/>
        </w:rPr>
        <w:t>1</w:t>
      </w:r>
      <w:r>
        <w:rPr>
          <w:rFonts w:ascii="Arial" w:cs="Arial" w:eastAsia="Arial" w:hAnsi="Arial"/>
          <w:sz w:val="2"/>
          <w:szCs w:val="2"/>
          <w:color w:val="FFFFFF"/>
        </w:rPr>
        <w:t xml:space="preserve"> GMSA GMF* Corp./Elims EBIT-Adj. Plus Special Items EBIT</w:t>
      </w:r>
    </w:p>
    <w:p>
      <w:pPr>
        <w:ind w:left="80"/>
        <w:spacing w:after="0" w:line="211" w:lineRule="auto"/>
        <w:rPr>
          <w:sz w:val="20"/>
          <w:szCs w:val="20"/>
          <w:color w:val="auto"/>
        </w:rPr>
      </w:pPr>
      <w:r>
        <w:rPr>
          <w:rFonts w:ascii="Arial" w:cs="Arial" w:eastAsia="Arial" w:hAnsi="Arial"/>
          <w:sz w:val="4"/>
          <w:szCs w:val="4"/>
          <w:color w:val="FFFFFF"/>
          <w:vertAlign w:val="superscript"/>
        </w:rPr>
        <w:t>.</w:t>
      </w:r>
      <w:r>
        <w:rPr>
          <w:rFonts w:ascii="Arial" w:cs="Arial" w:eastAsia="Arial" w:hAnsi="Arial"/>
          <w:sz w:val="2"/>
          <w:szCs w:val="2"/>
          <w:color w:val="FFFFFF"/>
        </w:rPr>
        <w:t xml:space="preserve">2  </w:t>
      </w:r>
      <w:r>
        <w:rPr>
          <w:rFonts w:ascii="Arial" w:cs="Arial" w:eastAsia="Arial" w:hAnsi="Arial"/>
          <w:sz w:val="4"/>
          <w:szCs w:val="4"/>
          <w:color w:val="FFFFFF"/>
          <w:vertAlign w:val="superscript"/>
        </w:rPr>
        <w:t>.</w:t>
      </w:r>
      <w:r>
        <w:rPr>
          <w:rFonts w:ascii="Arial" w:cs="Arial" w:eastAsia="Arial" w:hAnsi="Arial"/>
          <w:sz w:val="2"/>
          <w:szCs w:val="2"/>
          <w:color w:val="FFFFFF"/>
        </w:rPr>
        <w:t>3  .0 0.9  .6 0.3 0.1 n/a 0.1 0.0 1.7 2.0 0.1 1.5 1.8 3.5</w:t>
      </w:r>
    </w:p>
    <w:p>
      <w:pPr>
        <w:spacing w:after="0"/>
        <w:rPr>
          <w:sz w:val="20"/>
          <w:szCs w:val="20"/>
          <w:color w:val="auto"/>
        </w:rPr>
      </w:pPr>
      <w:r>
        <w:rPr>
          <w:rFonts w:ascii="Arial" w:cs="Arial" w:eastAsia="Arial" w:hAnsi="Arial"/>
          <w:sz w:val="3"/>
          <w:szCs w:val="3"/>
          <w:color w:val="FFFFFF"/>
        </w:rPr>
        <w:t>0 6</w:t>
      </w:r>
    </w:p>
    <w:p>
      <w:pPr>
        <w:spacing w:after="0" w:line="181" w:lineRule="auto"/>
        <w:rPr>
          <w:sz w:val="20"/>
          <w:szCs w:val="20"/>
          <w:color w:val="auto"/>
        </w:rPr>
      </w:pPr>
      <w:r>
        <w:rPr>
          <w:rFonts w:ascii="Arial" w:cs="Arial" w:eastAsia="Arial" w:hAnsi="Arial"/>
          <w:sz w:val="10"/>
          <w:szCs w:val="10"/>
          <w:color w:val="FFFFFF"/>
        </w:rPr>
        <w:t>GMNA GME GMIO GMSA GMF* Corp. / Elims EBIT - Adj. Plus Special Items EBIT</w:t>
      </w:r>
    </w:p>
    <w:p>
      <w:pPr>
        <w:spacing w:after="0"/>
        <w:rPr>
          <w:sz w:val="20"/>
          <w:szCs w:val="20"/>
          <w:color w:val="auto"/>
        </w:rPr>
      </w:pPr>
      <w:r>
        <w:rPr>
          <w:rFonts w:ascii="Arial" w:cs="Arial" w:eastAsia="Arial" w:hAnsi="Arial"/>
          <w:sz w:val="12"/>
          <w:szCs w:val="12"/>
          <w:color w:val="FFFFFF"/>
        </w:rPr>
        <w:t>6* GMF at an Earnings Before Tax basis (EBT) Note: Results may not foot due to rounding</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Arial" w:cs="Arial" w:eastAsia="Arial" w:hAnsi="Arial"/>
                <w:sz w:val="14"/>
                <w:szCs w:val="14"/>
                <w:color w:val="FFFFFF"/>
                <w:w w:val="90"/>
              </w:rPr>
              <w:t>Global Deliveries</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980" w:type="dxa"/>
            <w:vAlign w:val="bottom"/>
            <w:gridSpan w:val="3"/>
          </w:tcPr>
          <w:p>
            <w:pPr>
              <w:spacing w:after="0"/>
              <w:rPr>
                <w:sz w:val="20"/>
                <w:szCs w:val="20"/>
                <w:color w:val="auto"/>
              </w:rPr>
            </w:pPr>
            <w:r>
              <w:rPr>
                <w:rFonts w:ascii="Arial" w:cs="Arial" w:eastAsia="Arial" w:hAnsi="Arial"/>
                <w:sz w:val="3"/>
                <w:szCs w:val="3"/>
                <w:color w:val="FFFFFF"/>
              </w:rPr>
              <w:t>(000’s)</w:t>
            </w: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2 4</w:t>
            </w:r>
          </w:p>
        </w:tc>
        <w:tc>
          <w:tcPr>
            <w:tcW w:w="120" w:type="dxa"/>
            <w:vAlign w:val="bottom"/>
          </w:tcPr>
          <w:p>
            <w:pPr>
              <w:spacing w:after="0"/>
              <w:rPr>
                <w:sz w:val="3"/>
                <w:szCs w:val="3"/>
                <w:color w:val="auto"/>
              </w:rPr>
            </w:pPr>
          </w:p>
        </w:tc>
        <w:tc>
          <w:tcPr>
            <w:tcW w:w="1680" w:type="dxa"/>
            <w:vAlign w:val="bottom"/>
            <w:gridSpan w:val="2"/>
          </w:tcPr>
          <w:p>
            <w:pPr>
              <w:jc w:val="right"/>
              <w:spacing w:after="0"/>
              <w:rPr>
                <w:sz w:val="20"/>
                <w:szCs w:val="20"/>
                <w:color w:val="auto"/>
              </w:rPr>
            </w:pPr>
            <w:r>
              <w:rPr>
                <w:rFonts w:ascii="Arial" w:cs="Arial" w:eastAsia="Arial" w:hAnsi="Arial"/>
                <w:sz w:val="3"/>
                <w:szCs w:val="3"/>
                <w:color w:val="FFFFFF"/>
              </w:rPr>
              <w:t>1,999 2,155 2,062 2,175 2,221</w:t>
            </w: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ind w:left="100"/>
              <w:spacing w:after="0"/>
              <w:rPr>
                <w:sz w:val="20"/>
                <w:szCs w:val="20"/>
                <w:color w:val="auto"/>
              </w:rPr>
            </w:pPr>
            <w:r>
              <w:rPr>
                <w:rFonts w:ascii="Arial" w:cs="Arial" w:eastAsia="Arial" w:hAnsi="Arial"/>
                <w:sz w:val="3"/>
                <w:szCs w:val="3"/>
                <w:color w:val="FFFFFF"/>
              </w:rPr>
              <w:t>7</w:t>
            </w: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gridSpan w:val="2"/>
          </w:tcPr>
          <w:p>
            <w:pPr>
              <w:spacing w:after="0"/>
              <w:rPr>
                <w:sz w:val="20"/>
                <w:szCs w:val="20"/>
                <w:color w:val="auto"/>
              </w:rPr>
            </w:pPr>
            <w:r>
              <w:rPr>
                <w:rFonts w:ascii="Arial" w:cs="Arial" w:eastAsia="Arial" w:hAnsi="Arial"/>
                <w:sz w:val="3"/>
                <w:szCs w:val="3"/>
                <w:color w:val="FFFFFF"/>
              </w:rPr>
              <w:t>1,000</w:t>
            </w:r>
          </w:p>
        </w:tc>
        <w:tc>
          <w:tcPr>
            <w:tcW w:w="660" w:type="dxa"/>
            <w:vAlign w:val="bottom"/>
          </w:tcPr>
          <w:p>
            <w:pPr>
              <w:spacing w:after="0"/>
              <w:rPr>
                <w:sz w:val="3"/>
                <w:szCs w:val="3"/>
                <w:color w:val="auto"/>
              </w:rPr>
            </w:pPr>
          </w:p>
        </w:tc>
        <w:tc>
          <w:tcPr>
            <w:tcW w:w="1020" w:type="dxa"/>
            <w:vAlign w:val="bottom"/>
            <w:vMerge w:val="restart"/>
          </w:tcPr>
          <w:p>
            <w:pPr>
              <w:jc w:val="right"/>
              <w:ind w:right="303"/>
              <w:spacing w:after="0"/>
              <w:rPr>
                <w:sz w:val="20"/>
                <w:szCs w:val="20"/>
                <w:color w:val="auto"/>
              </w:rPr>
            </w:pPr>
            <w:r>
              <w:rPr>
                <w:rFonts w:ascii="Arial" w:cs="Arial" w:eastAsia="Arial" w:hAnsi="Arial"/>
                <w:sz w:val="3"/>
                <w:szCs w:val="3"/>
                <w:color w:val="FFFFFF"/>
              </w:rPr>
              <w:t>Q3 2010 Q4</w:t>
            </w:r>
          </w:p>
        </w:tc>
        <w:tc>
          <w:tcPr>
            <w:tcW w:w="300" w:type="dxa"/>
            <w:vAlign w:val="bottom"/>
            <w:vMerge w:val="restart"/>
          </w:tcPr>
          <w:p>
            <w:pPr>
              <w:ind w:left="20"/>
              <w:spacing w:after="0"/>
              <w:rPr>
                <w:sz w:val="20"/>
                <w:szCs w:val="20"/>
                <w:color w:val="auto"/>
              </w:rPr>
            </w:pPr>
            <w:r>
              <w:rPr>
                <w:rFonts w:ascii="Arial" w:cs="Arial" w:eastAsia="Arial" w:hAnsi="Arial"/>
                <w:sz w:val="3"/>
                <w:szCs w:val="3"/>
                <w:color w:val="FFFFFF"/>
              </w:rPr>
              <w:t>Q1</w:t>
            </w:r>
          </w:p>
        </w:tc>
        <w:tc>
          <w:tcPr>
            <w:tcW w:w="180" w:type="dxa"/>
            <w:vAlign w:val="bottom"/>
            <w:vMerge w:val="restart"/>
          </w:tcPr>
          <w:p>
            <w:pPr>
              <w:jc w:val="right"/>
              <w:spacing w:after="0"/>
              <w:rPr>
                <w:sz w:val="20"/>
                <w:szCs w:val="20"/>
                <w:color w:val="auto"/>
              </w:rPr>
            </w:pPr>
            <w:r>
              <w:rPr>
                <w:rFonts w:ascii="Arial" w:cs="Arial" w:eastAsia="Arial" w:hAnsi="Arial"/>
                <w:sz w:val="3"/>
                <w:szCs w:val="3"/>
                <w:color w:val="FFFFFF"/>
              </w:rPr>
              <w:t>1</w:t>
            </w:r>
          </w:p>
        </w:tc>
        <w:tc>
          <w:tcPr>
            <w:tcW w:w="0" w:type="dxa"/>
            <w:vAlign w:val="bottom"/>
          </w:tcPr>
          <w:p>
            <w:pPr>
              <w:spacing w:after="0"/>
              <w:rPr>
                <w:sz w:val="1"/>
                <w:szCs w:val="1"/>
                <w:color w:val="auto"/>
              </w:rPr>
            </w:pPr>
          </w:p>
        </w:tc>
      </w:tr>
      <w:tr>
        <w:trPr>
          <w:trHeight w:val="0"/>
        </w:trPr>
        <w:tc>
          <w:tcPr>
            <w:tcW w:w="200" w:type="dxa"/>
            <w:vAlign w:val="bottom"/>
          </w:tcPr>
          <w:p>
            <w:pPr>
              <w:spacing w:after="0" w:line="80" w:lineRule="exact"/>
              <w:rPr>
                <w:sz w:val="20"/>
                <w:szCs w:val="20"/>
                <w:color w:val="auto"/>
              </w:rPr>
            </w:pPr>
            <w:r>
              <w:rPr>
                <w:rFonts w:ascii="Arial" w:cs="Arial" w:eastAsia="Arial" w:hAnsi="Arial"/>
                <w:sz w:val="9"/>
                <w:szCs w:val="9"/>
                <w:color w:val="FFFFFF"/>
              </w:rPr>
              <w:t>Q1</w:t>
            </w:r>
          </w:p>
        </w:tc>
        <w:tc>
          <w:tcPr>
            <w:tcW w:w="780" w:type="dxa"/>
            <w:vAlign w:val="bottom"/>
            <w:gridSpan w:val="2"/>
          </w:tcPr>
          <w:p>
            <w:pPr>
              <w:spacing w:after="0" w:line="80" w:lineRule="exact"/>
              <w:rPr>
                <w:sz w:val="20"/>
                <w:szCs w:val="20"/>
                <w:color w:val="auto"/>
              </w:rPr>
            </w:pPr>
            <w:r>
              <w:rPr>
                <w:rFonts w:ascii="Arial" w:cs="Arial" w:eastAsia="Arial" w:hAnsi="Arial"/>
                <w:sz w:val="9"/>
                <w:szCs w:val="9"/>
                <w:color w:val="FFFFFF"/>
              </w:rPr>
              <w:t>2010 Q2</w:t>
            </w:r>
          </w:p>
        </w:tc>
        <w:tc>
          <w:tcPr>
            <w:tcW w:w="102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00"/>
        <w:spacing w:after="0" w:line="25" w:lineRule="auto"/>
        <w:tabs>
          <w:tab w:leader="none" w:pos="1700" w:val="left"/>
          <w:tab w:leader="none" w:pos="2200" w:val="left"/>
        </w:tabs>
        <w:rPr>
          <w:sz w:val="20"/>
          <w:szCs w:val="20"/>
          <w:color w:val="auto"/>
        </w:rPr>
      </w:pPr>
      <w:r>
        <w:rPr>
          <w:rFonts w:ascii="Arial" w:cs="Arial" w:eastAsia="Arial" w:hAnsi="Arial"/>
          <w:sz w:val="1"/>
          <w:szCs w:val="1"/>
          <w:color w:val="FFFFFF"/>
        </w:rPr>
        <w:t>2010</w:t>
      </w:r>
      <w:r>
        <w:rPr>
          <w:sz w:val="20"/>
          <w:szCs w:val="20"/>
          <w:color w:val="auto"/>
        </w:rPr>
        <w:tab/>
      </w:r>
      <w:r>
        <w:rPr>
          <w:rFonts w:ascii="Arial" w:cs="Arial" w:eastAsia="Arial" w:hAnsi="Arial"/>
          <w:sz w:val="1"/>
          <w:szCs w:val="1"/>
          <w:color w:val="FFFFFF"/>
        </w:rPr>
        <w:t>2010</w:t>
      </w:r>
      <w:r>
        <w:rPr>
          <w:sz w:val="20"/>
          <w:szCs w:val="20"/>
          <w:color w:val="auto"/>
        </w:rPr>
        <w:tab/>
      </w:r>
      <w:r>
        <w:rPr>
          <w:rFonts w:ascii="Arial" w:cs="Arial" w:eastAsia="Arial" w:hAnsi="Arial"/>
          <w:sz w:val="1"/>
          <w:szCs w:val="1"/>
          <w:color w:val="FFFFFF"/>
        </w:rPr>
        <w:t>201</w:t>
      </w:r>
    </w:p>
    <w:p>
      <w:pPr>
        <w:ind w:right="2459"/>
        <w:spacing w:after="0" w:line="190" w:lineRule="auto"/>
        <w:rPr>
          <w:sz w:val="20"/>
          <w:szCs w:val="20"/>
          <w:color w:val="auto"/>
        </w:rPr>
      </w:pPr>
      <w:r>
        <w:rPr>
          <w:rFonts w:ascii="Arial" w:cs="Arial" w:eastAsia="Arial" w:hAnsi="Arial"/>
          <w:sz w:val="11"/>
          <w:szCs w:val="11"/>
          <w:color w:val="FFFFFF"/>
        </w:rPr>
        <w:t>GMlobaldeliveriesShare &amp;.1%market11.6%share11.5%include1.5%vehicles.5%sold around the world under GM and JV brands, and through GM-branded distribution network 7</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FFFFFF"/>
        </w:rPr>
        <w:t>(Earnings$B) Before Interest &amp; Taxes</w:t>
      </w:r>
    </w:p>
    <w:p>
      <w:pPr>
        <w:spacing w:after="0"/>
        <w:rPr>
          <w:sz w:val="20"/>
          <w:szCs w:val="20"/>
          <w:color w:val="auto"/>
        </w:rPr>
      </w:pPr>
      <w:r>
        <w:rPr>
          <w:rFonts w:ascii="Arial" w:cs="Arial" w:eastAsia="Arial" w:hAnsi="Arial"/>
          <w:sz w:val="3"/>
          <w:szCs w:val="3"/>
          <w:color w:val="FFFFFF"/>
        </w:rPr>
        <w:t>4 0</w:t>
      </w:r>
    </w:p>
    <w:p>
      <w:pPr>
        <w:spacing w:after="0" w:line="194" w:lineRule="auto"/>
        <w:rPr>
          <w:sz w:val="20"/>
          <w:szCs w:val="20"/>
          <w:color w:val="auto"/>
        </w:rPr>
      </w:pPr>
      <w:r>
        <w:rPr>
          <w:rFonts w:ascii="Arial" w:cs="Arial" w:eastAsia="Arial" w:hAnsi="Arial"/>
          <w:sz w:val="3"/>
          <w:szCs w:val="3"/>
          <w:color w:val="FFFFFF"/>
        </w:rPr>
        <w:t xml:space="preserve">3 </w:t>
      </w:r>
      <w:r>
        <w:rPr>
          <w:rFonts w:ascii="Arial" w:cs="Arial" w:eastAsia="Arial" w:hAnsi="Arial"/>
          <w:sz w:val="5"/>
          <w:szCs w:val="5"/>
          <w:color w:val="FFFFFF"/>
          <w:vertAlign w:val="superscript"/>
        </w:rPr>
        <w:t>5</w:t>
      </w:r>
    </w:p>
    <w:p>
      <w:pPr>
        <w:ind w:left="100"/>
        <w:spacing w:after="0"/>
        <w:rPr>
          <w:sz w:val="20"/>
          <w:szCs w:val="20"/>
          <w:color w:val="auto"/>
        </w:rPr>
      </w:pPr>
      <w:r>
        <w:rPr>
          <w:rFonts w:ascii="Arial" w:cs="Arial" w:eastAsia="Arial" w:hAnsi="Arial"/>
          <w:sz w:val="3"/>
          <w:szCs w:val="3"/>
          <w:color w:val="FFFFFF"/>
        </w:rPr>
        <w:t>0</w:t>
      </w:r>
    </w:p>
    <w:p>
      <w:pPr>
        <w:ind w:left="100"/>
        <w:spacing w:after="0" w:line="181" w:lineRule="auto"/>
        <w:rPr>
          <w:sz w:val="20"/>
          <w:szCs w:val="20"/>
          <w:color w:val="auto"/>
        </w:rPr>
      </w:pPr>
      <w:r>
        <w:rPr>
          <w:rFonts w:ascii="Arial" w:cs="Arial" w:eastAsia="Arial" w:hAnsi="Arial"/>
          <w:sz w:val="10"/>
          <w:szCs w:val="10"/>
          <w:color w:val="FFFFFF"/>
        </w:rPr>
        <w:t>3</w:t>
      </w:r>
    </w:p>
    <w:p>
      <w:pPr>
        <w:spacing w:after="0" w:line="181" w:lineRule="auto"/>
        <w:rPr>
          <w:sz w:val="20"/>
          <w:szCs w:val="20"/>
          <w:color w:val="auto"/>
        </w:rPr>
      </w:pPr>
      <w:r>
        <w:rPr>
          <w:rFonts w:ascii="Arial" w:cs="Arial" w:eastAsia="Arial" w:hAnsi="Arial"/>
          <w:sz w:val="14"/>
          <w:szCs w:val="14"/>
          <w:color w:val="FFFFFF"/>
          <w:vertAlign w:val="subscript"/>
        </w:rPr>
        <w:t>2</w:t>
      </w:r>
      <w:r>
        <w:rPr>
          <w:rFonts w:ascii="Arial" w:cs="Arial" w:eastAsia="Arial" w:hAnsi="Arial"/>
          <w:sz w:val="9"/>
          <w:szCs w:val="9"/>
          <w:color w:val="FFFFFF"/>
        </w:rPr>
        <w:t>.</w:t>
      </w:r>
      <w:r>
        <w:rPr>
          <w:rFonts w:ascii="Arial" w:cs="Arial" w:eastAsia="Arial" w:hAnsi="Arial"/>
          <w:sz w:val="14"/>
          <w:szCs w:val="14"/>
          <w:color w:val="FFFFFF"/>
          <w:vertAlign w:val="subscript"/>
        </w:rPr>
        <w:t>0</w:t>
      </w:r>
      <w:r>
        <w:rPr>
          <w:rFonts w:ascii="Arial" w:cs="Arial" w:eastAsia="Arial" w:hAnsi="Arial"/>
          <w:sz w:val="9"/>
          <w:szCs w:val="9"/>
          <w:color w:val="FFFFFF"/>
        </w:rPr>
        <w:t xml:space="preserve"> 1.8</w:t>
      </w:r>
    </w:p>
    <w:p>
      <w:pPr>
        <w:spacing w:after="0"/>
        <w:rPr>
          <w:sz w:val="20"/>
          <w:szCs w:val="20"/>
          <w:color w:val="auto"/>
        </w:rPr>
      </w:pPr>
      <w:r>
        <w:rPr>
          <w:rFonts w:ascii="Arial" w:cs="Arial" w:eastAsia="Arial" w:hAnsi="Arial"/>
          <w:sz w:val="3"/>
          <w:szCs w:val="3"/>
          <w:color w:val="FFFFFF"/>
        </w:rPr>
        <w:t>EBIT171.3-Adj.EBIT-Adj.</w:t>
      </w:r>
    </w:p>
    <w:p>
      <w:pPr>
        <w:spacing w:after="0" w:line="181" w:lineRule="auto"/>
        <w:rPr>
          <w:sz w:val="20"/>
          <w:szCs w:val="20"/>
          <w:color w:val="auto"/>
        </w:rPr>
      </w:pPr>
      <w:r>
        <w:rPr>
          <w:rFonts w:ascii="Arial" w:cs="Arial" w:eastAsia="Arial" w:hAnsi="Arial"/>
          <w:sz w:val="10"/>
          <w:szCs w:val="10"/>
          <w:color w:val="FFFFFF"/>
        </w:rPr>
        <w:t>1.0</w:t>
      </w:r>
    </w:p>
    <w:p>
      <w:pPr>
        <w:spacing w:after="0"/>
        <w:rPr>
          <w:sz w:val="20"/>
          <w:szCs w:val="20"/>
          <w:color w:val="auto"/>
        </w:rPr>
      </w:pPr>
      <w:r>
        <w:rPr>
          <w:rFonts w:ascii="Arial" w:cs="Arial" w:eastAsia="Arial" w:hAnsi="Arial"/>
          <w:sz w:val="3"/>
          <w:szCs w:val="3"/>
          <w:color w:val="FFFFFF"/>
        </w:rPr>
        <w:t>EBIT-Adj.</w:t>
      </w:r>
    </w:p>
    <w:p>
      <w:pPr>
        <w:spacing w:after="0" w:line="194" w:lineRule="auto"/>
        <w:rPr>
          <w:sz w:val="20"/>
          <w:szCs w:val="20"/>
          <w:color w:val="auto"/>
        </w:rPr>
      </w:pPr>
      <w:r>
        <w:rPr>
          <w:rFonts w:ascii="Arial" w:cs="Arial" w:eastAsia="Arial" w:hAnsi="Arial"/>
          <w:sz w:val="5"/>
          <w:szCs w:val="5"/>
          <w:color w:val="FFFFFF"/>
        </w:rPr>
        <w:t>0.0</w:t>
      </w:r>
    </w:p>
    <w:p>
      <w:pPr>
        <w:spacing w:after="0"/>
        <w:rPr>
          <w:sz w:val="20"/>
          <w:szCs w:val="20"/>
          <w:color w:val="auto"/>
        </w:rPr>
      </w:pPr>
      <w:r>
        <w:rPr>
          <w:rFonts w:ascii="Arial" w:cs="Arial" w:eastAsia="Arial" w:hAnsi="Arial"/>
          <w:sz w:val="3"/>
          <w:szCs w:val="3"/>
          <w:color w:val="FFFFFF"/>
        </w:rPr>
        <w:t>Q1 Q2 Q3 Q4 Q1</w:t>
      </w:r>
    </w:p>
    <w:p>
      <w:pPr>
        <w:spacing w:after="0" w:line="194" w:lineRule="auto"/>
        <w:rPr>
          <w:sz w:val="20"/>
          <w:szCs w:val="20"/>
          <w:color w:val="auto"/>
        </w:rPr>
      </w:pPr>
      <w:r>
        <w:rPr>
          <w:rFonts w:ascii="Arial" w:cs="Arial" w:eastAsia="Arial" w:hAnsi="Arial"/>
          <w:sz w:val="3"/>
          <w:szCs w:val="3"/>
          <w:color w:val="FFFFFF"/>
        </w:rPr>
        <w:t xml:space="preserve">2010 2010 2010 2010 </w:t>
      </w:r>
      <w:r>
        <w:rPr>
          <w:rFonts w:ascii="Arial" w:cs="Arial" w:eastAsia="Arial" w:hAnsi="Arial"/>
          <w:sz w:val="5"/>
          <w:szCs w:val="5"/>
          <w:color w:val="FFFFFF"/>
          <w:vertAlign w:val="superscript"/>
        </w:rPr>
        <w:t>201</w:t>
      </w:r>
      <w:r>
        <w:rPr>
          <w:rFonts w:ascii="Arial" w:cs="Arial" w:eastAsia="Arial" w:hAnsi="Arial"/>
          <w:sz w:val="3"/>
          <w:szCs w:val="3"/>
          <w:color w:val="FFFFFF"/>
        </w:rPr>
        <w:t>1</w:t>
      </w:r>
    </w:p>
    <w:p>
      <w:pPr>
        <w:spacing w:after="0"/>
        <w:rPr>
          <w:sz w:val="20"/>
          <w:szCs w:val="20"/>
          <w:color w:val="auto"/>
        </w:rPr>
      </w:pPr>
      <w:r>
        <w:rPr>
          <w:rFonts w:ascii="Arial" w:cs="Arial" w:eastAsia="Arial" w:hAnsi="Arial"/>
          <w:sz w:val="3"/>
          <w:szCs w:val="3"/>
          <w:color w:val="FFFFFF"/>
        </w:rPr>
        <w:t>Revenue ($B) 31.5 33.  34.1 36.9 36.2</w:t>
      </w:r>
    </w:p>
    <w:p>
      <w:pPr>
        <w:spacing w:after="0" w:line="6" w:lineRule="exact"/>
        <w:rPr>
          <w:sz w:val="20"/>
          <w:szCs w:val="20"/>
          <w:color w:val="auto"/>
        </w:rPr>
      </w:pPr>
    </w:p>
    <w:p>
      <w:pPr>
        <w:ind w:right="4299"/>
        <w:spacing w:after="0"/>
        <w:rPr>
          <w:sz w:val="20"/>
          <w:szCs w:val="20"/>
          <w:color w:val="auto"/>
        </w:rPr>
      </w:pPr>
      <w:r>
        <w:rPr>
          <w:rFonts w:ascii="Arial" w:cs="Arial" w:eastAsia="Arial" w:hAnsi="Arial"/>
          <w:sz w:val="12"/>
          <w:szCs w:val="12"/>
          <w:color w:val="FFFFFF"/>
        </w:rPr>
        <w:t>Note: Q4/2010 &amp; Q1/2011 EBIT &amp; EBIT-Adj. include GM Financial on an Earnings Before Tax (EBT) basis 8</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3"/>
          </w:tcPr>
          <w:p>
            <w:pPr>
              <w:spacing w:after="0"/>
              <w:rPr>
                <w:sz w:val="20"/>
                <w:szCs w:val="20"/>
                <w:color w:val="auto"/>
              </w:rPr>
            </w:pPr>
            <w:r>
              <w:rPr>
                <w:rFonts w:ascii="Arial" w:cs="Arial" w:eastAsia="Arial" w:hAnsi="Arial"/>
                <w:sz w:val="14"/>
                <w:szCs w:val="14"/>
                <w:color w:val="FFFFFF"/>
              </w:rPr>
              <w:t>GMNA Deliveries</w:t>
            </w: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(000’s)</w:t>
            </w: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900</w:t>
            </w:r>
          </w:p>
        </w:tc>
        <w:tc>
          <w:tcPr>
            <w:tcW w:w="400" w:type="dxa"/>
            <w:vAlign w:val="bottom"/>
            <w:vMerge w:val="restart"/>
          </w:tcPr>
          <w:p>
            <w:pPr>
              <w:ind w:left="20"/>
              <w:spacing w:after="0" w:line="122" w:lineRule="exact"/>
              <w:rPr>
                <w:sz w:val="20"/>
                <w:szCs w:val="20"/>
                <w:color w:val="auto"/>
              </w:rPr>
            </w:pPr>
            <w:r>
              <w:rPr>
                <w:rFonts w:ascii="Arial" w:cs="Arial" w:eastAsia="Arial" w:hAnsi="Arial"/>
                <w:sz w:val="9"/>
                <w:szCs w:val="9"/>
                <w:color w:val="FFFFFF"/>
              </w:rPr>
              <w:t>684</w:t>
            </w:r>
            <w:r>
              <w:rPr>
                <w:rFonts w:ascii="Arial" w:cs="Arial" w:eastAsia="Arial" w:hAnsi="Arial"/>
                <w:sz w:val="14"/>
                <w:szCs w:val="14"/>
                <w:color w:val="FFFFFF"/>
                <w:vertAlign w:val="superscript"/>
              </w:rPr>
              <w:t>5</w:t>
            </w: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20" w:type="dxa"/>
            <w:vAlign w:val="bottom"/>
          </w:tcPr>
          <w:p>
            <w:pPr>
              <w:spacing w:after="0" w:line="81" w:lineRule="exact"/>
              <w:rPr>
                <w:sz w:val="20"/>
                <w:szCs w:val="20"/>
                <w:color w:val="auto"/>
              </w:rPr>
            </w:pPr>
            <w:r>
              <w:rPr>
                <w:rFonts w:ascii="Arial" w:cs="Arial" w:eastAsia="Arial" w:hAnsi="Arial"/>
                <w:sz w:val="9"/>
                <w:szCs w:val="9"/>
                <w:color w:val="FFFFFF"/>
                <w:w w:val="99"/>
              </w:rPr>
              <w:t>7160</w:t>
            </w:r>
          </w:p>
        </w:tc>
        <w:tc>
          <w:tcPr>
            <w:tcW w:w="4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564</w:t>
            </w:r>
          </w:p>
        </w:tc>
        <w:tc>
          <w:tcPr>
            <w:tcW w:w="2440" w:type="dxa"/>
            <w:vAlign w:val="bottom"/>
            <w:gridSpan w:val="2"/>
            <w:vMerge w:val="restart"/>
          </w:tcPr>
          <w:p>
            <w:pPr>
              <w:ind w:left="20"/>
              <w:spacing w:after="0" w:line="81" w:lineRule="exact"/>
              <w:rPr>
                <w:sz w:val="20"/>
                <w:szCs w:val="20"/>
                <w:color w:val="auto"/>
              </w:rPr>
            </w:pPr>
            <w:r>
              <w:rPr>
                <w:rFonts w:ascii="Arial" w:cs="Arial" w:eastAsia="Arial" w:hAnsi="Arial"/>
                <w:sz w:val="9"/>
                <w:szCs w:val="9"/>
                <w:color w:val="FFFFFF"/>
              </w:rPr>
              <w:t>Chevy, Buick,</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450</w:t>
            </w:r>
          </w:p>
        </w:tc>
        <w:tc>
          <w:tcPr>
            <w:tcW w:w="24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708</w:t>
            </w:r>
          </w:p>
        </w:tc>
        <w:tc>
          <w:tcPr>
            <w:tcW w:w="2440" w:type="dxa"/>
            <w:vAlign w:val="bottom"/>
            <w:gridSpan w:val="2"/>
          </w:tcPr>
          <w:p>
            <w:pPr>
              <w:ind w:left="20"/>
              <w:spacing w:after="0"/>
              <w:rPr>
                <w:sz w:val="20"/>
                <w:szCs w:val="20"/>
                <w:color w:val="auto"/>
              </w:rPr>
            </w:pPr>
            <w:r>
              <w:rPr>
                <w:rFonts w:ascii="Arial" w:cs="Arial" w:eastAsia="Arial" w:hAnsi="Arial"/>
                <w:sz w:val="3"/>
                <w:szCs w:val="3"/>
                <w:color w:val="FFFFFF"/>
              </w:rPr>
              <w:t>658 683 684 GMC, Cadillac</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551</w:t>
            </w:r>
          </w:p>
        </w:tc>
        <w:tc>
          <w:tcPr>
            <w:tcW w:w="4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0</w:t>
            </w:r>
          </w:p>
        </w:tc>
        <w:tc>
          <w:tcPr>
            <w:tcW w:w="4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60" w:type="dxa"/>
            <w:vAlign w:val="bottom"/>
            <w:gridSpan w:val="3"/>
          </w:tcPr>
          <w:p>
            <w:pPr>
              <w:spacing w:after="0"/>
              <w:rPr>
                <w:sz w:val="20"/>
                <w:szCs w:val="20"/>
                <w:color w:val="auto"/>
              </w:rPr>
            </w:pPr>
            <w:r>
              <w:rPr>
                <w:rFonts w:ascii="Arial" w:cs="Arial" w:eastAsia="Arial" w:hAnsi="Arial"/>
                <w:sz w:val="3"/>
                <w:szCs w:val="3"/>
                <w:color w:val="FFFFFF"/>
              </w:rPr>
              <w:t>Q1 2010 Q2 2010 Q3 2010 Q4 2010 Q1 2011</w:t>
            </w: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GMNA</w:t>
            </w:r>
          </w:p>
        </w:tc>
        <w:tc>
          <w:tcPr>
            <w:tcW w:w="2040" w:type="dxa"/>
            <w:vAlign w:val="bottom"/>
          </w:tcPr>
          <w:p>
            <w:pPr>
              <w:jc w:val="right"/>
              <w:spacing w:after="0"/>
              <w:rPr>
                <w:sz w:val="20"/>
                <w:szCs w:val="20"/>
                <w:color w:val="auto"/>
              </w:rPr>
            </w:pPr>
            <w:r>
              <w:rPr>
                <w:rFonts w:ascii="Arial" w:cs="Arial" w:eastAsia="Arial" w:hAnsi="Arial"/>
                <w:sz w:val="3"/>
                <w:szCs w:val="3"/>
                <w:color w:val="FFFFFF"/>
              </w:rPr>
              <w:t>17.8% 18.7% 17.7% 18.5% 18.3%</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2440" w:type="dxa"/>
            <w:vAlign w:val="bottom"/>
            <w:gridSpan w:val="2"/>
          </w:tcPr>
          <w:p>
            <w:pPr>
              <w:ind w:left="60"/>
              <w:spacing w:after="0"/>
              <w:rPr>
                <w:sz w:val="20"/>
                <w:szCs w:val="20"/>
                <w:color w:val="auto"/>
              </w:rPr>
            </w:pPr>
            <w:r>
              <w:rPr>
                <w:rFonts w:ascii="Arial" w:cs="Arial" w:eastAsia="Arial" w:hAnsi="Arial"/>
                <w:sz w:val="3"/>
                <w:szCs w:val="3"/>
                <w:color w:val="FFFFFF"/>
              </w:rPr>
              <w:t>ShaShare18.4% 19.4% 18.3% 19.1% 19.0%</w:t>
            </w:r>
          </w:p>
        </w:tc>
        <w:tc>
          <w:tcPr>
            <w:tcW w:w="0" w:type="dxa"/>
            <w:vAlign w:val="bottom"/>
          </w:tcPr>
          <w:p>
            <w:pPr>
              <w:spacing w:after="0"/>
              <w:rPr>
                <w:sz w:val="1"/>
                <w:szCs w:val="1"/>
                <w:color w:val="auto"/>
              </w:rPr>
            </w:pPr>
          </w:p>
        </w:tc>
      </w:tr>
      <w:tr>
        <w:trPr>
          <w:trHeight w:val="0"/>
        </w:trPr>
        <w:tc>
          <w:tcPr>
            <w:tcW w:w="2660" w:type="dxa"/>
            <w:vAlign w:val="bottom"/>
            <w:gridSpan w:val="3"/>
          </w:tcPr>
          <w:p>
            <w:pPr>
              <w:spacing w:after="0"/>
              <w:rPr>
                <w:sz w:val="20"/>
                <w:szCs w:val="20"/>
                <w:color w:val="auto"/>
              </w:rPr>
            </w:pPr>
            <w:r>
              <w:rPr>
                <w:rFonts w:ascii="Arial" w:cs="Arial" w:eastAsia="Arial" w:hAnsi="Arial"/>
                <w:sz w:val="3"/>
                <w:szCs w:val="3"/>
                <w:color w:val="FFFFFF"/>
              </w:rPr>
              <w:t>U.S. 4-Brand Share</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18.1% 19.3% 18.3% 19.1% 19.0%</w:t>
      </w:r>
    </w:p>
    <w:p>
      <w:pPr>
        <w:spacing w:after="0"/>
        <w:rPr>
          <w:sz w:val="20"/>
          <w:szCs w:val="20"/>
          <w:color w:val="auto"/>
        </w:rPr>
      </w:pPr>
      <w:r>
        <w:rPr>
          <w:rFonts w:ascii="Arial" w:cs="Arial" w:eastAsia="Arial" w:hAnsi="Arial"/>
          <w:sz w:val="14"/>
          <w:szCs w:val="14"/>
          <w:color w:val="FFFFFF"/>
        </w:rPr>
        <w:t>9</w:t>
      </w:r>
    </w:p>
    <w:p>
      <w:pPr>
        <w:sectPr>
          <w:pgSz w:w="11900" w:h="16838" w:orient="portrait"/>
          <w:cols w:equalWidth="0" w:num="1">
            <w:col w:w="10219"/>
          </w:cols>
          <w:pgMar w:left="2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FFFFFF"/>
        </w:rPr>
        <w:t>Key GMNA Performance Indicators</w:t>
      </w:r>
    </w:p>
    <w:p>
      <w:pPr>
        <w:spacing w:after="0" w:line="211" w:lineRule="auto"/>
        <w:rPr>
          <w:sz w:val="20"/>
          <w:szCs w:val="20"/>
          <w:color w:val="auto"/>
        </w:rPr>
      </w:pPr>
      <w:r>
        <w:rPr>
          <w:rFonts w:ascii="Arial" w:cs="Arial" w:eastAsia="Arial" w:hAnsi="Arial"/>
          <w:sz w:val="2"/>
          <w:szCs w:val="2"/>
          <w:color w:val="FFFFFF"/>
        </w:rPr>
        <w:t>U</w:t>
      </w:r>
      <w:r>
        <w:rPr>
          <w:rFonts w:ascii="Arial" w:cs="Arial" w:eastAsia="Arial" w:hAnsi="Arial"/>
          <w:sz w:val="4"/>
          <w:szCs w:val="4"/>
          <w:color w:val="FFFFFF"/>
          <w:vertAlign w:val="subscript"/>
        </w:rPr>
        <w:t>Share</w:t>
      </w:r>
      <w:r>
        <w:rPr>
          <w:rFonts w:ascii="Arial" w:cs="Arial" w:eastAsia="Arial" w:hAnsi="Arial"/>
          <w:sz w:val="2"/>
          <w:szCs w:val="2"/>
          <w:color w:val="FFFFFF"/>
        </w:rPr>
        <w:t>..TotalU.S. ShareRetailAvg.ShareGMIncentiveU.S.Retail$/Unit</w:t>
      </w:r>
    </w:p>
    <w:p>
      <w:pPr>
        <w:spacing w:after="0" w:line="188" w:lineRule="auto"/>
        <w:rPr>
          <w:sz w:val="20"/>
          <w:szCs w:val="20"/>
          <w:color w:val="auto"/>
        </w:rPr>
      </w:pPr>
      <w:r>
        <w:rPr>
          <w:rFonts w:ascii="Arial" w:cs="Arial" w:eastAsia="Arial" w:hAnsi="Arial"/>
          <w:sz w:val="9"/>
          <w:szCs w:val="9"/>
          <w:color w:val="FFFFFF"/>
          <w:vertAlign w:val="subscript"/>
        </w:rPr>
        <w:t>20%</w:t>
      </w:r>
      <w:r>
        <w:rPr>
          <w:rFonts w:ascii="Arial" w:cs="Arial" w:eastAsia="Arial" w:hAnsi="Arial"/>
          <w:sz w:val="7"/>
          <w:szCs w:val="7"/>
          <w:color w:val="FFFFFF"/>
        </w:rPr>
        <w:t>2% 5,500</w:t>
      </w:r>
    </w:p>
    <w:p>
      <w:pPr>
        <w:spacing w:after="0"/>
        <w:rPr>
          <w:sz w:val="20"/>
          <w:szCs w:val="20"/>
          <w:color w:val="auto"/>
        </w:rPr>
      </w:pPr>
      <w:r>
        <w:rPr>
          <w:rFonts w:ascii="Arial" w:cs="Arial" w:eastAsia="Arial" w:hAnsi="Arial"/>
          <w:sz w:val="3"/>
          <w:szCs w:val="3"/>
          <w:color w:val="FFFFFF"/>
        </w:rPr>
        <w:t>5,000</w:t>
      </w:r>
    </w:p>
    <w:p>
      <w:pPr>
        <w:spacing w:after="0" w:line="194" w:lineRule="auto"/>
        <w:rPr>
          <w:sz w:val="20"/>
          <w:szCs w:val="20"/>
          <w:color w:val="auto"/>
        </w:rPr>
      </w:pPr>
      <w:r>
        <w:rPr>
          <w:rFonts w:ascii="Arial" w:cs="Arial" w:eastAsia="Arial" w:hAnsi="Arial"/>
          <w:sz w:val="5"/>
          <w:szCs w:val="5"/>
          <w:color w:val="FFFFFF"/>
        </w:rPr>
        <w:t>18%</w:t>
      </w:r>
    </w:p>
    <w:p>
      <w:pPr>
        <w:spacing w:after="0"/>
        <w:rPr>
          <w:sz w:val="20"/>
          <w:szCs w:val="20"/>
          <w:color w:val="auto"/>
        </w:rPr>
      </w:pPr>
      <w:r>
        <w:rPr>
          <w:rFonts w:ascii="Arial" w:cs="Arial" w:eastAsia="Arial" w:hAnsi="Arial"/>
          <w:sz w:val="3"/>
          <w:szCs w:val="3"/>
          <w:color w:val="FFFFFF"/>
        </w:rPr>
        <w:t>4,500</w:t>
      </w:r>
    </w:p>
    <w:p>
      <w:pPr>
        <w:ind w:left="80"/>
        <w:spacing w:after="0" w:line="194" w:lineRule="auto"/>
        <w:rPr>
          <w:sz w:val="20"/>
          <w:szCs w:val="20"/>
          <w:color w:val="auto"/>
        </w:rPr>
      </w:pPr>
      <w:r>
        <w:rPr>
          <w:rFonts w:ascii="Arial" w:cs="Arial" w:eastAsia="Arial" w:hAnsi="Arial"/>
          <w:sz w:val="3"/>
          <w:szCs w:val="3"/>
          <w:color w:val="FFFFFF"/>
        </w:rPr>
        <w:t>4%</w:t>
      </w:r>
      <w:r>
        <w:rPr>
          <w:rFonts w:ascii="Arial" w:cs="Arial" w:eastAsia="Arial" w:hAnsi="Arial"/>
          <w:sz w:val="5"/>
          <w:szCs w:val="5"/>
          <w:color w:val="FFFFFF"/>
          <w:vertAlign w:val="superscript"/>
        </w:rPr>
        <w:t>6%</w:t>
      </w:r>
    </w:p>
    <w:p>
      <w:pPr>
        <w:spacing w:after="0" w:line="188" w:lineRule="auto"/>
        <w:rPr>
          <w:sz w:val="20"/>
          <w:szCs w:val="20"/>
          <w:color w:val="auto"/>
        </w:rPr>
      </w:pPr>
      <w:r>
        <w:rPr>
          <w:rFonts w:ascii="Arial" w:cs="Arial" w:eastAsia="Arial" w:hAnsi="Arial"/>
          <w:sz w:val="9"/>
          <w:szCs w:val="9"/>
          <w:color w:val="FFFFFF"/>
          <w:vertAlign w:val="subscript"/>
        </w:rPr>
        <w:t>12%</w:t>
      </w:r>
      <w:r>
        <w:rPr>
          <w:rFonts w:ascii="Arial" w:cs="Arial" w:eastAsia="Arial" w:hAnsi="Arial"/>
          <w:sz w:val="7"/>
          <w:szCs w:val="7"/>
          <w:color w:val="FFFFFF"/>
        </w:rPr>
        <w:t xml:space="preserve"> 4,000</w:t>
      </w:r>
    </w:p>
    <w:p>
      <w:pPr>
        <w:spacing w:after="0"/>
        <w:rPr>
          <w:sz w:val="20"/>
          <w:szCs w:val="20"/>
          <w:color w:val="auto"/>
        </w:rPr>
      </w:pPr>
      <w:r>
        <w:rPr>
          <w:rFonts w:ascii="Arial" w:cs="Arial" w:eastAsia="Arial" w:hAnsi="Arial"/>
          <w:sz w:val="3"/>
          <w:szCs w:val="3"/>
          <w:color w:val="FFFFFF"/>
        </w:rPr>
        <w:t>3,500</w:t>
      </w:r>
    </w:p>
    <w:p>
      <w:pPr>
        <w:spacing w:after="0" w:line="194" w:lineRule="auto"/>
        <w:rPr>
          <w:sz w:val="20"/>
          <w:szCs w:val="20"/>
          <w:color w:val="auto"/>
        </w:rPr>
      </w:pPr>
      <w:r>
        <w:rPr>
          <w:rFonts w:ascii="Arial" w:cs="Arial" w:eastAsia="Arial" w:hAnsi="Arial"/>
          <w:sz w:val="5"/>
          <w:szCs w:val="5"/>
          <w:color w:val="FFFFFF"/>
        </w:rPr>
        <w:t>10%</w:t>
      </w:r>
    </w:p>
    <w:p>
      <w:pPr>
        <w:spacing w:after="0"/>
        <w:rPr>
          <w:sz w:val="20"/>
          <w:szCs w:val="20"/>
          <w:color w:val="auto"/>
        </w:rPr>
      </w:pPr>
      <w:r>
        <w:rPr>
          <w:rFonts w:ascii="Arial" w:cs="Arial" w:eastAsia="Arial" w:hAnsi="Arial"/>
          <w:sz w:val="3"/>
          <w:szCs w:val="3"/>
          <w:color w:val="FFFFFF"/>
        </w:rPr>
        <w:t>3,000</w:t>
      </w:r>
    </w:p>
    <w:p>
      <w:pPr>
        <w:spacing w:after="0" w:line="181" w:lineRule="auto"/>
        <w:rPr>
          <w:sz w:val="20"/>
          <w:szCs w:val="20"/>
          <w:color w:val="auto"/>
        </w:rPr>
      </w:pPr>
      <w:r>
        <w:rPr>
          <w:rFonts w:ascii="Arial" w:cs="Arial" w:eastAsia="Arial" w:hAnsi="Arial"/>
          <w:sz w:val="10"/>
          <w:szCs w:val="10"/>
          <w:color w:val="FFFFFF"/>
          <w:vertAlign w:val="superscript"/>
        </w:rPr>
        <w:t>8%</w:t>
      </w:r>
      <w:r>
        <w:rPr>
          <w:rFonts w:ascii="Arial" w:cs="Arial" w:eastAsia="Arial" w:hAnsi="Arial"/>
          <w:sz w:val="7"/>
          <w:szCs w:val="7"/>
          <w:color w:val="FFFFFF"/>
        </w:rPr>
        <w:t>6%</w:t>
      </w:r>
    </w:p>
    <w:p>
      <w:pPr>
        <w:spacing w:after="0" w:line="188" w:lineRule="auto"/>
        <w:rPr>
          <w:sz w:val="20"/>
          <w:szCs w:val="20"/>
          <w:color w:val="auto"/>
        </w:rPr>
      </w:pPr>
      <w:r>
        <w:rPr>
          <w:rFonts w:ascii="Arial" w:cs="Arial" w:eastAsia="Arial" w:hAnsi="Arial"/>
          <w:sz w:val="9"/>
          <w:szCs w:val="9"/>
          <w:color w:val="FFFFFF"/>
        </w:rPr>
        <w:t>Apr 2,500</w:t>
      </w:r>
    </w:p>
    <w:p>
      <w:pPr>
        <w:spacing w:after="0"/>
        <w:rPr>
          <w:sz w:val="20"/>
          <w:szCs w:val="20"/>
          <w:color w:val="auto"/>
        </w:rPr>
      </w:pPr>
      <w:r>
        <w:rPr>
          <w:rFonts w:ascii="Arial" w:cs="Arial" w:eastAsia="Arial" w:hAnsi="Arial"/>
          <w:sz w:val="3"/>
          <w:szCs w:val="3"/>
          <w:color w:val="FFFFFF"/>
        </w:rPr>
        <w:t>est.Q1 2010 Q2 2010 Q3 2010 Q4 2010 Q1 2011 2011</w:t>
      </w:r>
    </w:p>
    <w:p>
      <w:pPr>
        <w:spacing w:after="0" w:line="194" w:lineRule="auto"/>
        <w:rPr>
          <w:sz w:val="20"/>
          <w:szCs w:val="20"/>
          <w:color w:val="auto"/>
        </w:rPr>
      </w:pPr>
      <w:r>
        <w:rPr>
          <w:rFonts w:ascii="Arial" w:cs="Arial" w:eastAsia="Arial" w:hAnsi="Arial"/>
          <w:sz w:val="5"/>
          <w:szCs w:val="5"/>
          <w:color w:val="FFFFFF"/>
        </w:rPr>
        <w:t>Avg. U.S. Retail Incentive as % of ATP</w:t>
      </w:r>
    </w:p>
    <w:p>
      <w:pPr>
        <w:spacing w:after="0" w:line="188" w:lineRule="auto"/>
        <w:rPr>
          <w:sz w:val="20"/>
          <w:szCs w:val="20"/>
          <w:color w:val="auto"/>
        </w:rPr>
      </w:pPr>
      <w:r>
        <w:rPr>
          <w:rFonts w:ascii="Arial" w:cs="Arial" w:eastAsia="Arial" w:hAnsi="Arial"/>
          <w:sz w:val="9"/>
          <w:szCs w:val="9"/>
          <w:color w:val="FFFFFF"/>
          <w:vertAlign w:val="superscript"/>
        </w:rPr>
        <w:t>GM</w:t>
      </w:r>
      <w:r>
        <w:rPr>
          <w:rFonts w:ascii="Arial" w:cs="Arial" w:eastAsia="Arial" w:hAnsi="Arial"/>
          <w:sz w:val="7"/>
          <w:szCs w:val="7"/>
          <w:color w:val="FFFFFF"/>
        </w:rPr>
        <w:t xml:space="preserve"> % 10.3 9.7 9.3 </w:t>
      </w:r>
      <w:r>
        <w:rPr>
          <w:rFonts w:ascii="Arial" w:cs="Arial" w:eastAsia="Arial" w:hAnsi="Arial"/>
          <w:sz w:val="9"/>
          <w:szCs w:val="9"/>
          <w:color w:val="FFFFFF"/>
          <w:vertAlign w:val="superscript"/>
        </w:rPr>
        <w:t>93</w:t>
      </w:r>
      <w:r>
        <w:rPr>
          <w:rFonts w:ascii="Arial" w:cs="Arial" w:eastAsia="Arial" w:hAnsi="Arial"/>
          <w:sz w:val="7"/>
          <w:szCs w:val="7"/>
          <w:color w:val="FFFFFF"/>
        </w:rPr>
        <w:t>.9 11.2 11.7 12.6 10.7 9.6 9.6 9.4 10.4 12.6 13.2 9.8 8</w:t>
      </w:r>
      <w:r>
        <w:rPr>
          <w:rFonts w:ascii="Arial" w:cs="Arial" w:eastAsia="Arial" w:hAnsi="Arial"/>
          <w:sz w:val="9"/>
          <w:szCs w:val="9"/>
          <w:color w:val="FFFFFF"/>
          <w:vertAlign w:val="superscript"/>
        </w:rPr>
        <w:t>26</w:t>
      </w:r>
      <w:r>
        <w:rPr>
          <w:rFonts w:ascii="Arial" w:cs="Arial" w:eastAsia="Arial" w:hAnsi="Arial"/>
          <w:sz w:val="7"/>
          <w:szCs w:val="7"/>
          <w:color w:val="FFFFFF"/>
        </w:rPr>
        <w:t>.</w:t>
      </w:r>
    </w:p>
    <w:p>
      <w:pPr>
        <w:spacing w:after="0"/>
        <w:tabs>
          <w:tab w:leader="none" w:pos="1220" w:val="left"/>
          <w:tab w:leader="none" w:pos="4180" w:val="left"/>
        </w:tabs>
        <w:rPr>
          <w:sz w:val="20"/>
          <w:szCs w:val="20"/>
          <w:color w:val="auto"/>
        </w:rPr>
      </w:pPr>
      <w:r>
        <w:rPr>
          <w:rFonts w:ascii="Arial" w:cs="Arial" w:eastAsia="Arial" w:hAnsi="Arial"/>
          <w:sz w:val="3"/>
          <w:szCs w:val="3"/>
          <w:color w:val="FFFFFF"/>
        </w:rPr>
        <w:t>(GMvs.% Ind./Ind.1.06%) 0.</w:t>
      </w:r>
      <w:r>
        <w:rPr>
          <w:sz w:val="20"/>
          <w:szCs w:val="20"/>
          <w:color w:val="auto"/>
        </w:rPr>
        <w:tab/>
      </w:r>
      <w:r>
        <w:rPr>
          <w:rFonts w:ascii="Arial" w:cs="Arial" w:eastAsia="Arial" w:hAnsi="Arial"/>
          <w:sz w:val="3"/>
          <w:szCs w:val="3"/>
          <w:color w:val="FFFFFF"/>
        </w:rPr>
        <w:t>0.85 0.95 1.03 1.10 1.12 1.01 0.95 1.02 0.97 1.00 1.</w:t>
      </w:r>
      <w:r>
        <w:rPr>
          <w:sz w:val="20"/>
          <w:szCs w:val="20"/>
          <w:color w:val="auto"/>
        </w:rPr>
        <w:tab/>
      </w:r>
      <w:r>
        <w:rPr>
          <w:rFonts w:ascii="Arial" w:cs="Arial" w:eastAsia="Arial" w:hAnsi="Arial"/>
          <w:sz w:val="3"/>
          <w:szCs w:val="3"/>
          <w:color w:val="FFFFFF"/>
        </w:rPr>
        <w:t>1.23 0.96 0.97</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Note: Incentive &amp; ATP Information Based on J.D. Power and Associates Power Information Network data 10</w:t>
      </w:r>
    </w:p>
    <w:p>
      <w:pPr>
        <w:sectPr>
          <w:pgSz w:w="11900" w:h="16838" w:orient="portrait"/>
          <w:cols w:equalWidth="0" w:num="1">
            <w:col w:w="10219"/>
          </w:cols>
          <w:pgMar w:left="2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color w:val="FFFFFF"/>
        </w:rPr>
        <w:t>(GMNA$B) Earnings Before Interest &amp; Taxes</w:t>
      </w:r>
    </w:p>
    <w:p>
      <w:pPr>
        <w:spacing w:after="0"/>
        <w:rPr>
          <w:sz w:val="20"/>
          <w:szCs w:val="20"/>
          <w:color w:val="auto"/>
        </w:rPr>
      </w:pPr>
      <w:r>
        <w:rPr>
          <w:rFonts w:ascii="Arial" w:cs="Arial" w:eastAsia="Arial" w:hAnsi="Arial"/>
          <w:sz w:val="3"/>
          <w:szCs w:val="3"/>
          <w:color w:val="FFFFFF"/>
        </w:rPr>
        <w:t>3 0 2.9</w:t>
      </w:r>
    </w:p>
    <w:p>
      <w:pPr>
        <w:spacing w:after="0" w:line="194" w:lineRule="auto"/>
        <w:rPr>
          <w:sz w:val="20"/>
          <w:szCs w:val="20"/>
          <w:color w:val="auto"/>
        </w:rPr>
      </w:pPr>
      <w:r>
        <w:rPr>
          <w:rFonts w:ascii="Arial" w:cs="Arial" w:eastAsia="Arial" w:hAnsi="Arial"/>
          <w:sz w:val="3"/>
          <w:szCs w:val="3"/>
          <w:color w:val="FFFFFF"/>
        </w:rPr>
        <w:t xml:space="preserve">2 </w:t>
      </w:r>
      <w:r>
        <w:rPr>
          <w:rFonts w:ascii="Arial" w:cs="Arial" w:eastAsia="Arial" w:hAnsi="Arial"/>
          <w:sz w:val="5"/>
          <w:szCs w:val="5"/>
          <w:color w:val="FFFFFF"/>
          <w:vertAlign w:val="superscript"/>
        </w:rPr>
        <w:t>1</w:t>
      </w:r>
    </w:p>
    <w:p>
      <w:pPr>
        <w:ind w:left="100"/>
        <w:spacing w:after="0"/>
        <w:rPr>
          <w:sz w:val="20"/>
          <w:szCs w:val="20"/>
          <w:color w:val="auto"/>
        </w:rPr>
      </w:pPr>
      <w:r>
        <w:rPr>
          <w:rFonts w:ascii="Arial" w:cs="Arial" w:eastAsia="Arial" w:hAnsi="Arial"/>
          <w:sz w:val="3"/>
          <w:szCs w:val="3"/>
          <w:color w:val="FFFFFF"/>
        </w:rPr>
        <w:t>0</w:t>
      </w:r>
    </w:p>
    <w:p>
      <w:pPr>
        <w:ind w:left="100"/>
        <w:spacing w:after="0" w:line="194" w:lineRule="auto"/>
        <w:rPr>
          <w:sz w:val="20"/>
          <w:szCs w:val="20"/>
          <w:color w:val="auto"/>
        </w:rPr>
      </w:pPr>
      <w:r>
        <w:rPr>
          <w:rFonts w:ascii="Arial" w:cs="Arial" w:eastAsia="Arial" w:hAnsi="Arial"/>
          <w:sz w:val="5"/>
          <w:szCs w:val="5"/>
          <w:color w:val="FFFFFF"/>
        </w:rPr>
        <w:t>6</w:t>
      </w:r>
    </w:p>
    <w:p>
      <w:pPr>
        <w:spacing w:after="0" w:line="188" w:lineRule="auto"/>
        <w:rPr>
          <w:sz w:val="20"/>
          <w:szCs w:val="20"/>
          <w:color w:val="auto"/>
        </w:rPr>
      </w:pPr>
      <w:r>
        <w:rPr>
          <w:rFonts w:ascii="Arial" w:cs="Arial" w:eastAsia="Arial" w:hAnsi="Arial"/>
          <w:sz w:val="7"/>
          <w:szCs w:val="7"/>
          <w:color w:val="FFFFFF"/>
        </w:rPr>
        <w:t>1.</w:t>
      </w:r>
      <w:r>
        <w:rPr>
          <w:rFonts w:ascii="Arial" w:cs="Arial" w:eastAsia="Arial" w:hAnsi="Arial"/>
          <w:sz w:val="9"/>
          <w:szCs w:val="9"/>
          <w:color w:val="FFFFFF"/>
          <w:vertAlign w:val="superscript"/>
        </w:rPr>
        <w:t>2</w:t>
      </w:r>
    </w:p>
    <w:p>
      <w:pPr>
        <w:spacing w:after="0"/>
        <w:rPr>
          <w:sz w:val="20"/>
          <w:szCs w:val="20"/>
          <w:color w:val="auto"/>
        </w:rPr>
      </w:pPr>
      <w:r>
        <w:rPr>
          <w:rFonts w:ascii="Arial" w:cs="Arial" w:eastAsia="Arial" w:hAnsi="Arial"/>
          <w:sz w:val="3"/>
          <w:szCs w:val="3"/>
          <w:color w:val="FFFFFF"/>
        </w:rPr>
        <w:t>EBIT00.8-Adj.1.3</w:t>
      </w:r>
    </w:p>
    <w:p>
      <w:pPr>
        <w:spacing w:after="0" w:line="194" w:lineRule="auto"/>
        <w:rPr>
          <w:sz w:val="20"/>
          <w:szCs w:val="20"/>
          <w:color w:val="auto"/>
        </w:rPr>
      </w:pPr>
      <w:r>
        <w:rPr>
          <w:rFonts w:ascii="Arial" w:cs="Arial" w:eastAsia="Arial" w:hAnsi="Arial"/>
          <w:sz w:val="5"/>
          <w:szCs w:val="5"/>
          <w:color w:val="FFFFFF"/>
        </w:rPr>
        <w:t>0.0</w:t>
      </w:r>
    </w:p>
    <w:p>
      <w:pPr>
        <w:spacing w:after="0"/>
        <w:rPr>
          <w:sz w:val="20"/>
          <w:szCs w:val="20"/>
          <w:color w:val="auto"/>
        </w:rPr>
      </w:pPr>
      <w:r>
        <w:rPr>
          <w:rFonts w:ascii="Arial" w:cs="Arial" w:eastAsia="Arial" w:hAnsi="Arial"/>
          <w:sz w:val="3"/>
          <w:szCs w:val="3"/>
          <w:color w:val="FFFFFF"/>
        </w:rPr>
        <w:t>(1.0)</w:t>
      </w:r>
    </w:p>
    <w:p>
      <w:pPr>
        <w:spacing w:after="0" w:line="194" w:lineRule="auto"/>
        <w:rPr>
          <w:sz w:val="20"/>
          <w:szCs w:val="20"/>
          <w:color w:val="auto"/>
        </w:rPr>
      </w:pPr>
      <w:r>
        <w:rPr>
          <w:rFonts w:ascii="Arial" w:cs="Arial" w:eastAsia="Arial" w:hAnsi="Arial"/>
          <w:sz w:val="5"/>
          <w:szCs w:val="5"/>
          <w:color w:val="FFFFFF"/>
        </w:rPr>
        <w:t>Q1 Q2 Q3 Q4 Q1</w:t>
      </w:r>
    </w:p>
    <w:p>
      <w:pPr>
        <w:spacing w:after="0"/>
        <w:rPr>
          <w:sz w:val="20"/>
          <w:szCs w:val="20"/>
          <w:color w:val="auto"/>
        </w:rPr>
      </w:pPr>
      <w:r>
        <w:rPr>
          <w:rFonts w:ascii="Arial" w:cs="Arial" w:eastAsia="Arial" w:hAnsi="Arial"/>
          <w:sz w:val="3"/>
          <w:szCs w:val="3"/>
          <w:color w:val="FFFFFF"/>
        </w:rPr>
        <w:t>2010 2010 2010 2010 2011</w:t>
      </w:r>
    </w:p>
    <w:p>
      <w:pPr>
        <w:spacing w:after="0" w:line="6" w:lineRule="exact"/>
        <w:rPr>
          <w:sz w:val="20"/>
          <w:szCs w:val="20"/>
          <w:color w:val="auto"/>
        </w:rPr>
      </w:pPr>
    </w:p>
    <w:p>
      <w:pPr>
        <w:spacing w:after="0"/>
        <w:rPr>
          <w:sz w:val="20"/>
          <w:szCs w:val="20"/>
          <w:color w:val="auto"/>
        </w:rPr>
      </w:pPr>
      <w:r>
        <w:rPr>
          <w:rFonts w:ascii="Arial" w:cs="Arial" w:eastAsia="Arial" w:hAnsi="Arial"/>
          <w:sz w:val="7"/>
          <w:szCs w:val="7"/>
          <w:color w:val="FFFFFF"/>
        </w:rPr>
        <w:t>RevenueProduction($B)(000’s)19.3 66820.373121.570722.</w:t>
      </w:r>
      <w:r>
        <w:rPr>
          <w:rFonts w:ascii="Arial" w:cs="Arial" w:eastAsia="Arial" w:hAnsi="Arial"/>
          <w:sz w:val="10"/>
          <w:szCs w:val="10"/>
          <w:color w:val="FFFFFF"/>
          <w:vertAlign w:val="superscript"/>
        </w:rPr>
        <w:t>703</w:t>
      </w:r>
      <w:r>
        <w:rPr>
          <w:rFonts w:ascii="Arial" w:cs="Arial" w:eastAsia="Arial" w:hAnsi="Arial"/>
          <w:sz w:val="7"/>
          <w:szCs w:val="7"/>
          <w:color w:val="FFFFFF"/>
        </w:rPr>
        <w:t>22.1786</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FFFFFF"/>
        </w:rPr>
        <w:t>11U.S. Dealer Inv (000’s) 428 438 478 511 574</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FFFFFF"/>
        </w:rPr>
        <w:t>Info Item: GMNA – C$ Net Monetary Liability</w:t>
      </w:r>
    </w:p>
    <w:p>
      <w:pPr>
        <w:ind w:right="2819"/>
        <w:spacing w:after="0"/>
        <w:rPr>
          <w:sz w:val="20"/>
          <w:szCs w:val="20"/>
          <w:color w:val="auto"/>
        </w:rPr>
      </w:pPr>
      <w:r>
        <w:rPr>
          <w:rFonts w:ascii="Arial" w:cs="Arial" w:eastAsia="Arial" w:hAnsi="Arial"/>
          <w:sz w:val="7"/>
          <w:szCs w:val="7"/>
          <w:color w:val="FFFFFF"/>
        </w:rPr>
        <w:t>GM Canada balance sheet includes ~CAD $7B Net Monetary Liability (NML) position, primarily pension, OPEB and accrued liabilities USD value of NML will vary due to difference in period end to period end FX</w:t>
      </w:r>
    </w:p>
    <w:p>
      <w:pPr>
        <w:spacing w:after="0" w:line="1" w:lineRule="exact"/>
        <w:rPr>
          <w:sz w:val="20"/>
          <w:szCs w:val="20"/>
          <w:color w:val="auto"/>
        </w:rPr>
      </w:pPr>
    </w:p>
    <w:p>
      <w:pPr>
        <w:ind w:right="4119"/>
        <w:spacing w:after="0" w:line="187" w:lineRule="auto"/>
        <w:rPr>
          <w:sz w:val="20"/>
          <w:szCs w:val="20"/>
          <w:color w:val="auto"/>
        </w:rPr>
      </w:pPr>
      <w:r>
        <w:rPr>
          <w:rFonts w:ascii="Arial" w:cs="Arial" w:eastAsia="Arial" w:hAnsi="Arial"/>
          <w:sz w:val="9"/>
          <w:szCs w:val="9"/>
          <w:color w:val="FFFFFF"/>
        </w:rPr>
        <w:t>Since GM Canada is USD functional, translation exchange realized as non-cash charge recorded to GMNA P&amp;L GMNA CAD NML Translational Impact</w:t>
      </w:r>
    </w:p>
    <w:p>
      <w:pPr>
        <w:spacing w:after="0"/>
        <w:rPr>
          <w:sz w:val="20"/>
          <w:szCs w:val="20"/>
          <w:color w:val="auto"/>
        </w:rPr>
      </w:pPr>
      <w:r>
        <w:rPr>
          <w:rFonts w:ascii="Arial" w:cs="Arial" w:eastAsia="Arial" w:hAnsi="Arial"/>
          <w:sz w:val="3"/>
          <w:szCs w:val="3"/>
          <w:color w:val="FFFFFF"/>
        </w:rPr>
        <w:t>Q1 Q2 Q3 Q4 CY Q1</w:t>
      </w:r>
    </w:p>
    <w:p>
      <w:pPr>
        <w:spacing w:after="0" w:line="194" w:lineRule="auto"/>
        <w:rPr>
          <w:sz w:val="20"/>
          <w:szCs w:val="20"/>
          <w:color w:val="auto"/>
        </w:rPr>
      </w:pPr>
      <w:r>
        <w:rPr>
          <w:rFonts w:ascii="Arial" w:cs="Arial" w:eastAsia="Arial" w:hAnsi="Arial"/>
          <w:sz w:val="5"/>
          <w:szCs w:val="5"/>
          <w:color w:val="FFFFFF"/>
        </w:rPr>
        <w:t>2010 2010 2010 2010 2010 2011</w:t>
      </w:r>
    </w:p>
    <w:p>
      <w:pPr>
        <w:spacing w:after="0" w:line="211" w:lineRule="auto"/>
        <w:rPr>
          <w:sz w:val="20"/>
          <w:szCs w:val="20"/>
          <w:color w:val="auto"/>
        </w:rPr>
      </w:pPr>
      <w:r>
        <w:rPr>
          <w:rFonts w:ascii="Arial" w:cs="Arial" w:eastAsia="Arial" w:hAnsi="Arial"/>
          <w:sz w:val="2"/>
          <w:szCs w:val="2"/>
          <w:color w:val="FFFFFF"/>
        </w:rPr>
        <w:t xml:space="preserve">Non-Cash EBIT Impact ($B) $(0.2) $0.2 $(0.2) $(0.2) </w:t>
      </w:r>
      <w:r>
        <w:rPr>
          <w:rFonts w:ascii="Arial" w:cs="Arial" w:eastAsia="Arial" w:hAnsi="Arial"/>
          <w:sz w:val="4"/>
          <w:szCs w:val="4"/>
          <w:color w:val="FFFFFF"/>
          <w:vertAlign w:val="superscript"/>
        </w:rPr>
        <w:t>$(0</w:t>
      </w:r>
      <w:r>
        <w:rPr>
          <w:rFonts w:ascii="Arial" w:cs="Arial" w:eastAsia="Arial" w:hAnsi="Arial"/>
          <w:sz w:val="2"/>
          <w:szCs w:val="2"/>
          <w:color w:val="FFFFFF"/>
        </w:rPr>
        <w:t xml:space="preserve">.4) </w:t>
      </w:r>
      <w:r>
        <w:rPr>
          <w:rFonts w:ascii="Arial" w:cs="Arial" w:eastAsia="Arial" w:hAnsi="Arial"/>
          <w:sz w:val="4"/>
          <w:szCs w:val="4"/>
          <w:color w:val="FFFFFF"/>
          <w:vertAlign w:val="superscript"/>
        </w:rPr>
        <w:t>$(0</w:t>
      </w:r>
      <w:r>
        <w:rPr>
          <w:rFonts w:ascii="Arial" w:cs="Arial" w:eastAsia="Arial" w:hAnsi="Arial"/>
          <w:sz w:val="2"/>
          <w:szCs w:val="2"/>
          <w:color w:val="FFFFFF"/>
        </w:rPr>
        <w:t>.2)</w:t>
      </w:r>
    </w:p>
    <w:p>
      <w:pPr>
        <w:spacing w:after="0" w:line="188" w:lineRule="auto"/>
        <w:rPr>
          <w:sz w:val="20"/>
          <w:szCs w:val="20"/>
          <w:color w:val="auto"/>
        </w:rPr>
      </w:pPr>
      <w:r>
        <w:rPr>
          <w:rFonts w:ascii="Arial" w:cs="Arial" w:eastAsia="Arial" w:hAnsi="Arial"/>
          <w:sz w:val="7"/>
          <w:szCs w:val="7"/>
          <w:color w:val="FFFFFF"/>
        </w:rPr>
        <w:t>Period End FX (CAD per USD) 1.</w:t>
      </w:r>
      <w:r>
        <w:rPr>
          <w:rFonts w:ascii="Arial" w:cs="Arial" w:eastAsia="Arial" w:hAnsi="Arial"/>
          <w:sz w:val="9"/>
          <w:szCs w:val="9"/>
          <w:color w:val="FFFFFF"/>
          <w:vertAlign w:val="superscript"/>
        </w:rPr>
        <w:t>0164</w:t>
      </w:r>
      <w:r>
        <w:rPr>
          <w:rFonts w:ascii="Arial" w:cs="Arial" w:eastAsia="Arial" w:hAnsi="Arial"/>
          <w:sz w:val="7"/>
          <w:szCs w:val="7"/>
          <w:color w:val="FFFFFF"/>
        </w:rPr>
        <w:t xml:space="preserve"> 1.0491 1.0269  .9980  .9980 0.9713</w:t>
      </w:r>
    </w:p>
    <w:p>
      <w:pPr>
        <w:spacing w:after="0" w:line="208" w:lineRule="auto"/>
        <w:tabs>
          <w:tab w:leader="none" w:pos="3420" w:val="left"/>
        </w:tabs>
        <w:rPr>
          <w:sz w:val="20"/>
          <w:szCs w:val="20"/>
          <w:color w:val="auto"/>
        </w:rPr>
      </w:pPr>
      <w:r>
        <w:rPr>
          <w:rFonts w:ascii="Arial" w:cs="Arial" w:eastAsia="Arial" w:hAnsi="Arial"/>
          <w:sz w:val="14"/>
          <w:szCs w:val="14"/>
          <w:color w:val="FFFFFF"/>
        </w:rPr>
        <w:t>12Inc/(Dec) vs. Prior Period (0.0323)  .0327 (0.0222) (0.0288)</w:t>
      </w:r>
      <w:r>
        <w:rPr>
          <w:sz w:val="20"/>
          <w:szCs w:val="20"/>
          <w:color w:val="auto"/>
        </w:rPr>
        <w:tab/>
      </w:r>
      <w:r>
        <w:rPr>
          <w:rFonts w:ascii="Arial" w:cs="Arial" w:eastAsia="Arial" w:hAnsi="Arial"/>
          <w:sz w:val="12"/>
          <w:szCs w:val="12"/>
          <w:color w:val="FFFFFF"/>
        </w:rPr>
        <w:t>.0506) (0.0267)</w:t>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FFFFFF"/>
        </w:rPr>
        <w:t>GMNA EBIT – Q1 2010 vs. Q1 2011</w:t>
      </w:r>
    </w:p>
    <w:p>
      <w:pPr>
        <w:spacing w:after="0" w:line="187" w:lineRule="auto"/>
        <w:rPr>
          <w:sz w:val="20"/>
          <w:szCs w:val="20"/>
          <w:color w:val="auto"/>
        </w:rPr>
      </w:pPr>
      <w:r>
        <w:rPr>
          <w:rFonts w:ascii="Arial" w:cs="Arial" w:eastAsia="Arial" w:hAnsi="Arial"/>
          <w:sz w:val="9"/>
          <w:szCs w:val="9"/>
          <w:color w:val="FFFFFF"/>
          <w:vertAlign w:val="subscript"/>
        </w:rPr>
        <w:t>Q1</w:t>
      </w:r>
      <w:r>
        <w:rPr>
          <w:rFonts w:ascii="Arial" w:cs="Arial" w:eastAsia="Arial" w:hAnsi="Arial"/>
          <w:sz w:val="7"/>
          <w:szCs w:val="7"/>
          <w:color w:val="FFFFFF"/>
        </w:rPr>
        <w:t xml:space="preserve">. </w:t>
      </w:r>
      <w:r>
        <w:rPr>
          <w:rFonts w:ascii="Arial" w:cs="Arial" w:eastAsia="Arial" w:hAnsi="Arial"/>
          <w:sz w:val="9"/>
          <w:szCs w:val="9"/>
          <w:color w:val="FFFFFF"/>
          <w:vertAlign w:val="subscript"/>
        </w:rPr>
        <w:t>2010.9</w:t>
      </w:r>
      <w:r>
        <w:rPr>
          <w:rFonts w:ascii="Arial" w:cs="Arial" w:eastAsia="Arial" w:hAnsi="Arial"/>
          <w:sz w:val="7"/>
          <w:szCs w:val="7"/>
          <w:color w:val="FFFFFF"/>
        </w:rPr>
        <w:t xml:space="preserve"> EBIT ($B) $0.1B Improvement Q1 2011 EBIT ($B)</w:t>
      </w:r>
    </w:p>
    <w:p>
      <w:pPr>
        <w:spacing w:after="0" w:line="213" w:lineRule="auto"/>
        <w:rPr>
          <w:sz w:val="20"/>
          <w:szCs w:val="20"/>
          <w:color w:val="auto"/>
        </w:rPr>
      </w:pPr>
      <w:r>
        <w:rPr>
          <w:rFonts w:ascii="Arial" w:cs="Arial" w:eastAsia="Arial" w:hAnsi="Arial"/>
          <w:sz w:val="4"/>
          <w:szCs w:val="4"/>
          <w:color w:val="FFFFFF"/>
          <w:vertAlign w:val="subscript"/>
        </w:rPr>
        <w:t>(0</w:t>
      </w:r>
      <w:r>
        <w:rPr>
          <w:rFonts w:ascii="Arial" w:cs="Arial" w:eastAsia="Arial" w:hAnsi="Arial"/>
          <w:sz w:val="2"/>
          <w:szCs w:val="2"/>
          <w:color w:val="FFFFFF"/>
        </w:rPr>
        <w:t>9</w:t>
      </w:r>
      <w:r>
        <w:rPr>
          <w:rFonts w:ascii="Arial" w:cs="Arial" w:eastAsia="Arial" w:hAnsi="Arial"/>
          <w:sz w:val="4"/>
          <w:szCs w:val="4"/>
          <w:color w:val="FFFFFF"/>
          <w:vertAlign w:val="subscript"/>
        </w:rPr>
        <w:t>6</w:t>
      </w:r>
      <w:r>
        <w:rPr>
          <w:rFonts w:ascii="Arial" w:cs="Arial" w:eastAsia="Arial" w:hAnsi="Arial"/>
          <w:sz w:val="2"/>
          <w:szCs w:val="2"/>
          <w:color w:val="FFFFFF"/>
        </w:rPr>
        <w:t xml:space="preserve"> (0.3)</w:t>
      </w:r>
    </w:p>
    <w:p>
      <w:pPr>
        <w:ind w:left="120"/>
        <w:spacing w:after="0" w:line="188" w:lineRule="auto"/>
        <w:rPr>
          <w:sz w:val="20"/>
          <w:szCs w:val="20"/>
          <w:color w:val="auto"/>
        </w:rPr>
      </w:pPr>
      <w:r>
        <w:rPr>
          <w:rFonts w:ascii="Arial" w:cs="Arial" w:eastAsia="Arial" w:hAnsi="Arial"/>
          <w:sz w:val="7"/>
          <w:szCs w:val="7"/>
          <w:color w:val="FFFFFF"/>
        </w:rPr>
        <w:t>.1)</w:t>
      </w:r>
      <w:r>
        <w:rPr>
          <w:rFonts w:ascii="Arial" w:cs="Arial" w:eastAsia="Arial" w:hAnsi="Arial"/>
          <w:sz w:val="9"/>
          <w:szCs w:val="9"/>
          <w:color w:val="FFFFFF"/>
          <w:vertAlign w:val="superscript"/>
        </w:rPr>
        <w:t>4)</w:t>
      </w:r>
    </w:p>
    <w:p>
      <w:pPr>
        <w:spacing w:after="0"/>
        <w:rPr>
          <w:sz w:val="20"/>
          <w:szCs w:val="20"/>
          <w:color w:val="auto"/>
        </w:rPr>
      </w:pPr>
      <w:r>
        <w:rPr>
          <w:rFonts w:ascii="Arial" w:cs="Arial" w:eastAsia="Arial" w:hAnsi="Arial"/>
          <w:sz w:val="3"/>
          <w:szCs w:val="3"/>
          <w:color w:val="FFFFFF"/>
        </w:rPr>
        <w:t>1.2 0.0 1.2 1.3</w:t>
      </w:r>
    </w:p>
    <w:p>
      <w:pPr>
        <w:spacing w:after="0" w:line="181" w:lineRule="auto"/>
        <w:rPr>
          <w:sz w:val="20"/>
          <w:szCs w:val="20"/>
          <w:color w:val="auto"/>
        </w:rPr>
      </w:pPr>
      <w:r>
        <w:rPr>
          <w:rFonts w:ascii="Arial" w:cs="Arial" w:eastAsia="Arial" w:hAnsi="Arial"/>
          <w:sz w:val="10"/>
          <w:szCs w:val="10"/>
          <w:color w:val="FFFFFF"/>
        </w:rPr>
        <w:t>Less Special Volume / Plus Special</w:t>
      </w:r>
    </w:p>
    <w:p>
      <w:pPr>
        <w:spacing w:after="0"/>
        <w:rPr>
          <w:sz w:val="20"/>
          <w:szCs w:val="20"/>
          <w:color w:val="auto"/>
        </w:rPr>
      </w:pPr>
      <w:r>
        <w:rPr>
          <w:rFonts w:ascii="Arial" w:cs="Arial" w:eastAsia="Arial" w:hAnsi="Arial"/>
          <w:sz w:val="3"/>
          <w:szCs w:val="3"/>
          <w:color w:val="FFFFFF"/>
        </w:rPr>
        <w:t>ItemsEBIT MixEBITItems-Adj. Price Cost Other EBIT-Adj. EBIT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13</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FFFFFF"/>
        </w:rPr>
        <w:t>(000’s)GMEDeliveries</w:t>
      </w:r>
    </w:p>
    <w:p>
      <w:pPr>
        <w:spacing w:after="0"/>
        <w:rPr>
          <w:sz w:val="20"/>
          <w:szCs w:val="20"/>
          <w:color w:val="auto"/>
        </w:rPr>
      </w:pPr>
      <w:r>
        <w:rPr>
          <w:rFonts w:ascii="Arial" w:cs="Arial" w:eastAsia="Arial" w:hAnsi="Arial"/>
          <w:sz w:val="3"/>
          <w:szCs w:val="3"/>
          <w:color w:val="FFFFFF"/>
        </w:rPr>
        <w:t>900</w:t>
      </w:r>
    </w:p>
    <w:p>
      <w:pPr>
        <w:spacing w:after="0" w:line="194" w:lineRule="auto"/>
        <w:rPr>
          <w:sz w:val="20"/>
          <w:szCs w:val="20"/>
          <w:color w:val="auto"/>
        </w:rPr>
      </w:pPr>
      <w:r>
        <w:rPr>
          <w:rFonts w:ascii="Arial" w:cs="Arial" w:eastAsia="Arial" w:hAnsi="Arial"/>
          <w:sz w:val="5"/>
          <w:szCs w:val="5"/>
          <w:color w:val="FFFFFF"/>
          <w:vertAlign w:val="subscript"/>
        </w:rPr>
        <w:t>450</w:t>
      </w:r>
      <w:r>
        <w:rPr>
          <w:rFonts w:ascii="Arial" w:cs="Arial" w:eastAsia="Arial" w:hAnsi="Arial"/>
          <w:sz w:val="3"/>
          <w:szCs w:val="3"/>
          <w:color w:val="FFFFFF"/>
        </w:rPr>
        <w:t xml:space="preserve">43 </w:t>
      </w:r>
      <w:r>
        <w:rPr>
          <w:rFonts w:ascii="Arial" w:cs="Arial" w:eastAsia="Arial" w:hAnsi="Arial"/>
          <w:sz w:val="5"/>
          <w:szCs w:val="5"/>
          <w:color w:val="FFFFFF"/>
          <w:vertAlign w:val="subscript"/>
        </w:rPr>
        <w:t>404</w:t>
      </w:r>
      <w:r>
        <w:rPr>
          <w:rFonts w:ascii="Arial" w:cs="Arial" w:eastAsia="Arial" w:hAnsi="Arial"/>
          <w:sz w:val="3"/>
          <w:szCs w:val="3"/>
          <w:color w:val="FFFFFF"/>
        </w:rPr>
        <w:t>28 433</w:t>
      </w:r>
    </w:p>
    <w:p>
      <w:pPr>
        <w:spacing w:after="0" w:line="188" w:lineRule="auto"/>
        <w:rPr>
          <w:sz w:val="20"/>
          <w:szCs w:val="20"/>
          <w:color w:val="auto"/>
        </w:rPr>
      </w:pPr>
      <w:r>
        <w:rPr>
          <w:rFonts w:ascii="Arial" w:cs="Arial" w:eastAsia="Arial" w:hAnsi="Arial"/>
          <w:sz w:val="9"/>
          <w:szCs w:val="9"/>
          <w:color w:val="FFFFFF"/>
          <w:vertAlign w:val="superscript"/>
        </w:rPr>
        <w:t>1</w:t>
      </w:r>
      <w:r>
        <w:rPr>
          <w:rFonts w:ascii="Arial" w:cs="Arial" w:eastAsia="Arial" w:hAnsi="Arial"/>
          <w:sz w:val="7"/>
          <w:szCs w:val="7"/>
          <w:color w:val="FFFFFF"/>
        </w:rPr>
        <w:t>05 128 129</w:t>
      </w:r>
      <w:r>
        <w:rPr>
          <w:rFonts w:ascii="Arial" w:cs="Arial" w:eastAsia="Arial" w:hAnsi="Arial"/>
          <w:sz w:val="9"/>
          <w:szCs w:val="9"/>
          <w:color w:val="FFFFFF"/>
          <w:vertAlign w:val="superscript"/>
        </w:rPr>
        <w:t>389</w:t>
      </w:r>
      <w:r>
        <w:rPr>
          <w:rFonts w:ascii="Arial" w:cs="Arial" w:eastAsia="Arial" w:hAnsi="Arial"/>
          <w:sz w:val="7"/>
          <w:szCs w:val="7"/>
          <w:color w:val="FFFFFF"/>
        </w:rPr>
        <w:t xml:space="preserve"> 112 Chevrolet</w:t>
      </w:r>
    </w:p>
    <w:p>
      <w:pPr>
        <w:ind w:left="80"/>
        <w:spacing w:after="0"/>
        <w:rPr>
          <w:sz w:val="20"/>
          <w:szCs w:val="20"/>
          <w:color w:val="auto"/>
        </w:rPr>
      </w:pPr>
      <w:r>
        <w:rPr>
          <w:rFonts w:ascii="Arial" w:cs="Arial" w:eastAsia="Arial" w:hAnsi="Arial"/>
          <w:sz w:val="3"/>
          <w:szCs w:val="3"/>
          <w:color w:val="FFFFFF"/>
        </w:rPr>
        <w:t>15</w:t>
      </w:r>
    </w:p>
    <w:p>
      <w:pPr>
        <w:spacing w:after="0" w:line="194" w:lineRule="auto"/>
        <w:rPr>
          <w:sz w:val="20"/>
          <w:szCs w:val="20"/>
          <w:color w:val="auto"/>
        </w:rPr>
      </w:pPr>
      <w:r>
        <w:rPr>
          <w:rFonts w:ascii="Arial" w:cs="Arial" w:eastAsia="Arial" w:hAnsi="Arial"/>
          <w:sz w:val="5"/>
          <w:szCs w:val="5"/>
          <w:color w:val="FFFFFF"/>
        </w:rPr>
        <w:t>GME Excl.</w:t>
      </w:r>
    </w:p>
    <w:p>
      <w:pPr>
        <w:spacing w:after="0"/>
        <w:rPr>
          <w:sz w:val="20"/>
          <w:szCs w:val="20"/>
          <w:color w:val="auto"/>
        </w:rPr>
      </w:pPr>
      <w:r>
        <w:rPr>
          <w:rFonts w:ascii="Arial" w:cs="Arial" w:eastAsia="Arial" w:hAnsi="Arial"/>
          <w:sz w:val="3"/>
          <w:szCs w:val="3"/>
          <w:color w:val="FFFFFF"/>
        </w:rPr>
        <w:t>299 315 274 299 321 Chevrolet</w:t>
      </w:r>
    </w:p>
    <w:p>
      <w:pPr>
        <w:spacing w:after="0" w:line="181" w:lineRule="auto"/>
        <w:rPr>
          <w:sz w:val="20"/>
          <w:szCs w:val="20"/>
          <w:color w:val="auto"/>
        </w:rPr>
      </w:pPr>
      <w:r>
        <w:rPr>
          <w:rFonts w:ascii="Arial" w:cs="Arial" w:eastAsia="Arial" w:hAnsi="Arial"/>
          <w:sz w:val="10"/>
          <w:szCs w:val="10"/>
          <w:color w:val="FFFFFF"/>
        </w:rPr>
        <w:t>0</w:t>
      </w:r>
    </w:p>
    <w:p>
      <w:pPr>
        <w:spacing w:after="0" w:line="188" w:lineRule="auto"/>
        <w:rPr>
          <w:sz w:val="20"/>
          <w:szCs w:val="20"/>
          <w:color w:val="auto"/>
        </w:rPr>
      </w:pPr>
      <w:r>
        <w:rPr>
          <w:rFonts w:ascii="Arial" w:cs="Arial" w:eastAsia="Arial" w:hAnsi="Arial"/>
          <w:sz w:val="9"/>
          <w:szCs w:val="9"/>
          <w:color w:val="FFFFFF"/>
          <w:vertAlign w:val="subscript"/>
        </w:rPr>
        <w:t>Germany</w:t>
      </w:r>
      <w:r>
        <w:rPr>
          <w:rFonts w:ascii="Arial" w:cs="Arial" w:eastAsia="Arial" w:hAnsi="Arial"/>
          <w:sz w:val="7"/>
          <w:szCs w:val="7"/>
          <w:color w:val="FFFFFF"/>
        </w:rPr>
        <w:t>Q1ME2010ShareQ2 8.5%2010 8.Q3</w:t>
      </w:r>
      <w:r>
        <w:rPr>
          <w:rFonts w:ascii="Arial" w:cs="Arial" w:eastAsia="Arial" w:hAnsi="Arial"/>
          <w:sz w:val="9"/>
          <w:szCs w:val="9"/>
          <w:color w:val="FFFFFF"/>
          <w:vertAlign w:val="subscript"/>
        </w:rPr>
        <w:t>8%</w:t>
      </w:r>
      <w:r>
        <w:rPr>
          <w:rFonts w:ascii="Arial" w:cs="Arial" w:eastAsia="Arial" w:hAnsi="Arial"/>
          <w:sz w:val="7"/>
          <w:szCs w:val="7"/>
          <w:color w:val="FFFFFF"/>
        </w:rPr>
        <w:t>20108.9%Q49.0%20108.6%Q12011</w:t>
      </w:r>
    </w:p>
    <w:p>
      <w:pPr>
        <w:spacing w:after="0"/>
        <w:rPr>
          <w:sz w:val="20"/>
          <w:szCs w:val="20"/>
          <w:color w:val="auto"/>
        </w:rPr>
      </w:pPr>
      <w:r>
        <w:rPr>
          <w:rFonts w:ascii="Arial" w:cs="Arial" w:eastAsia="Arial" w:hAnsi="Arial"/>
          <w:sz w:val="3"/>
          <w:szCs w:val="3"/>
          <w:color w:val="FFFFFF"/>
        </w:rPr>
        <w:t>U.K. ShareShare12.0%8.2%13.8%.0%12.6%8.5%12.4%9.0% 8.2%12.6%</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GME deliveries and market share include unit sales of Chevrolets produced by GMIO and delivered to customers in GME. Revenue and associated costs of these unit sales are reported by GMIO 14</w:t>
      </w:r>
    </w:p>
    <w:p>
      <w:pPr>
        <w:sectPr>
          <w:pgSz w:w="11900" w:h="16838" w:orient="portrait"/>
          <w:cols w:equalWidth="0" w:num="1">
            <w:col w:w="10520"/>
          </w:cols>
          <w:pgMar w:left="240" w:top="1440" w:right="11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color w:val="FFFFFF"/>
        </w:rPr>
        <w:t>(GME$B) Earnings Before Interest &amp; Taxes</w:t>
      </w:r>
    </w:p>
    <w:p>
      <w:pPr>
        <w:spacing w:after="0"/>
        <w:rPr>
          <w:sz w:val="20"/>
          <w:szCs w:val="20"/>
          <w:color w:val="auto"/>
        </w:rPr>
      </w:pPr>
      <w:r>
        <w:rPr>
          <w:rFonts w:ascii="Arial" w:cs="Arial" w:eastAsia="Arial" w:hAnsi="Arial"/>
          <w:sz w:val="3"/>
          <w:szCs w:val="3"/>
          <w:color w:val="FFFFFF"/>
        </w:rPr>
        <w:t>3</w:t>
      </w:r>
    </w:p>
    <w:p>
      <w:pPr>
        <w:spacing w:after="0" w:line="194" w:lineRule="auto"/>
        <w:rPr>
          <w:sz w:val="20"/>
          <w:szCs w:val="20"/>
          <w:color w:val="auto"/>
        </w:rPr>
      </w:pPr>
      <w:r>
        <w:rPr>
          <w:rFonts w:ascii="Arial" w:cs="Arial" w:eastAsia="Arial" w:hAnsi="Arial"/>
          <w:sz w:val="5"/>
          <w:szCs w:val="5"/>
          <w:color w:val="FFFFFF"/>
        </w:rPr>
        <w:t>2</w:t>
      </w:r>
    </w:p>
    <w:p>
      <w:pPr>
        <w:spacing w:after="0" w:line="188" w:lineRule="auto"/>
        <w:rPr>
          <w:sz w:val="20"/>
          <w:szCs w:val="20"/>
          <w:color w:val="auto"/>
        </w:rPr>
      </w:pPr>
      <w:r>
        <w:rPr>
          <w:rFonts w:ascii="Arial" w:cs="Arial" w:eastAsia="Arial" w:hAnsi="Arial"/>
          <w:sz w:val="9"/>
          <w:szCs w:val="9"/>
          <w:color w:val="FFFFFF"/>
          <w:vertAlign w:val="superscript"/>
        </w:rPr>
        <w:t>1</w:t>
      </w:r>
      <w:r>
        <w:rPr>
          <w:rFonts w:ascii="Arial" w:cs="Arial" w:eastAsia="Arial" w:hAnsi="Arial"/>
          <w:sz w:val="7"/>
          <w:szCs w:val="7"/>
          <w:color w:val="FFFFFF"/>
        </w:rPr>
        <w:t>.0</w:t>
      </w:r>
    </w:p>
    <w:p>
      <w:pPr>
        <w:spacing w:after="0" w:line="187" w:lineRule="auto"/>
        <w:rPr>
          <w:sz w:val="20"/>
          <w:szCs w:val="20"/>
          <w:color w:val="auto"/>
        </w:rPr>
      </w:pPr>
      <w:r>
        <w:rPr>
          <w:rFonts w:ascii="Arial" w:cs="Arial" w:eastAsia="Arial" w:hAnsi="Arial"/>
          <w:sz w:val="9"/>
          <w:szCs w:val="9"/>
          <w:color w:val="FFFFFF"/>
        </w:rPr>
        <w:t>EBIT0-Adj.</w:t>
      </w:r>
    </w:p>
    <w:p>
      <w:pPr>
        <w:spacing w:after="0" w:line="213" w:lineRule="auto"/>
        <w:rPr>
          <w:sz w:val="20"/>
          <w:szCs w:val="20"/>
          <w:color w:val="auto"/>
        </w:rPr>
      </w:pPr>
      <w:r>
        <w:rPr>
          <w:rFonts w:ascii="Arial" w:cs="Arial" w:eastAsia="Arial" w:hAnsi="Arial"/>
          <w:sz w:val="2"/>
          <w:szCs w:val="2"/>
          <w:color w:val="FFFFFF"/>
        </w:rPr>
        <w:t>0.0</w:t>
      </w:r>
      <w:r>
        <w:rPr>
          <w:rFonts w:ascii="Arial" w:cs="Arial" w:eastAsia="Arial" w:hAnsi="Arial"/>
          <w:sz w:val="4"/>
          <w:szCs w:val="4"/>
          <w:color w:val="FFFFFF"/>
          <w:vertAlign w:val="superscript"/>
        </w:rPr>
        <w:t>4)</w:t>
      </w:r>
      <w:r>
        <w:rPr>
          <w:rFonts w:ascii="Arial" w:cs="Arial" w:eastAsia="Arial" w:hAnsi="Arial"/>
          <w:sz w:val="4"/>
          <w:szCs w:val="4"/>
          <w:color w:val="FFFFFF"/>
          <w:vertAlign w:val="subscript"/>
        </w:rPr>
        <w:t>5) (0.2)</w:t>
      </w:r>
    </w:p>
    <w:p>
      <w:pPr>
        <w:ind w:left="60"/>
        <w:spacing w:after="0" w:line="188" w:lineRule="auto"/>
        <w:rPr>
          <w:sz w:val="20"/>
          <w:szCs w:val="20"/>
          <w:color w:val="auto"/>
        </w:rPr>
      </w:pPr>
      <w:r>
        <w:rPr>
          <w:rFonts w:ascii="Arial" w:cs="Arial" w:eastAsia="Arial" w:hAnsi="Arial"/>
          <w:sz w:val="9"/>
          <w:szCs w:val="9"/>
          <w:color w:val="FFFFFF"/>
        </w:rPr>
        <w:t>0 6)</w:t>
      </w:r>
    </w:p>
    <w:p>
      <w:pPr>
        <w:jc w:val="right"/>
        <w:ind w:right="9359"/>
        <w:spacing w:after="0" w:line="211" w:lineRule="auto"/>
        <w:rPr>
          <w:sz w:val="20"/>
          <w:szCs w:val="20"/>
          <w:color w:val="auto"/>
        </w:rPr>
      </w:pPr>
      <w:r>
        <w:rPr>
          <w:rFonts w:ascii="Arial" w:cs="Arial" w:eastAsia="Arial" w:hAnsi="Arial"/>
          <w:sz w:val="4"/>
          <w:szCs w:val="4"/>
          <w:color w:val="FFFFFF"/>
          <w:vertAlign w:val="subscript"/>
        </w:rPr>
        <w:t>(1.0)</w:t>
      </w:r>
      <w:r>
        <w:rPr>
          <w:rFonts w:ascii="Arial" w:cs="Arial" w:eastAsia="Arial" w:hAnsi="Arial"/>
          <w:sz w:val="2"/>
          <w:szCs w:val="2"/>
          <w:color w:val="FFFFFF"/>
        </w:rPr>
        <w:t xml:space="preserve"> EBIT(0.6)-(0.6)Adj.</w:t>
      </w:r>
    </w:p>
    <w:p>
      <w:pPr>
        <w:spacing w:after="0"/>
        <w:rPr>
          <w:sz w:val="20"/>
          <w:szCs w:val="20"/>
          <w:color w:val="auto"/>
        </w:rPr>
      </w:pPr>
      <w:r>
        <w:rPr>
          <w:rFonts w:ascii="Arial" w:cs="Arial" w:eastAsia="Arial" w:hAnsi="Arial"/>
          <w:sz w:val="3"/>
          <w:szCs w:val="3"/>
          <w:color w:val="FFFFFF"/>
        </w:rPr>
        <w:t>Q1 Q2 Q3 Q4 Q1</w:t>
      </w:r>
    </w:p>
    <w:p>
      <w:pPr>
        <w:ind w:left="920"/>
        <w:spacing w:after="0" w:line="194" w:lineRule="auto"/>
        <w:rPr>
          <w:sz w:val="20"/>
          <w:szCs w:val="20"/>
          <w:color w:val="auto"/>
        </w:rPr>
      </w:pPr>
      <w:r>
        <w:rPr>
          <w:rFonts w:ascii="Arial" w:cs="Arial" w:eastAsia="Arial" w:hAnsi="Arial"/>
          <w:sz w:val="5"/>
          <w:szCs w:val="5"/>
          <w:color w:val="FFFFFF"/>
          <w:vertAlign w:val="superscript"/>
        </w:rPr>
        <w:t>2010</w:t>
      </w:r>
    </w:p>
    <w:p>
      <w:pPr>
        <w:spacing w:after="0" w:line="188" w:lineRule="auto"/>
        <w:rPr>
          <w:sz w:val="20"/>
          <w:szCs w:val="20"/>
          <w:color w:val="auto"/>
        </w:rPr>
      </w:pPr>
      <w:r>
        <w:rPr>
          <w:rFonts w:ascii="Arial" w:cs="Arial" w:eastAsia="Arial" w:hAnsi="Arial"/>
          <w:sz w:val="7"/>
          <w:szCs w:val="7"/>
          <w:color w:val="FFFFFF"/>
        </w:rPr>
        <w:t>Revenue20102010($2010B)5.5 6.  5.720116.9</w:t>
      </w:r>
      <w:r>
        <w:rPr>
          <w:rFonts w:ascii="Arial" w:cs="Arial" w:eastAsia="Arial" w:hAnsi="Arial"/>
          <w:sz w:val="9"/>
          <w:szCs w:val="9"/>
          <w:color w:val="FFFFFF"/>
          <w:vertAlign w:val="superscript"/>
        </w:rPr>
        <w:t>286</w:t>
      </w:r>
      <w:r>
        <w:rPr>
          <w:rFonts w:ascii="Arial" w:cs="Arial" w:eastAsia="Arial" w:hAnsi="Arial"/>
          <w:sz w:val="7"/>
          <w:szCs w:val="7"/>
          <w:color w:val="FFFFFF"/>
        </w:rPr>
        <w:t>.9</w:t>
      </w:r>
    </w:p>
    <w:p>
      <w:pPr>
        <w:spacing w:after="0" w:line="208" w:lineRule="auto"/>
        <w:tabs>
          <w:tab w:leader="none" w:pos="1740" w:val="left"/>
        </w:tabs>
        <w:rPr>
          <w:sz w:val="20"/>
          <w:szCs w:val="20"/>
          <w:color w:val="auto"/>
        </w:rPr>
      </w:pPr>
      <w:r>
        <w:rPr>
          <w:rFonts w:ascii="Arial" w:cs="Arial" w:eastAsia="Arial" w:hAnsi="Arial"/>
          <w:sz w:val="14"/>
          <w:szCs w:val="14"/>
          <w:color w:val="FFFFFF"/>
        </w:rPr>
        <w:t>15Production (000’s) 305 331</w:t>
      </w:r>
      <w:r>
        <w:rPr>
          <w:sz w:val="20"/>
          <w:szCs w:val="20"/>
          <w:color w:val="auto"/>
        </w:rPr>
        <w:tab/>
      </w:r>
      <w:r>
        <w:rPr>
          <w:rFonts w:ascii="Arial" w:cs="Arial" w:eastAsia="Arial" w:hAnsi="Arial"/>
          <w:sz w:val="12"/>
          <w:szCs w:val="12"/>
          <w:color w:val="FFFFFF"/>
        </w:rPr>
        <w:t>313 344</w:t>
      </w:r>
    </w:p>
    <w:p>
      <w:pPr>
        <w:sectPr>
          <w:pgSz w:w="11900" w:h="16838" w:orient="portrait"/>
          <w:cols w:equalWidth="0" w:num="1">
            <w:col w:w="10219"/>
          </w:cols>
          <w:pgMar w:left="240"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FFFFFF"/>
        </w:rPr>
        <w:t>GME Goodwill Impairment</w:t>
      </w:r>
    </w:p>
    <w:p>
      <w:pPr>
        <w:spacing w:after="0"/>
        <w:rPr>
          <w:sz w:val="20"/>
          <w:szCs w:val="20"/>
          <w:color w:val="auto"/>
        </w:rPr>
      </w:pPr>
      <w:r>
        <w:rPr>
          <w:rFonts w:ascii="Arial" w:cs="Arial" w:eastAsia="Arial" w:hAnsi="Arial"/>
          <w:sz w:val="3"/>
          <w:szCs w:val="3"/>
          <w:color w:val="FFFFFF"/>
        </w:rPr>
        <w:t>New GAAP accounting guidelines issued for testing goodwill impairment when reporting units have zero or negative equity effective Jan 1, 2011</w:t>
      </w:r>
    </w:p>
    <w:p>
      <w:pPr>
        <w:spacing w:after="0" w:line="181" w:lineRule="auto"/>
        <w:rPr>
          <w:sz w:val="20"/>
          <w:szCs w:val="20"/>
          <w:color w:val="auto"/>
        </w:rPr>
      </w:pPr>
      <w:r>
        <w:rPr>
          <w:rFonts w:ascii="Arial" w:cs="Arial" w:eastAsia="Arial" w:hAnsi="Arial"/>
          <w:sz w:val="10"/>
          <w:szCs w:val="10"/>
          <w:color w:val="FFFFFF"/>
        </w:rPr>
        <w:t>–GMEArosehadfromnegativefresh-equitystartaccountingand$3.1Bandof goodwillrelatedprimarilyatDec31,to 2010difference at July 2009, between fair value &amp; U.S. GAAP value of employee benefit plans</w:t>
      </w:r>
    </w:p>
    <w:p>
      <w:pPr>
        <w:ind w:left="9780"/>
        <w:spacing w:after="0"/>
        <w:rPr>
          <w:sz w:val="20"/>
          <w:szCs w:val="20"/>
          <w:color w:val="auto"/>
        </w:rPr>
      </w:pPr>
      <w:r>
        <w:rPr>
          <w:rFonts w:ascii="Arial" w:cs="Arial" w:eastAsia="Arial" w:hAnsi="Arial"/>
          <w:sz w:val="1"/>
          <w:szCs w:val="1"/>
          <w:color w:val="FFFFFF"/>
        </w:rPr>
        <w:t>Write15B-downwrite&amp;-downimpairmentofgoodwillrepresentdirectlyconvergencetoequity betweenJanfair1,201valueimplementationandU.S.GAAP value of such plans driven by convergence between GM borrowing rate and high quality bond rate</w:t>
      </w:r>
    </w:p>
    <w:p>
      <w:pPr>
        <w:spacing w:after="0" w:line="187" w:lineRule="auto"/>
        <w:tabs>
          <w:tab w:leader="none" w:pos="2720" w:val="left"/>
          <w:tab w:leader="none" w:pos="3460" w:val="left"/>
        </w:tabs>
        <w:rPr>
          <w:sz w:val="20"/>
          <w:szCs w:val="20"/>
          <w:color w:val="auto"/>
        </w:rPr>
      </w:pPr>
      <w:r>
        <w:rPr>
          <w:rFonts w:ascii="Arial" w:cs="Arial" w:eastAsia="Arial" w:hAnsi="Arial"/>
          <w:sz w:val="6"/>
          <w:szCs w:val="6"/>
          <w:color w:val="FFFFFF"/>
        </w:rPr>
        <w:t>– $0.4B</w:t>
      </w:r>
      <w:r>
        <w:rPr>
          <w:sz w:val="20"/>
          <w:szCs w:val="20"/>
          <w:color w:val="auto"/>
        </w:rPr>
        <w:tab/>
      </w:r>
      <w:r>
        <w:rPr>
          <w:rFonts w:ascii="Arial" w:cs="Arial" w:eastAsia="Arial" w:hAnsi="Arial"/>
          <w:sz w:val="9"/>
          <w:szCs w:val="9"/>
          <w:color w:val="FFFFFF"/>
        </w:rPr>
        <w:t>upon</w:t>
      </w:r>
      <w:r>
        <w:rPr>
          <w:sz w:val="20"/>
          <w:szCs w:val="20"/>
          <w:color w:val="auto"/>
        </w:rPr>
        <w:tab/>
      </w:r>
      <w:r>
        <w:rPr>
          <w:rFonts w:ascii="Arial" w:cs="Arial" w:eastAsia="Arial" w:hAnsi="Arial"/>
          <w:sz w:val="9"/>
          <w:szCs w:val="9"/>
          <w:color w:val="FFFFFF"/>
        </w:rPr>
        <w:t>201</w:t>
      </w:r>
    </w:p>
    <w:p>
      <w:pPr>
        <w:spacing w:after="0" w:line="188" w:lineRule="auto"/>
        <w:rPr>
          <w:sz w:val="20"/>
          <w:szCs w:val="20"/>
          <w:color w:val="auto"/>
        </w:rPr>
      </w:pPr>
      <w:r>
        <w:rPr>
          <w:rFonts w:ascii="Arial" w:cs="Arial" w:eastAsia="Arial" w:hAnsi="Arial"/>
          <w:sz w:val="9"/>
          <w:szCs w:val="9"/>
          <w:color w:val="FFFFFF"/>
        </w:rPr>
        <w:t>GME couldnon-experiencecashimpairmentfuture chargegoodwillto impairmentsEBITbased relatedMar to31,the above1testingfactors</w:t>
      </w:r>
    </w:p>
    <w:p>
      <w:pPr>
        <w:spacing w:after="0"/>
        <w:rPr>
          <w:sz w:val="20"/>
          <w:szCs w:val="20"/>
          <w:color w:val="auto"/>
        </w:rPr>
      </w:pPr>
      <w:r>
        <w:rPr>
          <w:rFonts w:ascii="Arial" w:cs="Arial" w:eastAsia="Arial" w:hAnsi="Arial"/>
          <w:sz w:val="14"/>
          <w:szCs w:val="14"/>
          <w:color w:val="FFFFFF"/>
        </w:rPr>
        <w:t>16–$1.3B of remaining GME goodwill as of Mar 31, 2011</w:t>
      </w:r>
    </w:p>
    <w:p>
      <w:pPr>
        <w:sectPr>
          <w:pgSz w:w="11900" w:h="16838" w:orient="portrait"/>
          <w:cols w:equalWidth="0" w:num="1">
            <w:col w:w="10219"/>
          </w:cols>
          <w:pgMar w:left="2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8"/>
          <w:szCs w:val="8"/>
          <w:color w:val="FFFFFF"/>
        </w:rPr>
        <w:t>Q1GME</w:t>
      </w:r>
      <w:r>
        <w:rPr>
          <w:rFonts w:ascii="Arial" w:cs="Arial" w:eastAsia="Arial" w:hAnsi="Arial"/>
          <w:sz w:val="12"/>
          <w:szCs w:val="12"/>
          <w:color w:val="FFFFFF"/>
          <w:vertAlign w:val="subscript"/>
        </w:rPr>
        <w:t>2010</w:t>
      </w:r>
      <w:r>
        <w:rPr>
          <w:rFonts w:ascii="Arial" w:cs="Arial" w:eastAsia="Arial" w:hAnsi="Arial"/>
          <w:sz w:val="8"/>
          <w:szCs w:val="8"/>
          <w:color w:val="FFFFFF"/>
        </w:rPr>
        <w:t>EBITEBIT— (Q1$B)2010 vs. Q1 2011</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FFFFFF"/>
        </w:rPr>
        <w:t>(0.5)  .  (0.6)</w:t>
      </w:r>
    </w:p>
    <w:p>
      <w:pPr>
        <w:spacing w:after="0" w:line="211" w:lineRule="auto"/>
        <w:rPr>
          <w:sz w:val="20"/>
          <w:szCs w:val="20"/>
          <w:color w:val="auto"/>
        </w:rPr>
      </w:pPr>
      <w:r>
        <w:rPr>
          <w:rFonts w:ascii="Arial" w:cs="Arial" w:eastAsia="Arial" w:hAnsi="Arial"/>
          <w:sz w:val="4"/>
          <w:szCs w:val="4"/>
          <w:color w:val="FFFFFF"/>
          <w:vertAlign w:val="subscript"/>
        </w:rPr>
        <w:t>$</w:t>
      </w:r>
      <w:r>
        <w:rPr>
          <w:rFonts w:ascii="Arial" w:cs="Arial" w:eastAsia="Arial" w:hAnsi="Arial"/>
          <w:sz w:val="2"/>
          <w:szCs w:val="2"/>
          <w:color w:val="FFFFFF"/>
        </w:rPr>
        <w:t>EBIT</w:t>
      </w:r>
      <w:r>
        <w:rPr>
          <w:rFonts w:ascii="Arial" w:cs="Arial" w:eastAsia="Arial" w:hAnsi="Arial"/>
          <w:sz w:val="4"/>
          <w:szCs w:val="4"/>
          <w:color w:val="FFFFFF"/>
          <w:vertAlign w:val="subscript"/>
        </w:rPr>
        <w:t>0</w:t>
      </w:r>
      <w:r>
        <w:rPr>
          <w:rFonts w:ascii="Arial" w:cs="Arial" w:eastAsia="Arial" w:hAnsi="Arial"/>
          <w:sz w:val="2"/>
          <w:szCs w:val="2"/>
          <w:color w:val="FFFFFF"/>
        </w:rPr>
        <w:t>.6B Less</w:t>
      </w:r>
      <w:r>
        <w:rPr>
          <w:rFonts w:ascii="Arial" w:cs="Arial" w:eastAsia="Arial" w:hAnsi="Arial"/>
          <w:sz w:val="4"/>
          <w:szCs w:val="4"/>
          <w:color w:val="FFFFFF"/>
          <w:vertAlign w:val="subscript"/>
        </w:rPr>
        <w:t>Improvement</w:t>
      </w:r>
      <w:r>
        <w:rPr>
          <w:rFonts w:ascii="Arial" w:cs="Arial" w:eastAsia="Arial" w:hAnsi="Arial"/>
          <w:sz w:val="2"/>
          <w:szCs w:val="2"/>
          <w:color w:val="FFFFFF"/>
        </w:rPr>
        <w:t>SpcialItems EBIT-Adj.</w:t>
      </w:r>
    </w:p>
    <w:p>
      <w:pPr>
        <w:ind w:left="80"/>
        <w:spacing w:after="0" w:line="188" w:lineRule="auto"/>
        <w:rPr>
          <w:sz w:val="20"/>
          <w:szCs w:val="20"/>
          <w:color w:val="auto"/>
        </w:rPr>
      </w:pPr>
      <w:r>
        <w:rPr>
          <w:rFonts w:ascii="Arial" w:cs="Arial" w:eastAsia="Arial" w:hAnsi="Arial"/>
          <w:sz w:val="9"/>
          <w:szCs w:val="9"/>
          <w:color w:val="FFFFFF"/>
        </w:rPr>
        <w:t>.2 0.0 0.2 0.2</w:t>
      </w:r>
    </w:p>
    <w:p>
      <w:pPr>
        <w:spacing w:after="0"/>
        <w:rPr>
          <w:sz w:val="20"/>
          <w:szCs w:val="20"/>
          <w:color w:val="auto"/>
        </w:rPr>
      </w:pPr>
      <w:r>
        <w:rPr>
          <w:rFonts w:ascii="Arial" w:cs="Arial" w:eastAsia="Arial" w:hAnsi="Arial"/>
          <w:sz w:val="3"/>
          <w:szCs w:val="3"/>
          <w:color w:val="FFFFFF"/>
        </w:rPr>
        <w:t>Q1Volume2011/ EBITMixPrice($B) Cost Other</w:t>
      </w:r>
    </w:p>
    <w:p>
      <w:pPr>
        <w:spacing w:after="0" w:line="181" w:lineRule="auto"/>
        <w:rPr>
          <w:sz w:val="20"/>
          <w:szCs w:val="20"/>
          <w:color w:val="auto"/>
        </w:rPr>
      </w:pPr>
      <w:r>
        <w:rPr>
          <w:rFonts w:ascii="Arial" w:cs="Arial" w:eastAsia="Arial" w:hAnsi="Arial"/>
          <w:sz w:val="10"/>
          <w:szCs w:val="10"/>
          <w:color w:val="FFFFFF"/>
        </w:rPr>
        <w:t>0.0 (0.4) (0.4)</w:t>
      </w:r>
    </w:p>
    <w:p>
      <w:pPr>
        <w:spacing w:after="0"/>
        <w:rPr>
          <w:sz w:val="20"/>
          <w:szCs w:val="20"/>
          <w:color w:val="auto"/>
        </w:rPr>
      </w:pPr>
      <w:r>
        <w:rPr>
          <w:rFonts w:ascii="Arial" w:cs="Arial" w:eastAsia="Arial" w:hAnsi="Arial"/>
          <w:sz w:val="12"/>
          <w:szCs w:val="12"/>
          <w:color w:val="FFFFFF"/>
        </w:rPr>
        <w:t>17EBIT-Adj. Plus Special Items EBIT</w:t>
      </w:r>
    </w:p>
    <w:p>
      <w:pPr>
        <w:sectPr>
          <w:pgSz w:w="11900" w:h="16838" w:orient="portrait"/>
          <w:cols w:equalWidth="0" w:num="1">
            <w:col w:w="10219"/>
          </w:cols>
          <w:pgMar w:left="2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FFFFFF"/>
        </w:rPr>
        <w:t>(000’s)GMIO Deliveries</w:t>
      </w:r>
    </w:p>
    <w:p>
      <w:pPr>
        <w:spacing w:after="0" w:line="211" w:lineRule="auto"/>
        <w:rPr>
          <w:sz w:val="20"/>
          <w:szCs w:val="20"/>
          <w:color w:val="auto"/>
        </w:rPr>
      </w:pPr>
      <w:r>
        <w:rPr>
          <w:rFonts w:ascii="Arial" w:cs="Arial" w:eastAsia="Arial" w:hAnsi="Arial"/>
          <w:sz w:val="4"/>
          <w:szCs w:val="4"/>
          <w:color w:val="FFFFFF"/>
          <w:vertAlign w:val="subscript"/>
        </w:rPr>
        <w:t>790</w:t>
      </w:r>
      <w:r>
        <w:rPr>
          <w:rFonts w:ascii="Arial" w:cs="Arial" w:eastAsia="Arial" w:hAnsi="Arial"/>
          <w:sz w:val="2"/>
          <w:szCs w:val="2"/>
          <w:color w:val="FFFFFF"/>
        </w:rPr>
        <w:t xml:space="preserve">900 </w:t>
      </w:r>
      <w:r>
        <w:rPr>
          <w:rFonts w:ascii="Arial" w:cs="Arial" w:eastAsia="Arial" w:hAnsi="Arial"/>
          <w:sz w:val="4"/>
          <w:szCs w:val="4"/>
          <w:color w:val="FFFFFF"/>
          <w:vertAlign w:val="subscript"/>
        </w:rPr>
        <w:t>765</w:t>
      </w:r>
      <w:r>
        <w:rPr>
          <w:rFonts w:ascii="Arial" w:cs="Arial" w:eastAsia="Arial" w:hAnsi="Arial"/>
          <w:sz w:val="2"/>
          <w:szCs w:val="2"/>
          <w:color w:val="FFFFFF"/>
        </w:rPr>
        <w:t>855</w:t>
      </w:r>
    </w:p>
    <w:p>
      <w:pPr>
        <w:spacing w:after="0" w:line="211" w:lineRule="auto"/>
        <w:tabs>
          <w:tab w:leader="none" w:pos="460" w:val="left"/>
        </w:tabs>
        <w:rPr>
          <w:sz w:val="20"/>
          <w:szCs w:val="20"/>
          <w:color w:val="auto"/>
        </w:rPr>
      </w:pPr>
      <w:r>
        <w:rPr>
          <w:rFonts w:ascii="Arial" w:cs="Arial" w:eastAsia="Arial" w:hAnsi="Arial"/>
          <w:sz w:val="4"/>
          <w:szCs w:val="4"/>
          <w:color w:val="FFFFFF"/>
          <w:vertAlign w:val="superscript"/>
        </w:rPr>
        <w:t>450</w:t>
      </w:r>
      <w:r>
        <w:rPr>
          <w:sz w:val="20"/>
          <w:szCs w:val="20"/>
          <w:color w:val="auto"/>
        </w:rPr>
        <w:tab/>
      </w:r>
      <w:r>
        <w:rPr>
          <w:rFonts w:ascii="Arial" w:cs="Arial" w:eastAsia="Arial" w:hAnsi="Arial"/>
          <w:sz w:val="2"/>
          <w:szCs w:val="2"/>
          <w:color w:val="FFFFFF"/>
        </w:rPr>
        <w:t xml:space="preserve">745 </w:t>
      </w:r>
      <w:r>
        <w:rPr>
          <w:rFonts w:ascii="Arial" w:cs="Arial" w:eastAsia="Arial" w:hAnsi="Arial"/>
          <w:sz w:val="4"/>
          <w:szCs w:val="4"/>
          <w:color w:val="FFFFFF"/>
          <w:vertAlign w:val="subscript"/>
        </w:rPr>
        <w:t>567</w:t>
      </w:r>
      <w:r>
        <w:rPr>
          <w:rFonts w:ascii="Arial" w:cs="Arial" w:eastAsia="Arial" w:hAnsi="Arial"/>
          <w:sz w:val="2"/>
          <w:szCs w:val="2"/>
          <w:color w:val="FFFFFF"/>
        </w:rPr>
        <w:t>777</w:t>
      </w:r>
    </w:p>
    <w:p>
      <w:pPr>
        <w:ind w:left="100"/>
        <w:spacing w:after="0" w:line="188" w:lineRule="auto"/>
        <w:tabs>
          <w:tab w:leader="none" w:pos="940" w:val="left"/>
        </w:tabs>
        <w:rPr>
          <w:sz w:val="20"/>
          <w:szCs w:val="20"/>
          <w:color w:val="auto"/>
        </w:rPr>
      </w:pPr>
      <w:r>
        <w:rPr>
          <w:rFonts w:ascii="Arial" w:cs="Arial" w:eastAsia="Arial" w:hAnsi="Arial"/>
          <w:sz w:val="9"/>
          <w:szCs w:val="9"/>
          <w:color w:val="FFFFFF"/>
          <w:vertAlign w:val="superscript"/>
        </w:rPr>
        <w:t>166</w:t>
      </w:r>
      <w:r>
        <w:rPr>
          <w:rFonts w:ascii="Arial" w:cs="Arial" w:eastAsia="Arial" w:hAnsi="Arial"/>
          <w:sz w:val="7"/>
          <w:szCs w:val="7"/>
          <w:color w:val="FFFFFF"/>
        </w:rPr>
        <w:t>24 586</w:t>
      </w:r>
      <w:r>
        <w:rPr>
          <w:sz w:val="20"/>
          <w:szCs w:val="20"/>
          <w:color w:val="auto"/>
        </w:rPr>
        <w:tab/>
      </w:r>
      <w:r>
        <w:rPr>
          <w:rFonts w:ascii="Arial" w:cs="Arial" w:eastAsia="Arial" w:hAnsi="Arial"/>
          <w:sz w:val="9"/>
          <w:szCs w:val="9"/>
          <w:color w:val="FFFFFF"/>
        </w:rPr>
        <w:t>576 686 China</w:t>
      </w:r>
    </w:p>
    <w:p>
      <w:pPr>
        <w:ind w:left="340"/>
        <w:spacing w:after="0"/>
        <w:rPr>
          <w:sz w:val="20"/>
          <w:szCs w:val="20"/>
          <w:color w:val="auto"/>
        </w:rPr>
      </w:pPr>
      <w:r>
        <w:rPr>
          <w:rFonts w:ascii="Arial" w:cs="Arial" w:eastAsia="Arial" w:hAnsi="Arial"/>
          <w:sz w:val="3"/>
          <w:szCs w:val="3"/>
          <w:color w:val="FFFFFF"/>
        </w:rPr>
        <w:t>179 178 201 169 GMIO Excl. China</w:t>
      </w:r>
    </w:p>
    <w:p>
      <w:pPr>
        <w:spacing w:after="0" w:line="181" w:lineRule="auto"/>
        <w:rPr>
          <w:sz w:val="20"/>
          <w:szCs w:val="20"/>
          <w:color w:val="auto"/>
        </w:rPr>
      </w:pPr>
      <w:r>
        <w:rPr>
          <w:rFonts w:ascii="Arial" w:cs="Arial" w:eastAsia="Arial" w:hAnsi="Arial"/>
          <w:sz w:val="10"/>
          <w:szCs w:val="10"/>
          <w:color w:val="FFFFFF"/>
        </w:rPr>
        <w:t>GMIOQ12010ShareQ2 20108.8%Q39.0%20108.7%Q4 8.6%2010 9.2%Q12011</w:t>
      </w:r>
    </w:p>
    <w:p>
      <w:pPr>
        <w:spacing w:after="0" w:line="188" w:lineRule="auto"/>
        <w:rPr>
          <w:sz w:val="20"/>
          <w:szCs w:val="20"/>
          <w:color w:val="auto"/>
        </w:rPr>
      </w:pPr>
      <w:r>
        <w:rPr>
          <w:rFonts w:ascii="Arial" w:cs="Arial" w:eastAsia="Arial" w:hAnsi="Arial"/>
          <w:sz w:val="9"/>
          <w:szCs w:val="9"/>
          <w:color w:val="FFFFFF"/>
        </w:rPr>
        <w:t>IndiaChinaShareShare4.2%13.3%4.0%13.1%3.0%13.6%3.4%11.6%3.2% 13.6%</w:t>
      </w:r>
    </w:p>
    <w:p>
      <w:pPr>
        <w:spacing w:after="0"/>
        <w:rPr>
          <w:sz w:val="20"/>
          <w:szCs w:val="20"/>
          <w:color w:val="auto"/>
        </w:rPr>
      </w:pPr>
      <w:r>
        <w:rPr>
          <w:rFonts w:ascii="Arial" w:cs="Arial" w:eastAsia="Arial" w:hAnsi="Arial"/>
          <w:sz w:val="11"/>
          <w:szCs w:val="11"/>
          <w:color w:val="FFFFFF"/>
        </w:rPr>
        <w:t>18Note: Prior results have been adjusted to reflect the breakout of GMSA separately</w:t>
      </w:r>
    </w:p>
    <w:p>
      <w:pPr>
        <w:sectPr>
          <w:pgSz w:w="11900" w:h="16838" w:orient="portrait"/>
          <w:cols w:equalWidth="0" w:num="1">
            <w:col w:w="10219"/>
          </w:cols>
          <w:pgMar w:left="2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6"/>
          </w:tcPr>
          <w:p>
            <w:pPr>
              <w:spacing w:after="0"/>
              <w:rPr>
                <w:sz w:val="20"/>
                <w:szCs w:val="20"/>
                <w:color w:val="auto"/>
              </w:rPr>
            </w:pPr>
            <w:r>
              <w:rPr>
                <w:rFonts w:ascii="Arial" w:cs="Arial" w:eastAsia="Arial" w:hAnsi="Arial"/>
                <w:sz w:val="14"/>
                <w:szCs w:val="14"/>
                <w:color w:val="FFFFFF"/>
              </w:rPr>
              <w:t>GMIO Earnings Before Interest &amp; Taxes</w:t>
            </w:r>
          </w:p>
        </w:tc>
        <w:tc>
          <w:tcPr>
            <w:tcW w:w="0" w:type="dxa"/>
            <w:vAlign w:val="bottom"/>
          </w:tcPr>
          <w:p>
            <w:pPr>
              <w:spacing w:after="0"/>
              <w:rPr>
                <w:sz w:val="1"/>
                <w:szCs w:val="1"/>
                <w:color w:val="auto"/>
              </w:rPr>
            </w:pPr>
          </w:p>
        </w:tc>
      </w:tr>
      <w:tr>
        <w:trPr>
          <w:trHeight w:val="41"/>
        </w:trPr>
        <w:tc>
          <w:tcPr>
            <w:tcW w:w="280" w:type="dxa"/>
            <w:vAlign w:val="bottom"/>
            <w:gridSpan w:val="2"/>
          </w:tcPr>
          <w:p>
            <w:pPr>
              <w:spacing w:after="0"/>
              <w:rPr>
                <w:sz w:val="20"/>
                <w:szCs w:val="20"/>
                <w:color w:val="auto"/>
              </w:rPr>
            </w:pPr>
            <w:r>
              <w:rPr>
                <w:rFonts w:ascii="Arial" w:cs="Arial" w:eastAsia="Arial" w:hAnsi="Arial"/>
                <w:sz w:val="3"/>
                <w:szCs w:val="3"/>
                <w:color w:val="FFFFFF"/>
              </w:rPr>
              <w:t>($B)</w:t>
            </w: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20"/>
                <w:szCs w:val="20"/>
                <w:color w:val="auto"/>
              </w:rPr>
            </w:pPr>
            <w:r>
              <w:rPr>
                <w:rFonts w:ascii="Arial" w:cs="Arial" w:eastAsia="Arial" w:hAnsi="Arial"/>
                <w:sz w:val="3"/>
                <w:szCs w:val="3"/>
                <w:color w:val="FFFFFF"/>
              </w:rPr>
              <w:t>3</w:t>
            </w: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20"/>
                <w:szCs w:val="20"/>
                <w:color w:val="auto"/>
              </w:rPr>
            </w:pPr>
            <w:r>
              <w:rPr>
                <w:rFonts w:ascii="Arial" w:cs="Arial" w:eastAsia="Arial" w:hAnsi="Arial"/>
                <w:sz w:val="3"/>
                <w:szCs w:val="3"/>
                <w:color w:val="FFFFFF"/>
              </w:rPr>
              <w:t>2</w:t>
            </w:r>
          </w:p>
        </w:tc>
        <w:tc>
          <w:tcPr>
            <w:tcW w:w="180" w:type="dxa"/>
            <w:vAlign w:val="bottom"/>
            <w:vMerge w:val="restart"/>
          </w:tcPr>
          <w:p>
            <w:pPr>
              <w:jc w:val="right"/>
              <w:ind w:right="69"/>
              <w:spacing w:after="0" w:line="81" w:lineRule="exact"/>
              <w:rPr>
                <w:sz w:val="20"/>
                <w:szCs w:val="20"/>
                <w:color w:val="auto"/>
              </w:rPr>
            </w:pPr>
            <w:r>
              <w:rPr>
                <w:rFonts w:ascii="Arial" w:cs="Arial" w:eastAsia="Arial" w:hAnsi="Arial"/>
                <w:sz w:val="9"/>
                <w:szCs w:val="9"/>
                <w:color w:val="FFFFFF"/>
              </w:rPr>
              <w:t>0</w:t>
            </w:r>
          </w:p>
        </w:tc>
        <w:tc>
          <w:tcPr>
            <w:tcW w:w="12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9</w:t>
            </w:r>
          </w:p>
        </w:tc>
        <w:tc>
          <w:tcPr>
            <w:tcW w:w="20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6</w:t>
            </w: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20"/>
                <w:szCs w:val="20"/>
                <w:color w:val="auto"/>
              </w:rPr>
            </w:pPr>
            <w:r>
              <w:rPr>
                <w:rFonts w:ascii="Arial" w:cs="Arial" w:eastAsia="Arial" w:hAnsi="Arial"/>
                <w:sz w:val="3"/>
                <w:szCs w:val="3"/>
                <w:color w:val="FFFFFF"/>
              </w:rPr>
              <w:t>1</w:t>
            </w:r>
          </w:p>
        </w:tc>
        <w:tc>
          <w:tcPr>
            <w:tcW w:w="1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2040" w:type="dxa"/>
            <w:vAlign w:val="bottom"/>
            <w:gridSpan w:val="2"/>
            <w:vMerge w:val="restart"/>
          </w:tcPr>
          <w:p>
            <w:pPr>
              <w:ind w:left="120"/>
              <w:spacing w:after="0" w:line="81" w:lineRule="exact"/>
              <w:rPr>
                <w:sz w:val="20"/>
                <w:szCs w:val="20"/>
                <w:color w:val="auto"/>
              </w:rPr>
            </w:pPr>
            <w:r>
              <w:rPr>
                <w:rFonts w:ascii="Arial" w:cs="Arial" w:eastAsia="Arial" w:hAnsi="Arial"/>
                <w:sz w:val="9"/>
                <w:szCs w:val="9"/>
                <w:color w:val="FFFFFF"/>
              </w:rPr>
              <w:t>3 0.5 EBIT-Adj.</w:t>
            </w: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jc w:val="right"/>
              <w:spacing w:after="0"/>
              <w:rPr>
                <w:sz w:val="20"/>
                <w:szCs w:val="20"/>
                <w:color w:val="auto"/>
              </w:rPr>
            </w:pPr>
            <w:r>
              <w:rPr>
                <w:rFonts w:ascii="Arial" w:cs="Arial" w:eastAsia="Arial" w:hAnsi="Arial"/>
                <w:sz w:val="3"/>
                <w:szCs w:val="3"/>
                <w:color w:val="FFFFFF"/>
              </w:rPr>
              <w:t>5</w:t>
            </w:r>
          </w:p>
        </w:tc>
        <w:tc>
          <w:tcPr>
            <w:tcW w:w="200" w:type="dxa"/>
            <w:vAlign w:val="bottom"/>
          </w:tcPr>
          <w:p>
            <w:pPr>
              <w:jc w:val="right"/>
              <w:spacing w:after="0"/>
              <w:rPr>
                <w:sz w:val="20"/>
                <w:szCs w:val="20"/>
                <w:color w:val="auto"/>
              </w:rPr>
            </w:pPr>
            <w:r>
              <w:rPr>
                <w:rFonts w:ascii="Arial" w:cs="Arial" w:eastAsia="Arial" w:hAnsi="Arial"/>
                <w:sz w:val="3"/>
                <w:szCs w:val="3"/>
                <w:color w:val="FFFFFF"/>
              </w:rPr>
              <w:t>5</w:t>
            </w:r>
          </w:p>
        </w:tc>
        <w:tc>
          <w:tcPr>
            <w:tcW w:w="20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300" w:type="dxa"/>
            <w:vAlign w:val="bottom"/>
            <w:gridSpan w:val="2"/>
          </w:tcPr>
          <w:p>
            <w:pPr>
              <w:jc w:val="right"/>
              <w:spacing w:after="0"/>
              <w:rPr>
                <w:sz w:val="20"/>
                <w:szCs w:val="20"/>
                <w:color w:val="auto"/>
              </w:rPr>
            </w:pPr>
            <w:r>
              <w:rPr>
                <w:rFonts w:ascii="Arial" w:cs="Arial" w:eastAsia="Arial" w:hAnsi="Arial"/>
                <w:sz w:val="3"/>
                <w:szCs w:val="3"/>
                <w:color w:val="FFFFFF"/>
              </w:rPr>
              <w:t>4 0.3</w:t>
            </w:r>
          </w:p>
        </w:tc>
        <w:tc>
          <w:tcPr>
            <w:tcW w:w="200" w:type="dxa"/>
            <w:vAlign w:val="bottom"/>
          </w:tcPr>
          <w:p>
            <w:pPr>
              <w:jc w:val="right"/>
              <w:spacing w:after="0"/>
              <w:rPr>
                <w:sz w:val="20"/>
                <w:szCs w:val="20"/>
                <w:color w:val="auto"/>
              </w:rPr>
            </w:pPr>
            <w:r>
              <w:rPr>
                <w:rFonts w:ascii="Arial" w:cs="Arial" w:eastAsia="Arial" w:hAnsi="Arial"/>
                <w:sz w:val="3"/>
                <w:szCs w:val="3"/>
                <w:color w:val="FFFFFF"/>
              </w:rPr>
              <w:t>0.2</w:t>
            </w:r>
          </w:p>
        </w:tc>
        <w:tc>
          <w:tcPr>
            <w:tcW w:w="700" w:type="dxa"/>
            <w:vAlign w:val="bottom"/>
          </w:tcPr>
          <w:p>
            <w:pPr>
              <w:ind w:left="20"/>
              <w:spacing w:after="0"/>
              <w:rPr>
                <w:sz w:val="20"/>
                <w:szCs w:val="20"/>
                <w:color w:val="auto"/>
              </w:rPr>
            </w:pPr>
            <w:r>
              <w:rPr>
                <w:rFonts w:ascii="Arial" w:cs="Arial" w:eastAsia="Arial" w:hAnsi="Arial"/>
                <w:sz w:val="3"/>
                <w:szCs w:val="3"/>
                <w:color w:val="FFFFFF"/>
              </w:rPr>
              <w:t>0.4</w:t>
            </w: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 w:type="dxa"/>
            <w:vAlign w:val="bottom"/>
            <w:gridSpan w:val="2"/>
          </w:tcPr>
          <w:p>
            <w:pPr>
              <w:spacing w:after="0"/>
              <w:rPr>
                <w:sz w:val="20"/>
                <w:szCs w:val="20"/>
                <w:color w:val="auto"/>
              </w:rPr>
            </w:pPr>
            <w:r>
              <w:rPr>
                <w:rFonts w:ascii="Arial" w:cs="Arial" w:eastAsia="Arial" w:hAnsi="Arial"/>
                <w:sz w:val="3"/>
                <w:szCs w:val="3"/>
                <w:color w:val="FFFFFF"/>
              </w:rPr>
              <w:t>0.0</w:t>
            </w: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gridSpan w:val="5"/>
          </w:tcPr>
          <w:p>
            <w:pPr>
              <w:spacing w:after="0"/>
              <w:rPr>
                <w:sz w:val="20"/>
                <w:szCs w:val="20"/>
                <w:color w:val="auto"/>
              </w:rPr>
            </w:pPr>
            <w:r>
              <w:rPr>
                <w:rFonts w:ascii="Arial" w:cs="Arial" w:eastAsia="Arial" w:hAnsi="Arial"/>
                <w:sz w:val="3"/>
                <w:szCs w:val="3"/>
                <w:color w:val="FFFFFF"/>
              </w:rPr>
              <w:t>Equity Income</w:t>
            </w: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 w:type="dxa"/>
            <w:vAlign w:val="bottom"/>
            <w:gridSpan w:val="2"/>
          </w:tcPr>
          <w:p>
            <w:pPr>
              <w:spacing w:after="0"/>
              <w:rPr>
                <w:sz w:val="20"/>
                <w:szCs w:val="20"/>
                <w:color w:val="auto"/>
              </w:rPr>
            </w:pPr>
            <w:r>
              <w:rPr>
                <w:rFonts w:ascii="Arial" w:cs="Arial" w:eastAsia="Arial" w:hAnsi="Arial"/>
                <w:sz w:val="3"/>
                <w:szCs w:val="3"/>
                <w:color w:val="FFFFFF"/>
              </w:rPr>
              <w:t>(1.0)</w:t>
            </w: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gridSpan w:val="5"/>
          </w:tcPr>
          <w:p>
            <w:pPr>
              <w:spacing w:after="0"/>
              <w:rPr>
                <w:sz w:val="20"/>
                <w:szCs w:val="20"/>
                <w:color w:val="auto"/>
              </w:rPr>
            </w:pPr>
            <w:r>
              <w:rPr>
                <w:rFonts w:ascii="Arial" w:cs="Arial" w:eastAsia="Arial" w:hAnsi="Arial"/>
                <w:sz w:val="3"/>
                <w:szCs w:val="3"/>
                <w:color w:val="FFFFFF"/>
              </w:rPr>
              <w:t>Q1 Q2 Q3 Q4 Q1</w:t>
            </w:r>
          </w:p>
        </w:tc>
        <w:tc>
          <w:tcPr>
            <w:tcW w:w="1340" w:type="dxa"/>
            <w:vAlign w:val="bottom"/>
            <w:vMerge w:val="restart"/>
          </w:tcPr>
          <w:p>
            <w:pPr>
              <w:jc w:val="right"/>
              <w:ind w:right="1115"/>
              <w:spacing w:after="0" w:line="81" w:lineRule="exact"/>
              <w:rPr>
                <w:sz w:val="20"/>
                <w:szCs w:val="20"/>
                <w:color w:val="auto"/>
              </w:rPr>
            </w:pPr>
            <w:r>
              <w:rPr>
                <w:rFonts w:ascii="Arial" w:cs="Arial" w:eastAsia="Arial" w:hAnsi="Arial"/>
                <w:sz w:val="9"/>
                <w:szCs w:val="9"/>
                <w:color w:val="FFFFFF"/>
              </w:rPr>
              <w:t>1</w:t>
            </w:r>
          </w:p>
        </w:tc>
        <w:tc>
          <w:tcPr>
            <w:tcW w:w="0" w:type="dxa"/>
            <w:vAlign w:val="bottom"/>
          </w:tcPr>
          <w:p>
            <w:pPr>
              <w:spacing w:after="0"/>
              <w:rPr>
                <w:sz w:val="1"/>
                <w:szCs w:val="1"/>
                <w:color w:val="auto"/>
              </w:rPr>
            </w:pPr>
          </w:p>
        </w:tc>
      </w:tr>
      <w:tr>
        <w:trPr>
          <w:trHeight w:val="41"/>
        </w:trPr>
        <w:tc>
          <w:tcPr>
            <w:tcW w:w="600" w:type="dxa"/>
            <w:vAlign w:val="bottom"/>
            <w:gridSpan w:val="4"/>
          </w:tcPr>
          <w:p>
            <w:pPr>
              <w:spacing w:after="0"/>
              <w:rPr>
                <w:sz w:val="20"/>
                <w:szCs w:val="20"/>
                <w:color w:val="auto"/>
              </w:rPr>
            </w:pPr>
            <w:r>
              <w:rPr>
                <w:rFonts w:ascii="Arial" w:cs="Arial" w:eastAsia="Arial" w:hAnsi="Arial"/>
                <w:sz w:val="3"/>
                <w:szCs w:val="3"/>
                <w:color w:val="FFFFFF"/>
              </w:rPr>
              <w:t>2010 2010</w:t>
            </w:r>
          </w:p>
        </w:tc>
        <w:tc>
          <w:tcPr>
            <w:tcW w:w="700" w:type="dxa"/>
            <w:vAlign w:val="bottom"/>
          </w:tcPr>
          <w:p>
            <w:pPr>
              <w:ind w:left="20"/>
              <w:spacing w:after="0"/>
              <w:rPr>
                <w:sz w:val="20"/>
                <w:szCs w:val="20"/>
                <w:color w:val="auto"/>
              </w:rPr>
            </w:pPr>
            <w:r>
              <w:rPr>
                <w:rFonts w:ascii="Arial" w:cs="Arial" w:eastAsia="Arial" w:hAnsi="Arial"/>
                <w:sz w:val="3"/>
                <w:szCs w:val="3"/>
                <w:color w:val="FFFFFF"/>
              </w:rPr>
              <w:t>2010 2010</w:t>
            </w:r>
          </w:p>
        </w:tc>
        <w:tc>
          <w:tcPr>
            <w:tcW w:w="1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6"/>
          </w:tcPr>
          <w:p>
            <w:pPr>
              <w:spacing w:after="0"/>
              <w:rPr>
                <w:sz w:val="20"/>
                <w:szCs w:val="20"/>
                <w:color w:val="auto"/>
              </w:rPr>
            </w:pPr>
            <w:r>
              <w:rPr>
                <w:rFonts w:ascii="Arial" w:cs="Arial" w:eastAsia="Arial" w:hAnsi="Arial"/>
                <w:sz w:val="3"/>
                <w:szCs w:val="3"/>
                <w:color w:val="FFFFFF"/>
              </w:rPr>
              <w:t>Revenue ($B) 5.0 5.3 5.2016.1 5.4</w:t>
            </w:r>
          </w:p>
        </w:tc>
        <w:tc>
          <w:tcPr>
            <w:tcW w:w="0" w:type="dxa"/>
            <w:vAlign w:val="bottom"/>
          </w:tcPr>
          <w:p>
            <w:pPr>
              <w:spacing w:after="0"/>
              <w:rPr>
                <w:sz w:val="1"/>
                <w:szCs w:val="1"/>
                <w:color w:val="auto"/>
              </w:rPr>
            </w:pPr>
          </w:p>
        </w:tc>
      </w:tr>
      <w:tr>
        <w:trPr>
          <w:trHeight w:val="41"/>
        </w:trPr>
        <w:tc>
          <w:tcPr>
            <w:tcW w:w="2640" w:type="dxa"/>
            <w:vAlign w:val="bottom"/>
            <w:gridSpan w:val="6"/>
          </w:tcPr>
          <w:p>
            <w:pPr>
              <w:spacing w:after="0"/>
              <w:rPr>
                <w:sz w:val="20"/>
                <w:szCs w:val="20"/>
                <w:color w:val="auto"/>
              </w:rPr>
            </w:pPr>
            <w:r>
              <w:rPr>
                <w:rFonts w:ascii="Arial" w:cs="Arial" w:eastAsia="Arial" w:hAnsi="Arial"/>
                <w:sz w:val="3"/>
                <w:szCs w:val="3"/>
                <w:color w:val="FFFFFF"/>
              </w:rPr>
              <w:t>Co solidated Prod. (000’s) 248 268 235 265 257</w:t>
            </w:r>
          </w:p>
        </w:tc>
        <w:tc>
          <w:tcPr>
            <w:tcW w:w="0" w:type="dxa"/>
            <w:vAlign w:val="bottom"/>
          </w:tcPr>
          <w:p>
            <w:pPr>
              <w:spacing w:after="0"/>
              <w:rPr>
                <w:sz w:val="1"/>
                <w:szCs w:val="1"/>
                <w:color w:val="auto"/>
              </w:rPr>
            </w:pPr>
          </w:p>
        </w:tc>
      </w:tr>
      <w:tr>
        <w:trPr>
          <w:trHeight w:val="0"/>
        </w:trPr>
        <w:tc>
          <w:tcPr>
            <w:tcW w:w="280" w:type="dxa"/>
            <w:vAlign w:val="bottom"/>
            <w:gridSpan w:val="2"/>
          </w:tcPr>
          <w:p>
            <w:pPr>
              <w:spacing w:after="0"/>
              <w:rPr>
                <w:sz w:val="20"/>
                <w:szCs w:val="20"/>
                <w:color w:val="auto"/>
              </w:rPr>
            </w:pPr>
            <w:r>
              <w:rPr>
                <w:rFonts w:ascii="Arial" w:cs="Arial" w:eastAsia="Arial" w:hAnsi="Arial"/>
                <w:sz w:val="3"/>
                <w:szCs w:val="3"/>
                <w:color w:val="FFFFFF"/>
              </w:rPr>
              <w:t>Joint</w:t>
            </w:r>
          </w:p>
        </w:tc>
        <w:tc>
          <w:tcPr>
            <w:tcW w:w="2360" w:type="dxa"/>
            <w:vAlign w:val="bottom"/>
            <w:gridSpan w:val="4"/>
          </w:tcPr>
          <w:p>
            <w:pPr>
              <w:jc w:val="right"/>
              <w:spacing w:after="0"/>
              <w:rPr>
                <w:sz w:val="20"/>
                <w:szCs w:val="20"/>
                <w:color w:val="auto"/>
              </w:rPr>
            </w:pPr>
            <w:r>
              <w:rPr>
                <w:rFonts w:ascii="Arial" w:cs="Arial" w:eastAsia="Arial" w:hAnsi="Arial"/>
                <w:sz w:val="3"/>
                <w:szCs w:val="3"/>
                <w:color w:val="FFFFFF"/>
              </w:rPr>
              <w:t>Venture Prod. (000’s) 654 697 631 747 709</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Total Production (000’s) 902 965 866 1,012 966</w:t>
      </w:r>
    </w:p>
    <w:p>
      <w:pPr>
        <w:spacing w:after="0"/>
        <w:rPr>
          <w:sz w:val="20"/>
          <w:szCs w:val="20"/>
          <w:color w:val="auto"/>
        </w:rPr>
      </w:pPr>
      <w:r>
        <w:rPr>
          <w:rFonts w:ascii="Arial" w:cs="Arial" w:eastAsia="Arial" w:hAnsi="Arial"/>
          <w:sz w:val="12"/>
          <w:szCs w:val="12"/>
          <w:color w:val="FFFFFF"/>
        </w:rPr>
        <w:t>Note: Prior results have been adjusted to reflect the breakout of GMSA separately 19</w:t>
      </w:r>
    </w:p>
    <w:p>
      <w:pPr>
        <w:sectPr>
          <w:pgSz w:w="11900" w:h="16838" w:orient="portrait"/>
          <w:cols w:equalWidth="0" w:num="1">
            <w:col w:w="10219"/>
          </w:cols>
          <w:pgMar w:left="2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00"/>
        <w:spacing w:after="0"/>
        <w:rPr>
          <w:sz w:val="20"/>
          <w:szCs w:val="20"/>
          <w:color w:val="auto"/>
        </w:rPr>
      </w:pPr>
      <w:r>
        <w:rPr>
          <w:rFonts w:ascii="Arial" w:cs="Arial" w:eastAsia="Arial" w:hAnsi="Arial"/>
          <w:sz w:val="27"/>
          <w:szCs w:val="27"/>
          <w:color w:val="FFFFFF"/>
          <w:vertAlign w:val="superscript"/>
        </w:rPr>
        <w:t>Q1</w:t>
      </w:r>
    </w:p>
    <w:p>
      <w:pPr>
        <w:spacing w:after="0"/>
        <w:tabs>
          <w:tab w:leader="none" w:pos="1080" w:val="left"/>
        </w:tabs>
        <w:rPr>
          <w:sz w:val="20"/>
          <w:szCs w:val="20"/>
          <w:color w:val="auto"/>
        </w:rPr>
      </w:pPr>
      <w:r>
        <w:rPr>
          <w:rFonts w:ascii="Arial" w:cs="Arial" w:eastAsia="Arial" w:hAnsi="Arial"/>
          <w:sz w:val="3"/>
          <w:szCs w:val="3"/>
          <w:color w:val="FFFFFF"/>
        </w:rPr>
        <w:t>Q1GMIO2010EBITQ1 201—</w:t>
      </w:r>
      <w:r>
        <w:rPr>
          <w:sz w:val="20"/>
          <w:szCs w:val="20"/>
          <w:color w:val="auto"/>
        </w:rPr>
        <w:tab/>
      </w:r>
      <w:r>
        <w:rPr>
          <w:rFonts w:ascii="Arial" w:cs="Arial" w:eastAsia="Arial" w:hAnsi="Arial"/>
          <w:sz w:val="3"/>
          <w:szCs w:val="3"/>
          <w:color w:val="FFFFFF"/>
        </w:rPr>
        <w:t>2010 vs. Q1 2011</w:t>
      </w:r>
    </w:p>
    <w:p>
      <w:pPr>
        <w:spacing w:after="0" w:line="194" w:lineRule="auto"/>
        <w:rPr>
          <w:sz w:val="20"/>
          <w:szCs w:val="20"/>
          <w:color w:val="auto"/>
        </w:rPr>
      </w:pPr>
      <w:r>
        <w:rPr>
          <w:rFonts w:ascii="Arial" w:cs="Arial" w:eastAsia="Arial" w:hAnsi="Arial"/>
          <w:sz w:val="5"/>
          <w:szCs w:val="5"/>
          <w:color w:val="FFFFFF"/>
        </w:rPr>
        <w:t>EBIT($B) $0.3B Reduction EBIT ($B)</w:t>
      </w:r>
    </w:p>
    <w:p>
      <w:pPr>
        <w:spacing w:after="0"/>
        <w:rPr>
          <w:sz w:val="20"/>
          <w:szCs w:val="20"/>
          <w:color w:val="auto"/>
        </w:rPr>
      </w:pPr>
      <w:r>
        <w:rPr>
          <w:rFonts w:ascii="Arial" w:cs="Arial" w:eastAsia="Arial" w:hAnsi="Arial"/>
          <w:sz w:val="7"/>
          <w:szCs w:val="7"/>
          <w:color w:val="FFFFFF"/>
        </w:rPr>
        <w:t>0.EBIT90.0Less0.9 (0.1)Special0.0Items(0.3) EBIT0.10.6-Adj.(0.1) 0.5</w:t>
      </w:r>
    </w:p>
    <w:p>
      <w:pPr>
        <w:spacing w:after="0" w:line="212" w:lineRule="auto"/>
        <w:rPr>
          <w:sz w:val="20"/>
          <w:szCs w:val="20"/>
          <w:color w:val="auto"/>
        </w:rPr>
      </w:pPr>
      <w:r>
        <w:rPr>
          <w:rFonts w:ascii="Arial" w:cs="Arial" w:eastAsia="Arial" w:hAnsi="Arial"/>
          <w:sz w:val="8"/>
          <w:szCs w:val="8"/>
          <w:color w:val="FFFFFF"/>
        </w:rPr>
        <w:t>EBITVolume-Adj./MixPlusPriceSpecialCostItemsOtherEBIT</w:t>
      </w:r>
    </w:p>
    <w:p>
      <w:pPr>
        <w:spacing w:after="0"/>
        <w:rPr>
          <w:sz w:val="20"/>
          <w:szCs w:val="20"/>
          <w:color w:val="auto"/>
        </w:rPr>
      </w:pPr>
      <w:r>
        <w:rPr>
          <w:rFonts w:ascii="Arial" w:cs="Arial" w:eastAsia="Arial" w:hAnsi="Arial"/>
          <w:sz w:val="14"/>
          <w:szCs w:val="14"/>
          <w:color w:val="FFFFFF"/>
        </w:rPr>
        <w:t>20</w:t>
      </w:r>
    </w:p>
    <w:p>
      <w:pPr>
        <w:sectPr>
          <w:pgSz w:w="11900" w:h="16838" w:orient="portrait"/>
          <w:cols w:equalWidth="0" w:num="1">
            <w:col w:w="10219"/>
          </w:cols>
          <w:pgMar w:left="240" w:top="1440"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5"/>
          </w:tcPr>
          <w:p>
            <w:pPr>
              <w:spacing w:after="0"/>
              <w:rPr>
                <w:sz w:val="20"/>
                <w:szCs w:val="20"/>
                <w:color w:val="auto"/>
              </w:rPr>
            </w:pPr>
            <w:r>
              <w:rPr>
                <w:rFonts w:ascii="Arial" w:cs="Arial" w:eastAsia="Arial" w:hAnsi="Arial"/>
                <w:sz w:val="14"/>
                <w:szCs w:val="14"/>
                <w:color w:val="FFFFFF"/>
              </w:rPr>
              <w:t>GMSA Deliveries</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20"/>
                <w:szCs w:val="20"/>
                <w:color w:val="auto"/>
              </w:rPr>
            </w:pPr>
            <w:r>
              <w:rPr>
                <w:rFonts w:ascii="Arial" w:cs="Arial" w:eastAsia="Arial" w:hAnsi="Arial"/>
                <w:sz w:val="3"/>
                <w:szCs w:val="3"/>
                <w:color w:val="FFFFFF"/>
              </w:rPr>
              <w:t>(000’s)</w:t>
            </w: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20"/>
                <w:szCs w:val="20"/>
                <w:color w:val="auto"/>
              </w:rPr>
            </w:pPr>
            <w:r>
              <w:rPr>
                <w:rFonts w:ascii="Arial" w:cs="Arial" w:eastAsia="Arial" w:hAnsi="Arial"/>
                <w:sz w:val="3"/>
                <w:szCs w:val="3"/>
                <w:color w:val="FFFFFF"/>
              </w:rPr>
              <w:t>900</w:t>
            </w: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20"/>
                <w:szCs w:val="20"/>
                <w:color w:val="auto"/>
              </w:rPr>
            </w:pPr>
            <w:r>
              <w:rPr>
                <w:rFonts w:ascii="Arial" w:cs="Arial" w:eastAsia="Arial" w:hAnsi="Arial"/>
                <w:sz w:val="3"/>
                <w:szCs w:val="3"/>
                <w:color w:val="FFFFFF"/>
              </w:rPr>
              <w:t>450</w:t>
            </w:r>
          </w:p>
        </w:tc>
        <w:tc>
          <w:tcPr>
            <w:tcW w:w="120" w:type="dxa"/>
            <w:vAlign w:val="bottom"/>
          </w:tcPr>
          <w:p>
            <w:pPr>
              <w:spacing w:after="0"/>
              <w:rPr>
                <w:sz w:val="3"/>
                <w:szCs w:val="3"/>
                <w:color w:val="auto"/>
              </w:rPr>
            </w:pPr>
          </w:p>
        </w:tc>
        <w:tc>
          <w:tcPr>
            <w:tcW w:w="24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8 2</w:t>
            </w:r>
          </w:p>
        </w:tc>
        <w:tc>
          <w:tcPr>
            <w:tcW w:w="360" w:type="dxa"/>
            <w:vAlign w:val="bottom"/>
            <w:gridSpan w:val="2"/>
            <w:vMerge w:val="restart"/>
          </w:tcPr>
          <w:p>
            <w:pPr>
              <w:jc w:val="right"/>
              <w:spacing w:after="0" w:line="81" w:lineRule="exact"/>
              <w:rPr>
                <w:sz w:val="20"/>
                <w:szCs w:val="20"/>
                <w:color w:val="auto"/>
              </w:rPr>
            </w:pPr>
            <w:r>
              <w:rPr>
                <w:rFonts w:ascii="Arial" w:cs="Arial" w:eastAsia="Arial" w:hAnsi="Arial"/>
                <w:sz w:val="9"/>
                <w:szCs w:val="9"/>
                <w:color w:val="FFFFFF"/>
              </w:rPr>
              <w:t>5 250</w:t>
            </w:r>
          </w:p>
        </w:tc>
        <w:tc>
          <w:tcPr>
            <w:tcW w:w="1300" w:type="dxa"/>
            <w:vAlign w:val="bottom"/>
            <w:vMerge w:val="restart"/>
          </w:tcPr>
          <w:p>
            <w:pPr>
              <w:spacing w:after="0" w:line="81" w:lineRule="exact"/>
              <w:rPr>
                <w:sz w:val="20"/>
                <w:szCs w:val="20"/>
                <w:color w:val="auto"/>
              </w:rPr>
            </w:pPr>
            <w:r>
              <w:rPr>
                <w:rFonts w:ascii="Arial" w:cs="Arial" w:eastAsia="Arial" w:hAnsi="Arial"/>
                <w:sz w:val="9"/>
                <w:szCs w:val="9"/>
                <w:color w:val="FFFFFF"/>
              </w:rPr>
              <w:t>Brazil</w:t>
            </w:r>
          </w:p>
        </w:tc>
        <w:tc>
          <w:tcPr>
            <w:tcW w:w="0" w:type="dxa"/>
            <w:vAlign w:val="bottom"/>
          </w:tcPr>
          <w:p>
            <w:pPr>
              <w:spacing w:after="0"/>
              <w:rPr>
                <w:sz w:val="1"/>
                <w:szCs w:val="1"/>
                <w:color w:val="auto"/>
              </w:rPr>
            </w:pPr>
          </w:p>
        </w:tc>
      </w:tr>
      <w:tr>
        <w:trPr>
          <w:trHeight w:val="41"/>
        </w:trPr>
        <w:tc>
          <w:tcPr>
            <w:tcW w:w="580" w:type="dxa"/>
            <w:vAlign w:val="bottom"/>
            <w:gridSpan w:val="2"/>
          </w:tcPr>
          <w:p>
            <w:pPr>
              <w:spacing w:after="0"/>
              <w:rPr>
                <w:sz w:val="20"/>
                <w:szCs w:val="20"/>
                <w:color w:val="auto"/>
              </w:rPr>
            </w:pPr>
            <w:r>
              <w:rPr>
                <w:rFonts w:ascii="Arial" w:cs="Arial" w:eastAsia="Arial" w:hAnsi="Arial"/>
                <w:sz w:val="3"/>
                <w:szCs w:val="3"/>
                <w:color w:val="FFFFFF"/>
              </w:rPr>
              <w:t>241 231 2</w:t>
            </w:r>
          </w:p>
        </w:tc>
        <w:tc>
          <w:tcPr>
            <w:tcW w:w="240" w:type="dxa"/>
            <w:vAlign w:val="bottom"/>
            <w:vMerge w:val="continue"/>
          </w:tcPr>
          <w:p>
            <w:pPr>
              <w:spacing w:after="0"/>
              <w:rPr>
                <w:sz w:val="3"/>
                <w:szCs w:val="3"/>
                <w:color w:val="auto"/>
              </w:rPr>
            </w:pPr>
          </w:p>
        </w:tc>
        <w:tc>
          <w:tcPr>
            <w:tcW w:w="360" w:type="dxa"/>
            <w:vAlign w:val="bottom"/>
            <w:gridSpan w:val="2"/>
            <w:vMerge w:val="continue"/>
          </w:tcPr>
          <w:p>
            <w:pPr>
              <w:spacing w:after="0"/>
              <w:rPr>
                <w:sz w:val="3"/>
                <w:szCs w:val="3"/>
                <w:color w:val="auto"/>
              </w:rPr>
            </w:pPr>
          </w:p>
        </w:tc>
        <w:tc>
          <w:tcPr>
            <w:tcW w:w="1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20"/>
                <w:szCs w:val="20"/>
                <w:color w:val="auto"/>
              </w:rPr>
            </w:pPr>
            <w:r>
              <w:rPr>
                <w:rFonts w:ascii="Arial" w:cs="Arial" w:eastAsia="Arial" w:hAnsi="Arial"/>
                <w:sz w:val="3"/>
                <w:szCs w:val="3"/>
                <w:color w:val="FFFFFF"/>
              </w:rPr>
              <w:t>156 146</w:t>
            </w:r>
          </w:p>
        </w:tc>
        <w:tc>
          <w:tcPr>
            <w:tcW w:w="480" w:type="dxa"/>
            <w:vAlign w:val="bottom"/>
            <w:gridSpan w:val="3"/>
          </w:tcPr>
          <w:p>
            <w:pPr>
              <w:jc w:val="right"/>
              <w:spacing w:after="0"/>
              <w:rPr>
                <w:sz w:val="20"/>
                <w:szCs w:val="20"/>
                <w:color w:val="auto"/>
              </w:rPr>
            </w:pPr>
            <w:r>
              <w:rPr>
                <w:rFonts w:ascii="Arial" w:cs="Arial" w:eastAsia="Arial" w:hAnsi="Arial"/>
                <w:sz w:val="3"/>
                <w:szCs w:val="3"/>
                <w:color w:val="FFFFFF"/>
              </w:rPr>
              <w:t>169 186</w:t>
            </w:r>
          </w:p>
        </w:tc>
        <w:tc>
          <w:tcPr>
            <w:tcW w:w="240" w:type="dxa"/>
            <w:vAlign w:val="bottom"/>
          </w:tcPr>
          <w:p>
            <w:pPr>
              <w:jc w:val="right"/>
              <w:spacing w:after="0"/>
              <w:rPr>
                <w:sz w:val="20"/>
                <w:szCs w:val="20"/>
                <w:color w:val="auto"/>
              </w:rPr>
            </w:pPr>
            <w:r>
              <w:rPr>
                <w:rFonts w:ascii="Arial" w:cs="Arial" w:eastAsia="Arial" w:hAnsi="Arial"/>
                <w:sz w:val="3"/>
                <w:szCs w:val="3"/>
                <w:color w:val="FFFFFF"/>
              </w:rPr>
              <w:t>143</w:t>
            </w: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20"/>
                <w:szCs w:val="20"/>
                <w:color w:val="auto"/>
              </w:rPr>
            </w:pPr>
            <w:r>
              <w:rPr>
                <w:rFonts w:ascii="Arial" w:cs="Arial" w:eastAsia="Arial" w:hAnsi="Arial"/>
                <w:sz w:val="3"/>
                <w:szCs w:val="3"/>
                <w:color w:val="FFFFFF"/>
              </w:rPr>
              <w:t>0</w:t>
            </w: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80" w:type="dxa"/>
            <w:vAlign w:val="bottom"/>
            <w:gridSpan w:val="6"/>
          </w:tcPr>
          <w:p>
            <w:pPr>
              <w:spacing w:after="0"/>
              <w:rPr>
                <w:sz w:val="20"/>
                <w:szCs w:val="20"/>
                <w:color w:val="auto"/>
              </w:rPr>
            </w:pPr>
            <w:r>
              <w:rPr>
                <w:rFonts w:ascii="Arial" w:cs="Arial" w:eastAsia="Arial" w:hAnsi="Arial"/>
                <w:sz w:val="3"/>
                <w:szCs w:val="3"/>
                <w:color w:val="FFFFFF"/>
              </w:rPr>
              <w:t>85 85 99 99 107 GMSA Other</w:t>
            </w:r>
          </w:p>
        </w:tc>
        <w:tc>
          <w:tcPr>
            <w:tcW w:w="0" w:type="dxa"/>
            <w:vAlign w:val="bottom"/>
          </w:tcPr>
          <w:p>
            <w:pPr>
              <w:spacing w:after="0"/>
              <w:rPr>
                <w:sz w:val="1"/>
                <w:szCs w:val="1"/>
                <w:color w:val="auto"/>
              </w:rPr>
            </w:pPr>
          </w:p>
        </w:tc>
      </w:tr>
      <w:tr>
        <w:trPr>
          <w:trHeight w:val="0"/>
        </w:trPr>
        <w:tc>
          <w:tcPr>
            <w:tcW w:w="820" w:type="dxa"/>
            <w:vAlign w:val="bottom"/>
            <w:gridSpan w:val="3"/>
          </w:tcPr>
          <w:p>
            <w:pPr>
              <w:spacing w:after="0" w:line="80" w:lineRule="exact"/>
              <w:rPr>
                <w:sz w:val="20"/>
                <w:szCs w:val="20"/>
                <w:color w:val="auto"/>
              </w:rPr>
            </w:pPr>
            <w:r>
              <w:rPr>
                <w:rFonts w:ascii="Arial" w:cs="Arial" w:eastAsia="Arial" w:hAnsi="Arial"/>
                <w:sz w:val="9"/>
                <w:szCs w:val="9"/>
                <w:color w:val="FFFFFF"/>
              </w:rPr>
              <w:t>Q1 2010 Q2</w:t>
            </w:r>
          </w:p>
        </w:tc>
        <w:tc>
          <w:tcPr>
            <w:tcW w:w="120" w:type="dxa"/>
            <w:vAlign w:val="bottom"/>
          </w:tcPr>
          <w:p>
            <w:pPr>
              <w:spacing w:after="0" w:line="20" w:lineRule="exact"/>
              <w:rPr>
                <w:sz w:val="1"/>
                <w:szCs w:val="1"/>
                <w:color w:val="auto"/>
              </w:rPr>
            </w:pPr>
          </w:p>
        </w:tc>
        <w:tc>
          <w:tcPr>
            <w:tcW w:w="1540" w:type="dxa"/>
            <w:vAlign w:val="bottom"/>
            <w:gridSpan w:val="2"/>
          </w:tcPr>
          <w:p>
            <w:pPr>
              <w:ind w:left="80"/>
              <w:spacing w:after="0" w:line="80" w:lineRule="exact"/>
              <w:rPr>
                <w:sz w:val="20"/>
                <w:szCs w:val="20"/>
                <w:color w:val="auto"/>
              </w:rPr>
            </w:pPr>
            <w:r>
              <w:rPr>
                <w:rFonts w:ascii="Arial" w:cs="Arial" w:eastAsia="Arial" w:hAnsi="Arial"/>
                <w:sz w:val="9"/>
                <w:szCs w:val="9"/>
                <w:color w:val="FFFFFF"/>
              </w:rPr>
              <w:t>Q3 2010 Q4 2010 Q1 2011</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GMSA Share2010.7% 19.5% 19.8% 19.6% 18.8%</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FFFFFF"/>
        </w:rPr>
        <w:t>21Brazil Share 19.9% 18.4% 18.3% 18.4% 17.3%</w:t>
      </w:r>
    </w:p>
    <w:p>
      <w:pPr>
        <w:sectPr>
          <w:pgSz w:w="11900" w:h="16838" w:orient="portrait"/>
          <w:cols w:equalWidth="0" w:num="1">
            <w:col w:w="10219"/>
          </w:cols>
          <w:pgMar w:left="24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color w:val="FFFFFF"/>
        </w:rPr>
        <w:t>(GMSA$B) Earnings Before Interest &amp; Taxes</w:t>
      </w:r>
    </w:p>
    <w:p>
      <w:pPr>
        <w:spacing w:after="0"/>
        <w:rPr>
          <w:sz w:val="20"/>
          <w:szCs w:val="20"/>
          <w:color w:val="auto"/>
        </w:rPr>
      </w:pPr>
      <w:r>
        <w:rPr>
          <w:rFonts w:ascii="Arial" w:cs="Arial" w:eastAsia="Arial" w:hAnsi="Arial"/>
          <w:sz w:val="3"/>
          <w:szCs w:val="3"/>
          <w:color w:val="FFFFFF"/>
        </w:rPr>
        <w:t>3</w:t>
      </w:r>
    </w:p>
    <w:p>
      <w:pPr>
        <w:spacing w:after="0" w:line="194" w:lineRule="auto"/>
        <w:rPr>
          <w:sz w:val="20"/>
          <w:szCs w:val="20"/>
          <w:color w:val="auto"/>
        </w:rPr>
      </w:pPr>
      <w:r>
        <w:rPr>
          <w:rFonts w:ascii="Arial" w:cs="Arial" w:eastAsia="Arial" w:hAnsi="Arial"/>
          <w:sz w:val="5"/>
          <w:szCs w:val="5"/>
          <w:color w:val="FFFFFF"/>
        </w:rPr>
        <w:t>2</w:t>
      </w:r>
    </w:p>
    <w:p>
      <w:pPr>
        <w:spacing w:after="0" w:line="211" w:lineRule="auto"/>
        <w:rPr>
          <w:sz w:val="20"/>
          <w:szCs w:val="20"/>
          <w:color w:val="auto"/>
        </w:rPr>
      </w:pPr>
      <w:r>
        <w:rPr>
          <w:rFonts w:ascii="Arial" w:cs="Arial" w:eastAsia="Arial" w:hAnsi="Arial"/>
          <w:sz w:val="4"/>
          <w:szCs w:val="4"/>
          <w:color w:val="FFFFFF"/>
          <w:vertAlign w:val="superscript"/>
        </w:rPr>
        <w:t>1</w:t>
      </w:r>
      <w:r>
        <w:rPr>
          <w:rFonts w:ascii="Arial" w:cs="Arial" w:eastAsia="Arial" w:hAnsi="Arial"/>
          <w:sz w:val="2"/>
          <w:szCs w:val="2"/>
          <w:color w:val="FFFFFF"/>
        </w:rPr>
        <w:t>.0</w:t>
      </w:r>
    </w:p>
    <w:p>
      <w:pPr>
        <w:spacing w:after="0"/>
        <w:rPr>
          <w:sz w:val="20"/>
          <w:szCs w:val="20"/>
          <w:color w:val="auto"/>
        </w:rPr>
      </w:pPr>
      <w:r>
        <w:rPr>
          <w:rFonts w:ascii="Arial" w:cs="Arial" w:eastAsia="Arial" w:hAnsi="Arial"/>
          <w:sz w:val="3"/>
          <w:szCs w:val="3"/>
          <w:color w:val="FFFFFF"/>
        </w:rPr>
        <w:t>0</w:t>
      </w:r>
    </w:p>
    <w:p>
      <w:pPr>
        <w:spacing w:after="0" w:line="194" w:lineRule="auto"/>
        <w:rPr>
          <w:sz w:val="20"/>
          <w:szCs w:val="20"/>
          <w:color w:val="auto"/>
        </w:rPr>
      </w:pPr>
      <w:r>
        <w:rPr>
          <w:rFonts w:ascii="Arial" w:cs="Arial" w:eastAsia="Arial" w:hAnsi="Arial"/>
          <w:sz w:val="5"/>
          <w:szCs w:val="5"/>
          <w:color w:val="FFFFFF"/>
        </w:rPr>
        <w:t>(1.0)</w:t>
      </w:r>
    </w:p>
    <w:p>
      <w:pPr>
        <w:spacing w:after="0"/>
        <w:rPr>
          <w:sz w:val="20"/>
          <w:szCs w:val="20"/>
          <w:color w:val="auto"/>
        </w:rPr>
      </w:pPr>
      <w:r>
        <w:rPr>
          <w:rFonts w:ascii="Arial" w:cs="Arial" w:eastAsia="Arial" w:hAnsi="Arial"/>
          <w:sz w:val="3"/>
          <w:szCs w:val="3"/>
          <w:color w:val="FFFFFF"/>
        </w:rPr>
        <w:t>0.3 0.2 0.2 0.2 0.1</w:t>
      </w:r>
    </w:p>
    <w:p>
      <w:pPr>
        <w:spacing w:after="0" w:line="194" w:lineRule="auto"/>
        <w:rPr>
          <w:sz w:val="20"/>
          <w:szCs w:val="20"/>
          <w:color w:val="auto"/>
        </w:rPr>
      </w:pPr>
      <w:r>
        <w:rPr>
          <w:rFonts w:ascii="Arial" w:cs="Arial" w:eastAsia="Arial" w:hAnsi="Arial"/>
          <w:sz w:val="5"/>
          <w:szCs w:val="5"/>
          <w:color w:val="FFFFFF"/>
        </w:rPr>
        <w:t>Q1 Q2 Q3 Q4 Q1</w:t>
      </w:r>
    </w:p>
    <w:p>
      <w:pPr>
        <w:ind w:left="1220"/>
        <w:spacing w:after="0" w:line="211" w:lineRule="auto"/>
        <w:rPr>
          <w:sz w:val="20"/>
          <w:szCs w:val="20"/>
          <w:color w:val="auto"/>
        </w:rPr>
      </w:pPr>
      <w:r>
        <w:rPr>
          <w:rFonts w:ascii="Arial" w:cs="Arial" w:eastAsia="Arial" w:hAnsi="Arial"/>
          <w:sz w:val="4"/>
          <w:szCs w:val="4"/>
          <w:color w:val="FFFFFF"/>
          <w:vertAlign w:val="superscript"/>
        </w:rPr>
        <w:t>201</w:t>
      </w:r>
    </w:p>
    <w:p>
      <w:pPr>
        <w:spacing w:after="0" w:line="188" w:lineRule="auto"/>
        <w:rPr>
          <w:sz w:val="20"/>
          <w:szCs w:val="20"/>
          <w:color w:val="auto"/>
        </w:rPr>
      </w:pPr>
      <w:r>
        <w:rPr>
          <w:rFonts w:ascii="Arial" w:cs="Arial" w:eastAsia="Arial" w:hAnsi="Arial"/>
          <w:sz w:val="9"/>
          <w:szCs w:val="9"/>
          <w:color w:val="FFFFFF"/>
        </w:rPr>
        <w:t>Revenue20102010($2010B)3.320103.6 4.  4.51 3.9</w:t>
      </w:r>
    </w:p>
    <w:p>
      <w:pPr>
        <w:spacing w:after="0"/>
        <w:rPr>
          <w:sz w:val="20"/>
          <w:szCs w:val="20"/>
          <w:color w:val="auto"/>
        </w:rPr>
      </w:pPr>
      <w:r>
        <w:rPr>
          <w:rFonts w:ascii="Arial" w:cs="Arial" w:eastAsia="Arial" w:hAnsi="Arial"/>
          <w:sz w:val="11"/>
          <w:szCs w:val="11"/>
          <w:color w:val="FFFFFF"/>
        </w:rPr>
        <w:t>22Production (000’s) 210 230 245 241 231</w:t>
      </w:r>
    </w:p>
    <w:p>
      <w:pPr>
        <w:sectPr>
          <w:pgSz w:w="11900" w:h="16838" w:orient="portrait"/>
          <w:cols w:equalWidth="0" w:num="1">
            <w:col w:w="10219"/>
          </w:cols>
          <w:pgMar w:left="2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60"/>
        <w:spacing w:after="0"/>
        <w:rPr>
          <w:sz w:val="20"/>
          <w:szCs w:val="20"/>
          <w:color w:val="auto"/>
        </w:rPr>
      </w:pPr>
      <w:r>
        <w:rPr>
          <w:rFonts w:ascii="Arial" w:cs="Arial" w:eastAsia="Arial" w:hAnsi="Arial"/>
          <w:sz w:val="27"/>
          <w:szCs w:val="27"/>
          <w:color w:val="FFFFFF"/>
          <w:vertAlign w:val="superscript"/>
        </w:rPr>
        <w:t>Q1</w:t>
      </w:r>
    </w:p>
    <w:p>
      <w:pPr>
        <w:spacing w:after="0"/>
        <w:tabs>
          <w:tab w:leader="none" w:pos="1040" w:val="left"/>
        </w:tabs>
        <w:rPr>
          <w:sz w:val="20"/>
          <w:szCs w:val="20"/>
          <w:color w:val="auto"/>
        </w:rPr>
      </w:pPr>
      <w:r>
        <w:rPr>
          <w:rFonts w:ascii="Arial" w:cs="Arial" w:eastAsia="Arial" w:hAnsi="Arial"/>
          <w:sz w:val="3"/>
          <w:szCs w:val="3"/>
          <w:color w:val="FFFFFF"/>
        </w:rPr>
        <w:t>Q1GMSA2010EBITQ1201–</w:t>
      </w:r>
      <w:r>
        <w:rPr>
          <w:sz w:val="20"/>
          <w:szCs w:val="20"/>
          <w:color w:val="auto"/>
        </w:rPr>
        <w:tab/>
      </w:r>
      <w:r>
        <w:rPr>
          <w:rFonts w:ascii="Arial" w:cs="Arial" w:eastAsia="Arial" w:hAnsi="Arial"/>
          <w:sz w:val="3"/>
          <w:szCs w:val="3"/>
          <w:color w:val="FFFFFF"/>
        </w:rPr>
        <w:t>2010 vs. Q1 2011</w:t>
      </w:r>
    </w:p>
    <w:p>
      <w:pPr>
        <w:spacing w:after="0" w:line="181" w:lineRule="auto"/>
        <w:rPr>
          <w:sz w:val="20"/>
          <w:szCs w:val="20"/>
          <w:color w:val="auto"/>
        </w:rPr>
      </w:pPr>
      <w:r>
        <w:rPr>
          <w:rFonts w:ascii="Arial" w:cs="Arial" w:eastAsia="Arial" w:hAnsi="Arial"/>
          <w:sz w:val="10"/>
          <w:szCs w:val="10"/>
          <w:color w:val="FFFFFF"/>
        </w:rPr>
        <w:t>$0.2B Reduction</w:t>
      </w:r>
    </w:p>
    <w:p>
      <w:pPr>
        <w:spacing w:after="0" w:line="213" w:lineRule="auto"/>
        <w:rPr>
          <w:sz w:val="20"/>
          <w:szCs w:val="20"/>
          <w:color w:val="auto"/>
        </w:rPr>
      </w:pPr>
      <w:r>
        <w:rPr>
          <w:rFonts w:ascii="Arial" w:cs="Arial" w:eastAsia="Arial" w:hAnsi="Arial"/>
          <w:sz w:val="4"/>
          <w:szCs w:val="4"/>
          <w:color w:val="FFFFFF"/>
          <w:vertAlign w:val="superscript"/>
        </w:rPr>
        <w:t>(0</w:t>
      </w:r>
      <w:r>
        <w:rPr>
          <w:rFonts w:ascii="Arial" w:cs="Arial" w:eastAsia="Arial" w:hAnsi="Arial"/>
          <w:sz w:val="2"/>
          <w:szCs w:val="2"/>
          <w:color w:val="FFFFFF"/>
        </w:rPr>
        <w:t>EBIT.30.0($0.3B) 0.0EBIT0.1($(0.3)B)</w:t>
      </w:r>
    </w:p>
    <w:p>
      <w:pPr>
        <w:ind w:left="120"/>
        <w:spacing w:after="0"/>
        <w:rPr>
          <w:sz w:val="20"/>
          <w:szCs w:val="20"/>
          <w:color w:val="auto"/>
        </w:rPr>
      </w:pPr>
      <w:r>
        <w:rPr>
          <w:rFonts w:ascii="Arial" w:cs="Arial" w:eastAsia="Arial" w:hAnsi="Arial"/>
          <w:sz w:val="3"/>
          <w:szCs w:val="3"/>
          <w:color w:val="FFFFFF"/>
        </w:rPr>
        <w:t>.0) 0.1 0.0 0.1</w:t>
      </w:r>
    </w:p>
    <w:p>
      <w:pPr>
        <w:spacing w:after="0" w:line="181" w:lineRule="auto"/>
        <w:rPr>
          <w:sz w:val="20"/>
          <w:szCs w:val="20"/>
          <w:color w:val="auto"/>
        </w:rPr>
      </w:pPr>
      <w:r>
        <w:rPr>
          <w:rFonts w:ascii="Arial" w:cs="Arial" w:eastAsia="Arial" w:hAnsi="Arial"/>
          <w:sz w:val="10"/>
          <w:szCs w:val="10"/>
          <w:color w:val="FFFFFF"/>
        </w:rPr>
        <w:t>Less Special Volume / Plus Special</w:t>
      </w:r>
    </w:p>
    <w:p>
      <w:pPr>
        <w:spacing w:after="0"/>
        <w:rPr>
          <w:sz w:val="20"/>
          <w:szCs w:val="20"/>
          <w:color w:val="auto"/>
        </w:rPr>
      </w:pPr>
      <w:r>
        <w:rPr>
          <w:rFonts w:ascii="Arial" w:cs="Arial" w:eastAsia="Arial" w:hAnsi="Arial"/>
          <w:sz w:val="3"/>
          <w:szCs w:val="3"/>
          <w:color w:val="FFFFFF"/>
        </w:rPr>
        <w:t>ItemsEBIT MixEBITItems-Adj. Price Cost Other EBIT-Adj. EBIT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23</w:t>
      </w:r>
    </w:p>
    <w:p>
      <w:pPr>
        <w:sectPr>
          <w:pgSz w:w="11900" w:h="16838" w:orient="portrait"/>
          <w:cols w:equalWidth="0" w:num="1">
            <w:col w:w="10219"/>
          </w:cols>
          <w:pgMar w:left="2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FFFFFF"/>
        </w:rPr>
        <w:t>(Automotive$B)Q12010FreeQ1 Cash2011 Flow</w:t>
      </w:r>
    </w:p>
    <w:p>
      <w:pPr>
        <w:spacing w:after="0" w:line="187" w:lineRule="auto"/>
        <w:rPr>
          <w:sz w:val="20"/>
          <w:szCs w:val="20"/>
          <w:color w:val="auto"/>
        </w:rPr>
      </w:pPr>
      <w:r>
        <w:rPr>
          <w:rFonts w:ascii="Arial" w:cs="Arial" w:eastAsia="Arial" w:hAnsi="Arial"/>
          <w:sz w:val="9"/>
          <w:szCs w:val="9"/>
          <w:color w:val="FFFFFF"/>
        </w:rPr>
        <w:t>Net Income to Common Stockholders 0.9 3.2</w:t>
      </w:r>
    </w:p>
    <w:p>
      <w:pPr>
        <w:spacing w:after="0"/>
        <w:rPr>
          <w:sz w:val="20"/>
          <w:szCs w:val="20"/>
          <w:color w:val="auto"/>
        </w:rPr>
      </w:pPr>
      <w:r>
        <w:rPr>
          <w:rFonts w:ascii="Arial" w:cs="Arial" w:eastAsia="Arial" w:hAnsi="Arial"/>
          <w:sz w:val="3"/>
          <w:szCs w:val="3"/>
          <w:color w:val="FFFFFF"/>
        </w:rPr>
        <w:t>DeductAdd-backNonNon-Auto-Controlling(GMFinancial)Interestsn/a&amp;(0.1)Preferred Dividends 0.3 0.3</w:t>
      </w:r>
    </w:p>
    <w:p>
      <w:pPr>
        <w:spacing w:after="0" w:line="194" w:lineRule="auto"/>
        <w:rPr>
          <w:sz w:val="20"/>
          <w:szCs w:val="20"/>
          <w:color w:val="auto"/>
        </w:rPr>
      </w:pPr>
      <w:r>
        <w:rPr>
          <w:rFonts w:ascii="Arial" w:cs="Arial" w:eastAsia="Arial" w:hAnsi="Arial"/>
          <w:sz w:val="5"/>
          <w:szCs w:val="5"/>
          <w:color w:val="FFFFFF"/>
        </w:rPr>
        <w:t>Automotive Net Income 1.2 3.4</w:t>
      </w:r>
    </w:p>
    <w:p>
      <w:pPr>
        <w:spacing w:after="0"/>
        <w:rPr>
          <w:sz w:val="20"/>
          <w:szCs w:val="20"/>
          <w:color w:val="auto"/>
        </w:rPr>
      </w:pPr>
      <w:r>
        <w:rPr>
          <w:rFonts w:ascii="Arial" w:cs="Arial" w:eastAsia="Arial" w:hAnsi="Arial"/>
          <w:sz w:val="3"/>
          <w:szCs w:val="3"/>
          <w:color w:val="FFFFFF"/>
        </w:rPr>
        <w:t>Special Items (0.1) (1.5)</w:t>
      </w:r>
    </w:p>
    <w:p>
      <w:pPr>
        <w:spacing w:after="0" w:line="194" w:lineRule="auto"/>
        <w:rPr>
          <w:sz w:val="20"/>
          <w:szCs w:val="20"/>
          <w:color w:val="auto"/>
        </w:rPr>
      </w:pPr>
      <w:r>
        <w:rPr>
          <w:rFonts w:ascii="Arial" w:cs="Arial" w:eastAsia="Arial" w:hAnsi="Arial"/>
          <w:sz w:val="5"/>
          <w:szCs w:val="5"/>
          <w:color w:val="FFFFFF"/>
        </w:rPr>
        <w:t>Depreciation / Amortization 1.8 1.6</w:t>
      </w:r>
    </w:p>
    <w:p>
      <w:pPr>
        <w:spacing w:after="0"/>
        <w:rPr>
          <w:sz w:val="20"/>
          <w:szCs w:val="20"/>
          <w:color w:val="auto"/>
        </w:rPr>
      </w:pPr>
      <w:r>
        <w:rPr>
          <w:rFonts w:ascii="Arial" w:cs="Arial" w:eastAsia="Arial" w:hAnsi="Arial"/>
          <w:sz w:val="3"/>
          <w:szCs w:val="3"/>
          <w:color w:val="FFFFFF"/>
        </w:rPr>
        <w:t>Working Capital (0.8) (0.4)</w:t>
      </w:r>
    </w:p>
    <w:p>
      <w:pPr>
        <w:spacing w:after="0" w:line="181" w:lineRule="auto"/>
        <w:rPr>
          <w:sz w:val="20"/>
          <w:szCs w:val="20"/>
          <w:color w:val="auto"/>
        </w:rPr>
      </w:pPr>
      <w:r>
        <w:rPr>
          <w:rFonts w:ascii="Arial" w:cs="Arial" w:eastAsia="Arial" w:hAnsi="Arial"/>
          <w:sz w:val="10"/>
          <w:szCs w:val="10"/>
          <w:color w:val="FFFFFF"/>
        </w:rPr>
        <w:t>Termination of In-Transit Financing 0.0 (2.5)</w:t>
      </w:r>
    </w:p>
    <w:p>
      <w:pPr>
        <w:spacing w:after="0"/>
        <w:rPr>
          <w:sz w:val="20"/>
          <w:szCs w:val="20"/>
          <w:color w:val="auto"/>
        </w:rPr>
      </w:pPr>
      <w:r>
        <w:rPr>
          <w:rFonts w:ascii="Arial" w:cs="Arial" w:eastAsia="Arial" w:hAnsi="Arial"/>
          <w:sz w:val="3"/>
          <w:szCs w:val="3"/>
          <w:color w:val="FFFFFF"/>
        </w:rPr>
        <w:t>OtherPension0.3/ OPEB(0.8) – Cash in Excess of Expense (0.5) (0.4)</w:t>
      </w:r>
    </w:p>
    <w:p>
      <w:pPr>
        <w:spacing w:after="0" w:line="194" w:lineRule="auto"/>
        <w:rPr>
          <w:sz w:val="20"/>
          <w:szCs w:val="20"/>
          <w:color w:val="auto"/>
        </w:rPr>
      </w:pPr>
      <w:r>
        <w:rPr>
          <w:rFonts w:ascii="Arial" w:cs="Arial" w:eastAsia="Arial" w:hAnsi="Arial"/>
          <w:sz w:val="5"/>
          <w:szCs w:val="5"/>
          <w:color w:val="FFFFFF"/>
        </w:rPr>
        <w:t>Automotive Net Cash Provided/(Used)</w:t>
      </w:r>
    </w:p>
    <w:p>
      <w:pPr>
        <w:spacing w:after="0"/>
        <w:rPr>
          <w:sz w:val="20"/>
          <w:szCs w:val="20"/>
          <w:color w:val="auto"/>
        </w:rPr>
      </w:pPr>
      <w:r>
        <w:rPr>
          <w:rFonts w:ascii="Arial" w:cs="Arial" w:eastAsia="Arial" w:hAnsi="Arial"/>
          <w:sz w:val="3"/>
          <w:szCs w:val="3"/>
          <w:color w:val="FFFFFF"/>
        </w:rPr>
        <w:t>1.9 (0.6)</w:t>
      </w:r>
    </w:p>
    <w:p>
      <w:pPr>
        <w:spacing w:after="0" w:line="181" w:lineRule="auto"/>
        <w:rPr>
          <w:sz w:val="20"/>
          <w:szCs w:val="20"/>
          <w:color w:val="auto"/>
        </w:rPr>
      </w:pPr>
      <w:r>
        <w:rPr>
          <w:rFonts w:ascii="Arial" w:cs="Arial" w:eastAsia="Arial" w:hAnsi="Arial"/>
          <w:sz w:val="10"/>
          <w:szCs w:val="10"/>
          <w:color w:val="FFFFFF"/>
        </w:rPr>
        <w:t>Operating Activities</w:t>
      </w:r>
    </w:p>
    <w:p>
      <w:pPr>
        <w:spacing w:after="0" w:line="213" w:lineRule="auto"/>
        <w:rPr>
          <w:sz w:val="20"/>
          <w:szCs w:val="20"/>
          <w:color w:val="auto"/>
        </w:rPr>
      </w:pPr>
      <w:r>
        <w:rPr>
          <w:rFonts w:ascii="Arial" w:cs="Arial" w:eastAsia="Arial" w:hAnsi="Arial"/>
          <w:sz w:val="2"/>
          <w:szCs w:val="2"/>
          <w:color w:val="FFFFFF"/>
        </w:rPr>
        <w:t>Au</w:t>
      </w:r>
      <w:r>
        <w:rPr>
          <w:rFonts w:ascii="Arial" w:cs="Arial" w:eastAsia="Arial" w:hAnsi="Arial"/>
          <w:sz w:val="4"/>
          <w:szCs w:val="4"/>
          <w:color w:val="FFFFFF"/>
          <w:vertAlign w:val="subscript"/>
        </w:rPr>
        <w:t>Note:</w:t>
      </w:r>
      <w:r>
        <w:rPr>
          <w:rFonts w:ascii="Arial" w:cs="Arial" w:eastAsia="Arial" w:hAnsi="Arial"/>
          <w:sz w:val="2"/>
          <w:szCs w:val="2"/>
          <w:color w:val="FFFFFF"/>
        </w:rPr>
        <w:t>CapitalomotiveExpendituresFreeCash(0.8)Flow(1.3)1.0 (1.9)</w:t>
      </w:r>
    </w:p>
    <w:p>
      <w:pPr>
        <w:ind w:left="340"/>
        <w:spacing w:after="0"/>
        <w:rPr>
          <w:sz w:val="20"/>
          <w:szCs w:val="20"/>
          <w:color w:val="auto"/>
        </w:rPr>
      </w:pPr>
      <w:r>
        <w:rPr>
          <w:rFonts w:ascii="Arial" w:cs="Arial" w:eastAsia="Arial" w:hAnsi="Arial"/>
          <w:sz w:val="14"/>
          <w:szCs w:val="14"/>
          <w:color w:val="FFFFFF"/>
        </w:rPr>
        <w:t>Results may not foot due to rounding 24</w:t>
      </w:r>
    </w:p>
    <w:p>
      <w:pPr>
        <w:sectPr>
          <w:pgSz w:w="11900" w:h="16838" w:orient="portrait"/>
          <w:cols w:equalWidth="0" w:num="1">
            <w:col w:w="10219"/>
          </w:cols>
          <w:pgMar w:left="240" w:top="1440" w:right="1440"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20"/>
        <w:spacing w:after="0"/>
        <w:rPr>
          <w:sz w:val="20"/>
          <w:szCs w:val="20"/>
          <w:color w:val="auto"/>
        </w:rPr>
      </w:pPr>
      <w:r>
        <w:rPr>
          <w:rFonts w:ascii="Arial" w:cs="Arial" w:eastAsia="Arial" w:hAnsi="Arial"/>
          <w:sz w:val="27"/>
          <w:szCs w:val="27"/>
          <w:color w:val="FFFFFF"/>
          <w:vertAlign w:val="superscript"/>
        </w:rPr>
        <w:t>Mar</w:t>
      </w:r>
    </w:p>
    <w:p>
      <w:pPr>
        <w:spacing w:after="0"/>
        <w:rPr>
          <w:sz w:val="20"/>
          <w:szCs w:val="20"/>
          <w:color w:val="auto"/>
        </w:rPr>
      </w:pPr>
      <w:r>
        <w:rPr>
          <w:rFonts w:ascii="Arial" w:cs="Arial" w:eastAsia="Arial" w:hAnsi="Arial"/>
          <w:sz w:val="3"/>
          <w:szCs w:val="3"/>
          <w:color w:val="FFFFFF"/>
        </w:rPr>
        <w:t>Mar.Key Automotive31Dec.31 B lance.31 Sheet Items</w:t>
      </w:r>
    </w:p>
    <w:p>
      <w:pPr>
        <w:spacing w:after="0" w:line="181" w:lineRule="auto"/>
        <w:rPr>
          <w:sz w:val="20"/>
          <w:szCs w:val="20"/>
          <w:color w:val="auto"/>
        </w:rPr>
      </w:pPr>
      <w:r>
        <w:rPr>
          <w:rFonts w:ascii="Arial" w:cs="Arial" w:eastAsia="Arial" w:hAnsi="Arial"/>
          <w:sz w:val="10"/>
          <w:szCs w:val="10"/>
          <w:color w:val="FFFFFF"/>
        </w:rPr>
        <w:t>($B) 2010 2010 2011</w:t>
      </w:r>
    </w:p>
    <w:p>
      <w:pPr>
        <w:spacing w:after="0" w:line="188" w:lineRule="auto"/>
        <w:rPr>
          <w:sz w:val="20"/>
          <w:szCs w:val="20"/>
          <w:color w:val="auto"/>
        </w:rPr>
      </w:pPr>
      <w:r>
        <w:rPr>
          <w:rFonts w:ascii="Arial" w:cs="Arial" w:eastAsia="Arial" w:hAnsi="Arial"/>
          <w:sz w:val="9"/>
          <w:szCs w:val="9"/>
          <w:color w:val="FFFFFF"/>
          <w:vertAlign w:val="subscript"/>
        </w:rPr>
        <w:t>Available</w:t>
      </w:r>
      <w:r>
        <w:rPr>
          <w:rFonts w:ascii="Arial" w:cs="Arial" w:eastAsia="Arial" w:hAnsi="Arial"/>
          <w:sz w:val="7"/>
          <w:szCs w:val="7"/>
          <w:color w:val="FFFFFF"/>
        </w:rPr>
        <w:t>Cash&amp;marketableCreditFacilitiessecurities*0.75.935.75.927.6 30.6</w:t>
      </w:r>
    </w:p>
    <w:p>
      <w:pPr>
        <w:spacing w:after="0" w:line="212" w:lineRule="auto"/>
        <w:rPr>
          <w:sz w:val="20"/>
          <w:szCs w:val="20"/>
          <w:color w:val="auto"/>
        </w:rPr>
      </w:pPr>
      <w:r>
        <w:rPr>
          <w:rFonts w:ascii="Arial" w:cs="Arial" w:eastAsia="Arial" w:hAnsi="Arial"/>
          <w:sz w:val="2"/>
          <w:szCs w:val="2"/>
          <w:color w:val="FFFFFF"/>
        </w:rPr>
        <w:t>K</w:t>
      </w:r>
      <w:r>
        <w:rPr>
          <w:rFonts w:ascii="Arial" w:cs="Arial" w:eastAsia="Arial" w:hAnsi="Arial"/>
          <w:sz w:val="4"/>
          <w:szCs w:val="4"/>
          <w:color w:val="FFFFFF"/>
          <w:vertAlign w:val="subscript"/>
        </w:rPr>
        <w:t>Debt</w:t>
      </w:r>
      <w:r>
        <w:rPr>
          <w:rFonts w:ascii="Arial" w:cs="Arial" w:eastAsia="Arial" w:hAnsi="Arial"/>
          <w:sz w:val="2"/>
          <w:szCs w:val="2"/>
          <w:color w:val="FFFFFF"/>
        </w:rPr>
        <w:t>yObligations:Liquidity* 36.4 33.5 36.5</w:t>
      </w:r>
    </w:p>
    <w:p>
      <w:pPr>
        <w:ind w:left="300"/>
        <w:spacing w:after="0"/>
        <w:rPr>
          <w:sz w:val="20"/>
          <w:szCs w:val="20"/>
          <w:color w:val="auto"/>
        </w:rPr>
      </w:pPr>
      <w:r>
        <w:rPr>
          <w:rFonts w:ascii="Arial" w:cs="Arial" w:eastAsia="Arial" w:hAnsi="Arial"/>
          <w:sz w:val="3"/>
          <w:szCs w:val="3"/>
          <w:color w:val="FFFFFF"/>
        </w:rPr>
        <w:t>14.2 4.6 5.0</w:t>
      </w:r>
    </w:p>
    <w:p>
      <w:pPr>
        <w:spacing w:after="0" w:line="194" w:lineRule="auto"/>
        <w:rPr>
          <w:sz w:val="20"/>
          <w:szCs w:val="20"/>
          <w:color w:val="auto"/>
        </w:rPr>
      </w:pPr>
      <w:r>
        <w:rPr>
          <w:rFonts w:ascii="Arial" w:cs="Arial" w:eastAsia="Arial" w:hAnsi="Arial"/>
          <w:sz w:val="5"/>
          <w:szCs w:val="5"/>
          <w:color w:val="FFFFFF"/>
          <w:vertAlign w:val="subscript"/>
        </w:rPr>
        <w:t>Series</w:t>
      </w:r>
      <w:r>
        <w:rPr>
          <w:rFonts w:ascii="Arial" w:cs="Arial" w:eastAsia="Arial" w:hAnsi="Arial"/>
          <w:sz w:val="3"/>
          <w:szCs w:val="3"/>
          <w:color w:val="FFFFFF"/>
        </w:rPr>
        <w:t xml:space="preserve"> A Preferred Stock 7.0 5.5 5.5</w:t>
      </w:r>
    </w:p>
    <w:p>
      <w:pPr>
        <w:spacing w:after="0" w:line="211" w:lineRule="auto"/>
        <w:rPr>
          <w:sz w:val="20"/>
          <w:szCs w:val="20"/>
          <w:color w:val="auto"/>
        </w:rPr>
      </w:pPr>
      <w:r>
        <w:rPr>
          <w:rFonts w:ascii="Arial" w:cs="Arial" w:eastAsia="Arial" w:hAnsi="Arial"/>
          <w:sz w:val="4"/>
          <w:szCs w:val="4"/>
          <w:color w:val="FFFFFF"/>
          <w:vertAlign w:val="subscript"/>
        </w:rPr>
        <w:t>Unfunded</w:t>
      </w:r>
      <w:r>
        <w:rPr>
          <w:rFonts w:ascii="Arial" w:cs="Arial" w:eastAsia="Arial" w:hAnsi="Arial"/>
          <w:sz w:val="2"/>
          <w:szCs w:val="2"/>
          <w:color w:val="FFFFFF"/>
        </w:rPr>
        <w:t>..Pension Underfunded Status** 16.0 11.5 11.2 ***</w:t>
      </w:r>
    </w:p>
    <w:p>
      <w:pPr>
        <w:ind w:left="580"/>
        <w:spacing w:after="0"/>
        <w:rPr>
          <w:sz w:val="20"/>
          <w:szCs w:val="20"/>
          <w:color w:val="auto"/>
        </w:rPr>
      </w:pPr>
      <w:r>
        <w:rPr>
          <w:rFonts w:ascii="Arial" w:cs="Arial" w:eastAsia="Arial" w:hAnsi="Arial"/>
          <w:sz w:val="3"/>
          <w:szCs w:val="3"/>
          <w:color w:val="FFFFFF"/>
        </w:rPr>
        <w:t>OPEB 9.4 9.9 10.0</w:t>
      </w:r>
    </w:p>
    <w:p>
      <w:pPr>
        <w:ind w:left="100"/>
        <w:spacing w:after="0" w:line="194" w:lineRule="auto"/>
        <w:rPr>
          <w:sz w:val="20"/>
          <w:szCs w:val="20"/>
          <w:color w:val="auto"/>
        </w:rPr>
      </w:pPr>
      <w:r>
        <w:rPr>
          <w:rFonts w:ascii="Arial" w:cs="Arial" w:eastAsia="Arial" w:hAnsi="Arial"/>
          <w:sz w:val="5"/>
          <w:szCs w:val="5"/>
          <w:color w:val="FFFFFF"/>
        </w:rPr>
        <w:t>Includes Canadian HC Trust restricted cash in 2010 &amp; 2011 and UST restricted cash at March 31, 2010</w:t>
      </w:r>
    </w:p>
    <w:p>
      <w:pPr>
        <w:spacing w:after="0" w:line="211" w:lineRule="auto"/>
        <w:rPr>
          <w:sz w:val="20"/>
          <w:szCs w:val="20"/>
          <w:color w:val="auto"/>
        </w:rPr>
      </w:pPr>
      <w:r>
        <w:rPr>
          <w:rFonts w:ascii="Arial" w:cs="Arial" w:eastAsia="Arial" w:hAnsi="Arial"/>
          <w:sz w:val="4"/>
          <w:szCs w:val="4"/>
          <w:color w:val="FFFFFF"/>
          <w:vertAlign w:val="superscript"/>
        </w:rPr>
        <w:t>***</w:t>
      </w:r>
      <w:r>
        <w:rPr>
          <w:rFonts w:ascii="Arial" w:cs="Arial" w:eastAsia="Arial" w:hAnsi="Arial"/>
          <w:sz w:val="2"/>
          <w:szCs w:val="2"/>
          <w:color w:val="FFFFFF"/>
        </w:rPr>
        <w:t>Excludes U.S. non-qualified plan PBO of ~$0.9 billion</w:t>
      </w:r>
    </w:p>
    <w:p>
      <w:pPr>
        <w:ind w:left="240"/>
        <w:spacing w:after="0"/>
        <w:rPr>
          <w:sz w:val="20"/>
          <w:szCs w:val="20"/>
          <w:color w:val="auto"/>
        </w:rPr>
      </w:pPr>
      <w:r>
        <w:rPr>
          <w:rFonts w:ascii="Arial" w:cs="Arial" w:eastAsia="Arial" w:hAnsi="Arial"/>
          <w:sz w:val="12"/>
          <w:szCs w:val="12"/>
          <w:color w:val="FFFFFF"/>
        </w:rPr>
        <w:t>Excludes ~$2B stock contribution completed 1/13/11 that will be counted as a plan asset once certain conditions are met 25</w:t>
      </w:r>
    </w:p>
    <w:p>
      <w:pPr>
        <w:sectPr>
          <w:pgSz w:w="11900" w:h="16838" w:orient="portrait"/>
          <w:cols w:equalWidth="0" w:num="1">
            <w:col w:w="10219"/>
          </w:cols>
          <w:pgMar w:left="240" w:top="1440" w:right="1440"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FFFFFF"/>
        </w:rPr>
        <w:t>GM Financial</w:t>
      </w:r>
    </w:p>
    <w:p>
      <w:pPr>
        <w:spacing w:after="0"/>
        <w:rPr>
          <w:sz w:val="20"/>
          <w:szCs w:val="20"/>
          <w:color w:val="auto"/>
        </w:rPr>
      </w:pPr>
      <w:r>
        <w:rPr>
          <w:rFonts w:ascii="Arial" w:cs="Arial" w:eastAsia="Arial" w:hAnsi="Arial"/>
          <w:sz w:val="3"/>
          <w:szCs w:val="3"/>
          <w:color w:val="FFFFFF"/>
        </w:rPr>
        <w:t>Industry Average</w:t>
      </w:r>
    </w:p>
    <w:p>
      <w:pPr>
        <w:spacing w:after="0" w:line="181" w:lineRule="auto"/>
        <w:rPr>
          <w:sz w:val="20"/>
          <w:szCs w:val="20"/>
          <w:color w:val="auto"/>
        </w:rPr>
      </w:pPr>
      <w:r>
        <w:rPr>
          <w:rFonts w:ascii="Arial" w:cs="Arial" w:eastAsia="Arial" w:hAnsi="Arial"/>
          <w:sz w:val="10"/>
          <w:szCs w:val="10"/>
          <w:color w:val="FFFFFF"/>
        </w:rPr>
        <w:t>Q1 Q1 Q1 Q1</w:t>
      </w:r>
    </w:p>
    <w:p>
      <w:pPr>
        <w:spacing w:after="0"/>
        <w:rPr>
          <w:sz w:val="20"/>
          <w:szCs w:val="20"/>
          <w:color w:val="auto"/>
        </w:rPr>
      </w:pPr>
      <w:r>
        <w:rPr>
          <w:rFonts w:ascii="Arial" w:cs="Arial" w:eastAsia="Arial" w:hAnsi="Arial"/>
          <w:sz w:val="3"/>
          <w:szCs w:val="3"/>
          <w:color w:val="FFFFFF"/>
        </w:rPr>
        <w:t>GM2010Sales2011 Penetrations2010*2011*</w:t>
      </w:r>
    </w:p>
    <w:p>
      <w:pPr>
        <w:spacing w:after="0" w:line="194" w:lineRule="auto"/>
        <w:rPr>
          <w:sz w:val="20"/>
          <w:szCs w:val="20"/>
          <w:color w:val="auto"/>
        </w:rPr>
      </w:pPr>
      <w:r>
        <w:rPr>
          <w:rFonts w:ascii="Arial" w:cs="Arial" w:eastAsia="Arial" w:hAnsi="Arial"/>
          <w:sz w:val="5"/>
          <w:szCs w:val="5"/>
          <w:color w:val="FFFFFF"/>
          <w:vertAlign w:val="superscript"/>
        </w:rPr>
        <w:t>U.S.</w:t>
      </w:r>
    </w:p>
    <w:p>
      <w:pPr>
        <w:ind w:left="280"/>
        <w:spacing w:after="0" w:line="188" w:lineRule="auto"/>
        <w:rPr>
          <w:sz w:val="20"/>
          <w:szCs w:val="20"/>
          <w:color w:val="auto"/>
        </w:rPr>
      </w:pPr>
      <w:r>
        <w:rPr>
          <w:rFonts w:ascii="Arial" w:cs="Arial" w:eastAsia="Arial" w:hAnsi="Arial"/>
          <w:sz w:val="9"/>
          <w:szCs w:val="9"/>
          <w:color w:val="FFFFFF"/>
        </w:rPr>
        <w:t>LeaseSubprime7.6%(&lt;=620)16.8% 4.0%21.4%6.1%23.1%4.2% 5.4%</w:t>
      </w:r>
    </w:p>
    <w:p>
      <w:pPr>
        <w:spacing w:after="0" w:line="187" w:lineRule="auto"/>
        <w:rPr>
          <w:sz w:val="20"/>
          <w:szCs w:val="20"/>
          <w:color w:val="auto"/>
        </w:rPr>
      </w:pPr>
      <w:r>
        <w:rPr>
          <w:rFonts w:ascii="Arial" w:cs="Arial" w:eastAsia="Arial" w:hAnsi="Arial"/>
          <w:sz w:val="9"/>
          <w:szCs w:val="9"/>
          <w:color w:val="FFFFFF"/>
          <w:vertAlign w:val="superscript"/>
        </w:rPr>
        <w:t>GM</w:t>
      </w:r>
      <w:r>
        <w:rPr>
          <w:rFonts w:ascii="Arial" w:cs="Arial" w:eastAsia="Arial" w:hAnsi="Arial"/>
          <w:sz w:val="7"/>
          <w:szCs w:val="7"/>
          <w:color w:val="FFFFFF"/>
        </w:rPr>
        <w:t>Canada/GMFLeaseLinkage2.7% 4.1% 19.0% 19.6%</w:t>
      </w:r>
    </w:p>
    <w:p>
      <w:pPr>
        <w:spacing w:after="0" w:line="188" w:lineRule="auto"/>
        <w:rPr>
          <w:sz w:val="20"/>
          <w:szCs w:val="20"/>
          <w:color w:val="auto"/>
        </w:rPr>
      </w:pPr>
      <w:r>
        <w:rPr>
          <w:rFonts w:ascii="Arial" w:cs="Arial" w:eastAsia="Arial" w:hAnsi="Arial"/>
          <w:sz w:val="9"/>
          <w:szCs w:val="9"/>
          <w:color w:val="FFFFFF"/>
        </w:rPr>
        <w:t>(GMasNew%of/GMFGMFLoanOriginations&amp;Lease)8.3% 38.8%</w:t>
      </w:r>
    </w:p>
    <w:p>
      <w:pPr>
        <w:spacing w:after="0" w:line="213" w:lineRule="auto"/>
        <w:rPr>
          <w:sz w:val="20"/>
          <w:szCs w:val="20"/>
          <w:color w:val="auto"/>
        </w:rPr>
      </w:pPr>
      <w:r>
        <w:rPr>
          <w:rFonts w:ascii="Arial" w:cs="Arial" w:eastAsia="Arial" w:hAnsi="Arial"/>
          <w:sz w:val="4"/>
          <w:szCs w:val="4"/>
          <w:color w:val="FFFFFF"/>
          <w:vertAlign w:val="superscript"/>
        </w:rPr>
        <w:t>GMF</w:t>
      </w:r>
      <w:r>
        <w:rPr>
          <w:rFonts w:ascii="Arial" w:cs="Arial" w:eastAsia="Arial" w:hAnsi="Arial"/>
          <w:sz w:val="2"/>
          <w:szCs w:val="2"/>
          <w:color w:val="FFFFFF"/>
        </w:rPr>
        <w:t xml:space="preserve"> Performanceas%ofGM U.S. S/P &amp; Lease 6.1% 17.8%</w:t>
      </w:r>
    </w:p>
    <w:p>
      <w:pPr>
        <w:ind w:left="340"/>
        <w:spacing w:after="0" w:line="188" w:lineRule="auto"/>
        <w:rPr>
          <w:sz w:val="20"/>
          <w:szCs w:val="20"/>
          <w:color w:val="auto"/>
        </w:rPr>
      </w:pPr>
      <w:r>
        <w:rPr>
          <w:rFonts w:ascii="Arial" w:cs="Arial" w:eastAsia="Arial" w:hAnsi="Arial"/>
          <w:sz w:val="9"/>
          <w:szCs w:val="9"/>
          <w:color w:val="FFFFFF"/>
        </w:rPr>
        <w:t>Credit Losses 7.6% 4.0%</w:t>
      </w:r>
    </w:p>
    <w:p>
      <w:pPr>
        <w:spacing w:after="0"/>
        <w:rPr>
          <w:sz w:val="20"/>
          <w:szCs w:val="20"/>
          <w:color w:val="auto"/>
        </w:rPr>
      </w:pPr>
      <w:r>
        <w:rPr>
          <w:rFonts w:ascii="Arial" w:cs="Arial" w:eastAsia="Arial" w:hAnsi="Arial"/>
          <w:sz w:val="3"/>
          <w:szCs w:val="3"/>
          <w:color w:val="FFFFFF"/>
        </w:rPr>
        <w:t>EBT(annualized($M)96**netcharge130-offs as % avg. receivables)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 Industry average excludes GM ** Q1 2010 not included in consolidated GM results, does not reflect purchase accounting 26</w:t>
      </w:r>
    </w:p>
    <w:p>
      <w:pPr>
        <w:sectPr>
          <w:pgSz w:w="11900" w:h="16838" w:orient="portrait"/>
          <w:cols w:equalWidth="0" w:num="1">
            <w:col w:w="10219"/>
          </w:cols>
          <w:pgMar w:left="240" w:top="1440" w:right="1440"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FFFFFF"/>
        </w:rPr>
        <w:t>Current Outlook</w:t>
      </w:r>
    </w:p>
    <w:p>
      <w:pPr>
        <w:spacing w:after="0"/>
        <w:rPr>
          <w:sz w:val="20"/>
          <w:szCs w:val="20"/>
          <w:color w:val="auto"/>
        </w:rPr>
      </w:pPr>
      <w:r>
        <w:rPr>
          <w:rFonts w:ascii="Arial" w:cs="Arial" w:eastAsia="Arial" w:hAnsi="Arial"/>
          <w:sz w:val="3"/>
          <w:szCs w:val="3"/>
          <w:color w:val="FFFFFF"/>
        </w:rPr>
        <w:t>2011 CY EBIT-adj. expected to show solid improvement over 2010</w:t>
      </w:r>
    </w:p>
    <w:p>
      <w:pPr>
        <w:spacing w:after="0" w:line="194" w:lineRule="auto"/>
        <w:rPr>
          <w:sz w:val="20"/>
          <w:szCs w:val="20"/>
          <w:color w:val="auto"/>
        </w:rPr>
      </w:pPr>
      <w:r>
        <w:rPr>
          <w:rFonts w:ascii="Arial" w:cs="Arial" w:eastAsia="Arial" w:hAnsi="Arial"/>
          <w:sz w:val="5"/>
          <w:szCs w:val="5"/>
          <w:color w:val="FFFFFF"/>
        </w:rPr>
        <w:t>- Japan crisis not expected to have a material impact on full-year results</w:t>
      </w:r>
    </w:p>
    <w:p>
      <w:pPr>
        <w:spacing w:after="0"/>
        <w:rPr>
          <w:sz w:val="20"/>
          <w:szCs w:val="20"/>
          <w:color w:val="auto"/>
        </w:rPr>
      </w:pPr>
      <w:r>
        <w:rPr>
          <w:rFonts w:ascii="Arial" w:cs="Arial" w:eastAsia="Arial" w:hAnsi="Arial"/>
          <w:sz w:val="3"/>
          <w:szCs w:val="3"/>
          <w:color w:val="FFFFFF"/>
        </w:rPr>
        <w:t>GMNA quarterly EBIT-adj. expected to improve on average for the remainder of the year versus the first quarter</w:t>
      </w:r>
    </w:p>
    <w:p>
      <w:pPr>
        <w:spacing w:after="0" w:line="6" w:lineRule="exact"/>
        <w:rPr>
          <w:sz w:val="20"/>
          <w:szCs w:val="20"/>
          <w:color w:val="auto"/>
        </w:rPr>
      </w:pPr>
    </w:p>
    <w:p>
      <w:pPr>
        <w:ind w:right="3899"/>
        <w:spacing w:after="0"/>
        <w:rPr>
          <w:sz w:val="20"/>
          <w:szCs w:val="20"/>
          <w:color w:val="auto"/>
        </w:rPr>
      </w:pPr>
      <w:r>
        <w:rPr>
          <w:rFonts w:ascii="Arial" w:cs="Arial" w:eastAsia="Arial" w:hAnsi="Arial"/>
          <w:sz w:val="7"/>
          <w:szCs w:val="7"/>
          <w:color w:val="FFFFFF"/>
        </w:rPr>
        <w:t>- Better pricing and improved fixed cost expected to more than offset commodity cost increases and unfavorable mix Targeting to achieve breakeven GME EBIT-adj. before restructuring</w:t>
      </w:r>
    </w:p>
    <w:p>
      <w:pPr>
        <w:spacing w:after="0"/>
        <w:rPr>
          <w:sz w:val="20"/>
          <w:szCs w:val="20"/>
          <w:color w:val="auto"/>
        </w:rPr>
      </w:pPr>
      <w:r>
        <w:rPr>
          <w:rFonts w:ascii="Arial" w:cs="Arial" w:eastAsia="Arial" w:hAnsi="Arial"/>
          <w:sz w:val="14"/>
          <w:szCs w:val="14"/>
          <w:color w:val="FFFFFF"/>
        </w:rPr>
        <w:t>27</w:t>
      </w:r>
    </w:p>
    <w:p>
      <w:pPr>
        <w:sectPr>
          <w:pgSz w:w="11900" w:h="16838" w:orient="portrait"/>
          <w:cols w:equalWidth="0" w:num="1">
            <w:col w:w="10219"/>
          </w:cols>
          <w:pgMar w:left="240" w:top="1440" w:right="1440"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FFFFFF"/>
        </w:rPr>
        <w:t>Global Growth</w:t>
      </w:r>
    </w:p>
    <w:p>
      <w:pPr>
        <w:spacing w:after="0" w:line="187" w:lineRule="auto"/>
        <w:rPr>
          <w:sz w:val="20"/>
          <w:szCs w:val="20"/>
          <w:color w:val="auto"/>
        </w:rPr>
      </w:pPr>
      <w:r>
        <w:rPr>
          <w:rFonts w:ascii="Arial" w:cs="Arial" w:eastAsia="Arial" w:hAnsi="Arial"/>
          <w:sz w:val="9"/>
          <w:szCs w:val="9"/>
          <w:color w:val="FFFFFF"/>
        </w:rPr>
        <w:t>Q1RegionalQ1 Net Revenue ($B)</w:t>
      </w:r>
    </w:p>
    <w:p>
      <w:pPr>
        <w:spacing w:after="0"/>
        <w:rPr>
          <w:sz w:val="20"/>
          <w:szCs w:val="20"/>
          <w:color w:val="auto"/>
        </w:rPr>
      </w:pPr>
      <w:r>
        <w:rPr>
          <w:rFonts w:ascii="Arial" w:cs="Arial" w:eastAsia="Arial" w:hAnsi="Arial"/>
          <w:sz w:val="3"/>
          <w:szCs w:val="3"/>
          <w:color w:val="FFFFFF"/>
        </w:rPr>
        <w:t>2010 201  % Change</w:t>
      </w:r>
    </w:p>
    <w:p>
      <w:pPr>
        <w:ind w:left="220"/>
        <w:spacing w:after="0" w:line="201" w:lineRule="auto"/>
        <w:rPr>
          <w:sz w:val="20"/>
          <w:szCs w:val="20"/>
          <w:color w:val="auto"/>
        </w:rPr>
      </w:pPr>
      <w:r>
        <w:rPr>
          <w:rFonts w:ascii="Arial" w:cs="Arial" w:eastAsia="Arial" w:hAnsi="Arial"/>
          <w:sz w:val="9"/>
          <w:szCs w:val="9"/>
          <w:color w:val="FFFFFF"/>
        </w:rPr>
        <w:t>IOENA5.5196.9.3 22.126%15%</w:t>
      </w:r>
    </w:p>
    <w:p>
      <w:pPr>
        <w:ind w:left="400"/>
        <w:spacing w:after="0"/>
        <w:rPr>
          <w:sz w:val="20"/>
          <w:szCs w:val="20"/>
          <w:color w:val="auto"/>
        </w:rPr>
      </w:pPr>
      <w:r>
        <w:rPr>
          <w:rFonts w:ascii="Arial" w:cs="Arial" w:eastAsia="Arial" w:hAnsi="Arial"/>
          <w:sz w:val="3"/>
          <w:szCs w:val="3"/>
          <w:color w:val="FFFFFF"/>
        </w:rPr>
        <w:t>5.0 5.4 9%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28GMSA 3.3 3.9 17%</w:t>
      </w:r>
    </w:p>
    <w:p>
      <w:pPr>
        <w:sectPr>
          <w:pgSz w:w="11900" w:h="16838" w:orient="portrait"/>
          <w:cols w:equalWidth="0" w:num="1">
            <w:col w:w="10219"/>
          </w:cols>
          <w:pgMar w:left="240" w:top="1440"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FFFFFF"/>
        </w:rPr>
        <w:t>OnSummaryplan</w:t>
      </w:r>
    </w:p>
    <w:p>
      <w:pPr>
        <w:spacing w:after="0"/>
        <w:rPr>
          <w:sz w:val="20"/>
          <w:szCs w:val="20"/>
          <w:color w:val="auto"/>
        </w:rPr>
      </w:pPr>
      <w:r>
        <w:rPr>
          <w:rFonts w:ascii="Arial" w:cs="Arial" w:eastAsia="Arial" w:hAnsi="Arial"/>
          <w:sz w:val="3"/>
          <w:szCs w:val="3"/>
          <w:color w:val="FFFFFF"/>
        </w:rPr>
        <w:t>Important to leverage global growth</w:t>
      </w:r>
    </w:p>
    <w:p>
      <w:pPr>
        <w:spacing w:after="0" w:line="181" w:lineRule="auto"/>
        <w:rPr>
          <w:sz w:val="20"/>
          <w:szCs w:val="20"/>
          <w:color w:val="auto"/>
        </w:rPr>
      </w:pPr>
      <w:r>
        <w:rPr>
          <w:rFonts w:ascii="Arial" w:cs="Arial" w:eastAsia="Arial" w:hAnsi="Arial"/>
          <w:sz w:val="10"/>
          <w:szCs w:val="10"/>
          <w:color w:val="FFFFFF"/>
        </w:rPr>
        <w:t>Cost containment is key, as commodity and launch costs increase</w:t>
      </w:r>
    </w:p>
    <w:p>
      <w:pPr>
        <w:spacing w:after="0"/>
        <w:rPr>
          <w:sz w:val="20"/>
          <w:szCs w:val="20"/>
          <w:color w:val="auto"/>
        </w:rPr>
      </w:pPr>
      <w:r>
        <w:rPr>
          <w:rFonts w:ascii="Arial" w:cs="Arial" w:eastAsia="Arial" w:hAnsi="Arial"/>
          <w:sz w:val="12"/>
          <w:szCs w:val="12"/>
          <w:color w:val="FFFFFF"/>
        </w:rPr>
        <w:t>29Expect full-year 2011 EBIT-adjusted results to be solid improvement over 2010</w:t>
      </w:r>
    </w:p>
    <w:p>
      <w:pPr>
        <w:sectPr>
          <w:pgSz w:w="11900" w:h="16838" w:orient="portrait"/>
          <w:cols w:equalWidth="0" w:num="1">
            <w:col w:w="10219"/>
          </w:cols>
          <w:pgMar w:left="240" w:top="144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FFFFFF"/>
        </w:rPr>
        <w:t>General Motors Company</w:t>
      </w:r>
    </w:p>
    <w:p>
      <w:pPr>
        <w:spacing w:after="0"/>
        <w:rPr>
          <w:sz w:val="20"/>
          <w:szCs w:val="20"/>
          <w:color w:val="auto"/>
        </w:rPr>
      </w:pPr>
      <w:r>
        <w:rPr>
          <w:rFonts w:ascii="Arial" w:cs="Arial" w:eastAsia="Arial" w:hAnsi="Arial"/>
          <w:sz w:val="12"/>
          <w:szCs w:val="12"/>
          <w:color w:val="FFFFFF"/>
        </w:rPr>
        <w:t>Select Supplemental Financial Information</w:t>
      </w:r>
    </w:p>
    <w:p>
      <w:pPr>
        <w:sectPr>
          <w:pgSz w:w="11900" w:h="16838" w:orient="portrait"/>
          <w:cols w:equalWidth="0" w:num="1">
            <w:col w:w="10219"/>
          </w:cols>
          <w:pgMar w:left="240" w:top="1440" w:right="1440"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FFFFFF"/>
        </w:rPr>
        <w:t>Q1EBITQ1Walk to Net Income to Common Stockholders</w:t>
      </w:r>
    </w:p>
    <w:p>
      <w:pPr>
        <w:jc w:val="right"/>
        <w:ind w:right="9359"/>
        <w:spacing w:after="0" w:line="187" w:lineRule="auto"/>
        <w:rPr>
          <w:sz w:val="20"/>
          <w:szCs w:val="20"/>
          <w:color w:val="auto"/>
        </w:rPr>
      </w:pPr>
      <w:r>
        <w:rPr>
          <w:rFonts w:ascii="Arial" w:cs="Arial" w:eastAsia="Arial" w:hAnsi="Arial"/>
          <w:sz w:val="9"/>
          <w:szCs w:val="9"/>
          <w:color w:val="FFFFFF"/>
          <w:vertAlign w:val="superscript"/>
        </w:rPr>
        <w:t>($B)</w:t>
      </w:r>
      <w:r>
        <w:rPr>
          <w:rFonts w:ascii="Arial" w:cs="Arial" w:eastAsia="Arial" w:hAnsi="Arial"/>
          <w:sz w:val="7"/>
          <w:szCs w:val="7"/>
          <w:color w:val="FFFFFF"/>
        </w:rPr>
        <w:t>E2010 201</w:t>
      </w:r>
      <w:r>
        <w:rPr>
          <w:rFonts w:ascii="Arial" w:cs="Arial" w:eastAsia="Arial" w:hAnsi="Arial"/>
          <w:sz w:val="9"/>
          <w:szCs w:val="9"/>
          <w:color w:val="FFFFFF"/>
          <w:vertAlign w:val="superscript"/>
        </w:rPr>
        <w:t>1</w:t>
      </w:r>
    </w:p>
    <w:p>
      <w:pPr>
        <w:jc w:val="right"/>
        <w:ind w:right="9319"/>
        <w:spacing w:after="0" w:line="188" w:lineRule="auto"/>
        <w:rPr>
          <w:sz w:val="20"/>
          <w:szCs w:val="20"/>
          <w:color w:val="auto"/>
        </w:rPr>
      </w:pPr>
      <w:r>
        <w:rPr>
          <w:rFonts w:ascii="Arial" w:cs="Arial" w:eastAsia="Arial" w:hAnsi="Arial"/>
          <w:sz w:val="9"/>
          <w:szCs w:val="9"/>
          <w:color w:val="FFFFFF"/>
          <w:vertAlign w:val="superscript"/>
        </w:rPr>
        <w:t>IO</w:t>
      </w:r>
      <w:r>
        <w:rPr>
          <w:rFonts w:ascii="Arial" w:cs="Arial" w:eastAsia="Arial" w:hAnsi="Arial"/>
          <w:sz w:val="7"/>
          <w:szCs w:val="7"/>
          <w:color w:val="FFFFFF"/>
        </w:rPr>
        <w:t>NA(0.5).2 (0.4).9</w:t>
      </w:r>
    </w:p>
    <w:p>
      <w:pPr>
        <w:jc w:val="right"/>
        <w:ind w:right="9419"/>
        <w:spacing w:after="0" w:line="188" w:lineRule="auto"/>
        <w:rPr>
          <w:sz w:val="20"/>
          <w:szCs w:val="20"/>
          <w:color w:val="auto"/>
        </w:rPr>
      </w:pPr>
      <w:r>
        <w:rPr>
          <w:rFonts w:ascii="Arial" w:cs="Arial" w:eastAsia="Arial" w:hAnsi="Arial"/>
          <w:sz w:val="9"/>
          <w:szCs w:val="9"/>
          <w:color w:val="FFFFFF"/>
          <w:vertAlign w:val="subscript"/>
        </w:rPr>
        <w:t>GMSA</w:t>
      </w:r>
      <w:r>
        <w:rPr>
          <w:rFonts w:ascii="Arial" w:cs="Arial" w:eastAsia="Arial" w:hAnsi="Arial"/>
          <w:sz w:val="7"/>
          <w:szCs w:val="7"/>
          <w:color w:val="FFFFFF"/>
        </w:rPr>
        <w:t xml:space="preserve"> 0.90.3 0.50.1</w:t>
      </w:r>
    </w:p>
    <w:p>
      <w:pPr>
        <w:spacing w:after="0"/>
        <w:rPr>
          <w:sz w:val="20"/>
          <w:szCs w:val="20"/>
          <w:color w:val="auto"/>
        </w:rPr>
      </w:pPr>
      <w:r>
        <w:rPr>
          <w:rFonts w:ascii="Arial" w:cs="Arial" w:eastAsia="Arial" w:hAnsi="Arial"/>
          <w:sz w:val="3"/>
          <w:szCs w:val="3"/>
          <w:color w:val="FFFFFF"/>
        </w:rPr>
        <w:t>GMFCorp &amp;-0.1Elims (0.1) 0.3</w:t>
      </w:r>
    </w:p>
    <w:p>
      <w:pPr>
        <w:spacing w:after="0" w:line="194" w:lineRule="auto"/>
        <w:rPr>
          <w:sz w:val="20"/>
          <w:szCs w:val="20"/>
          <w:color w:val="auto"/>
        </w:rPr>
      </w:pPr>
      <w:r>
        <w:rPr>
          <w:rFonts w:ascii="Arial" w:cs="Arial" w:eastAsia="Arial" w:hAnsi="Arial"/>
          <w:sz w:val="5"/>
          <w:szCs w:val="5"/>
          <w:color w:val="FFFFFF"/>
        </w:rPr>
        <w:t>Total EBIT 1.8 3.5</w:t>
      </w:r>
    </w:p>
    <w:p>
      <w:pPr>
        <w:spacing w:after="0" w:line="211" w:lineRule="auto"/>
        <w:rPr>
          <w:sz w:val="20"/>
          <w:szCs w:val="20"/>
          <w:color w:val="auto"/>
        </w:rPr>
      </w:pPr>
      <w:r>
        <w:rPr>
          <w:rFonts w:ascii="Arial" w:cs="Arial" w:eastAsia="Arial" w:hAnsi="Arial"/>
          <w:sz w:val="4"/>
          <w:szCs w:val="4"/>
          <w:color w:val="FFFFFF"/>
          <w:vertAlign w:val="superscript"/>
        </w:rPr>
        <w:t>Income</w:t>
      </w:r>
    </w:p>
    <w:p>
      <w:pPr>
        <w:ind w:left="120"/>
        <w:spacing w:after="0" w:line="188" w:lineRule="auto"/>
        <w:rPr>
          <w:sz w:val="20"/>
          <w:szCs w:val="20"/>
          <w:color w:val="auto"/>
        </w:rPr>
      </w:pPr>
      <w:r>
        <w:rPr>
          <w:rFonts w:ascii="Arial" w:cs="Arial" w:eastAsia="Arial" w:hAnsi="Arial"/>
          <w:sz w:val="9"/>
          <w:szCs w:val="9"/>
          <w:color w:val="FFFFFF"/>
        </w:rPr>
        <w:t>terest TaxExpenseExpense/(Income)/(Benefit)0.2 0.00.5 0.1</w:t>
      </w:r>
    </w:p>
    <w:p>
      <w:pPr>
        <w:spacing w:after="0"/>
        <w:rPr>
          <w:sz w:val="20"/>
          <w:szCs w:val="20"/>
          <w:color w:val="auto"/>
        </w:rPr>
      </w:pPr>
      <w:r>
        <w:rPr>
          <w:rFonts w:ascii="Arial" w:cs="Arial" w:eastAsia="Arial" w:hAnsi="Arial"/>
          <w:sz w:val="3"/>
          <w:szCs w:val="3"/>
          <w:color w:val="FFFFFF"/>
        </w:rPr>
        <w:t>DividendsNetIncomeontoPreferredStockholdersStock1.10.23.40.2</w:t>
      </w:r>
    </w:p>
    <w:p>
      <w:pPr>
        <w:ind w:left="100"/>
        <w:spacing w:after="0" w:line="194" w:lineRule="auto"/>
        <w:rPr>
          <w:sz w:val="20"/>
          <w:szCs w:val="20"/>
          <w:color w:val="auto"/>
        </w:rPr>
      </w:pPr>
      <w:r>
        <w:rPr>
          <w:rFonts w:ascii="Arial" w:cs="Arial" w:eastAsia="Arial" w:hAnsi="Arial"/>
          <w:sz w:val="5"/>
          <w:szCs w:val="5"/>
          <w:color w:val="FFFFFF"/>
        </w:rPr>
        <w:t>et Income to Common Stockholders 0.9 3.2</w:t>
      </w:r>
    </w:p>
    <w:p>
      <w:pPr>
        <w:spacing w:after="0" w:line="211" w:lineRule="auto"/>
        <w:rPr>
          <w:sz w:val="20"/>
          <w:szCs w:val="20"/>
          <w:color w:val="auto"/>
        </w:rPr>
      </w:pPr>
      <w:r>
        <w:rPr>
          <w:rFonts w:ascii="Arial" w:cs="Arial" w:eastAsia="Arial" w:hAnsi="Arial"/>
          <w:sz w:val="4"/>
          <w:szCs w:val="4"/>
          <w:color w:val="FFFFFF"/>
          <w:vertAlign w:val="superscript"/>
        </w:rPr>
        <w:t>Note:</w:t>
      </w:r>
    </w:p>
    <w:p>
      <w:pPr>
        <w:ind w:left="340"/>
        <w:spacing w:after="0"/>
        <w:rPr>
          <w:sz w:val="20"/>
          <w:szCs w:val="20"/>
          <w:color w:val="auto"/>
        </w:rPr>
      </w:pPr>
      <w:r>
        <w:rPr>
          <w:rFonts w:ascii="Arial" w:cs="Arial" w:eastAsia="Arial" w:hAnsi="Arial"/>
          <w:sz w:val="8"/>
          <w:szCs w:val="8"/>
          <w:color w:val="FFFFFF"/>
        </w:rPr>
        <w:t>ResultsEBITincludesmaynotGMfootFinancialduetoroundingonanEarningsS1 Before Tax (EBT) basis</w:t>
      </w:r>
    </w:p>
    <w:p>
      <w:pPr>
        <w:sectPr>
          <w:pgSz w:w="11900" w:h="16838" w:orient="portrait"/>
          <w:cols w:equalWidth="0" w:num="1">
            <w:col w:w="10219"/>
          </w:cols>
          <w:pgMar w:left="240" w:top="1440"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FFFFFF"/>
        </w:rPr>
        <w:t>Reconciliation of Q1 2011 EBIT-Adj.</w:t>
      </w:r>
    </w:p>
    <w:p>
      <w:pPr>
        <w:spacing w:after="0"/>
        <w:rPr>
          <w:sz w:val="20"/>
          <w:szCs w:val="20"/>
          <w:color w:val="auto"/>
        </w:rPr>
      </w:pPr>
      <w:r>
        <w:rPr>
          <w:rFonts w:ascii="Arial" w:cs="Arial" w:eastAsia="Arial" w:hAnsi="Arial"/>
          <w:sz w:val="3"/>
          <w:szCs w:val="3"/>
          <w:color w:val="FFFFFF"/>
        </w:rPr>
        <w:t>Q1 Q1</w:t>
      </w:r>
    </w:p>
    <w:p>
      <w:pPr>
        <w:spacing w:after="0" w:line="181" w:lineRule="auto"/>
        <w:rPr>
          <w:sz w:val="20"/>
          <w:szCs w:val="20"/>
          <w:color w:val="auto"/>
        </w:rPr>
      </w:pPr>
      <w:r>
        <w:rPr>
          <w:rFonts w:ascii="Arial" w:cs="Arial" w:eastAsia="Arial" w:hAnsi="Arial"/>
          <w:sz w:val="10"/>
          <w:szCs w:val="10"/>
          <w:color w:val="FFFFFF"/>
        </w:rPr>
        <w:t>($B) 2010 2011</w:t>
      </w:r>
    </w:p>
    <w:p>
      <w:pPr>
        <w:spacing w:after="0" w:line="188" w:lineRule="auto"/>
        <w:rPr>
          <w:sz w:val="20"/>
          <w:szCs w:val="20"/>
          <w:color w:val="auto"/>
        </w:rPr>
      </w:pPr>
      <w:r>
        <w:rPr>
          <w:rFonts w:ascii="Arial" w:cs="Arial" w:eastAsia="Arial" w:hAnsi="Arial"/>
          <w:sz w:val="9"/>
          <w:szCs w:val="9"/>
          <w:color w:val="FFFFFF"/>
        </w:rPr>
        <w:t>AddNetIncomeBack: to Common Stockholders 0.9 3.2</w:t>
      </w:r>
    </w:p>
    <w:p>
      <w:pPr>
        <w:spacing w:after="0" w:line="212" w:lineRule="auto"/>
        <w:rPr>
          <w:sz w:val="20"/>
          <w:szCs w:val="20"/>
          <w:color w:val="auto"/>
        </w:rPr>
      </w:pPr>
      <w:r>
        <w:rPr>
          <w:rFonts w:ascii="Arial" w:cs="Arial" w:eastAsia="Arial" w:hAnsi="Arial"/>
          <w:sz w:val="4"/>
          <w:szCs w:val="4"/>
          <w:color w:val="FFFFFF"/>
          <w:vertAlign w:val="superscript"/>
        </w:rPr>
        <w:t>Income</w:t>
      </w:r>
      <w:r>
        <w:rPr>
          <w:rFonts w:ascii="Arial" w:cs="Arial" w:eastAsia="Arial" w:hAnsi="Arial"/>
          <w:sz w:val="2"/>
          <w:szCs w:val="2"/>
          <w:color w:val="FFFFFF"/>
        </w:rPr>
        <w:t>DividendsterestExpenseonPreferred/(Income)Stock0.20.20.00.2</w:t>
      </w:r>
    </w:p>
    <w:p>
      <w:pPr>
        <w:ind w:left="440"/>
        <w:spacing w:after="0" w:line="188" w:lineRule="auto"/>
        <w:rPr>
          <w:sz w:val="20"/>
          <w:szCs w:val="20"/>
          <w:color w:val="auto"/>
        </w:rPr>
      </w:pPr>
      <w:r>
        <w:rPr>
          <w:rFonts w:ascii="Arial" w:cs="Arial" w:eastAsia="Arial" w:hAnsi="Arial"/>
          <w:sz w:val="9"/>
          <w:szCs w:val="9"/>
          <w:color w:val="FFFFFF"/>
        </w:rPr>
        <w:t>Tax Expense / (Benefit) 0.5 0.1</w:t>
      </w:r>
    </w:p>
    <w:p>
      <w:pPr>
        <w:spacing w:after="0"/>
        <w:rPr>
          <w:sz w:val="20"/>
          <w:szCs w:val="20"/>
          <w:color w:val="auto"/>
        </w:rPr>
      </w:pPr>
      <w:r>
        <w:rPr>
          <w:rFonts w:ascii="Arial" w:cs="Arial" w:eastAsia="Arial" w:hAnsi="Arial"/>
          <w:sz w:val="3"/>
          <w:szCs w:val="3"/>
          <w:color w:val="FFFFFF"/>
        </w:rPr>
        <w:t>LessEarningsSpecialBeforeItems:Interest &amp; Taxes (EBIT) 1.8 3.5</w:t>
      </w:r>
    </w:p>
    <w:p>
      <w:pPr>
        <w:ind w:left="180"/>
        <w:spacing w:after="0" w:line="194" w:lineRule="auto"/>
        <w:rPr>
          <w:sz w:val="20"/>
          <w:szCs w:val="20"/>
          <w:color w:val="auto"/>
        </w:rPr>
      </w:pPr>
      <w:r>
        <w:rPr>
          <w:rFonts w:ascii="Arial" w:cs="Arial" w:eastAsia="Arial" w:hAnsi="Arial"/>
          <w:sz w:val="5"/>
          <w:szCs w:val="5"/>
          <w:color w:val="FFFFFF"/>
          <w:vertAlign w:val="superscript"/>
        </w:rPr>
        <w:t>ain on Sale of</w:t>
      </w:r>
      <w:r>
        <w:rPr>
          <w:rFonts w:ascii="Arial" w:cs="Arial" w:eastAsia="Arial" w:hAnsi="Arial"/>
          <w:sz w:val="3"/>
          <w:szCs w:val="3"/>
          <w:color w:val="FFFFFF"/>
        </w:rPr>
        <w:t xml:space="preserve"> Delphi Membership Interest 0.0 1.6</w:t>
      </w:r>
    </w:p>
    <w:p>
      <w:pPr>
        <w:ind w:left="80"/>
        <w:spacing w:after="0" w:line="211" w:lineRule="auto"/>
        <w:tabs>
          <w:tab w:leader="none" w:pos="1820" w:val="left"/>
        </w:tabs>
        <w:rPr>
          <w:sz w:val="20"/>
          <w:szCs w:val="20"/>
          <w:color w:val="auto"/>
        </w:rPr>
      </w:pPr>
      <w:r>
        <w:rPr>
          <w:rFonts w:ascii="Arial" w:cs="Arial" w:eastAsia="Arial" w:hAnsi="Arial"/>
          <w:sz w:val="4"/>
          <w:szCs w:val="4"/>
          <w:color w:val="FFFFFF"/>
          <w:vertAlign w:val="superscript"/>
        </w:rPr>
        <w:t>GME</w:t>
      </w:r>
      <w:r>
        <w:rPr>
          <w:sz w:val="20"/>
          <w:szCs w:val="20"/>
          <w:color w:val="auto"/>
        </w:rPr>
        <w:tab/>
      </w:r>
      <w:r>
        <w:rPr>
          <w:rFonts w:ascii="Arial" w:cs="Arial" w:eastAsia="Arial" w:hAnsi="Arial"/>
          <w:sz w:val="4"/>
          <w:szCs w:val="4"/>
          <w:color w:val="FFFFFF"/>
          <w:vertAlign w:val="superscript"/>
        </w:rPr>
        <w:t>(0</w:t>
      </w:r>
    </w:p>
    <w:p>
      <w:pPr>
        <w:ind w:left="420"/>
        <w:spacing w:after="0"/>
        <w:rPr>
          <w:sz w:val="20"/>
          <w:szCs w:val="20"/>
          <w:color w:val="auto"/>
        </w:rPr>
      </w:pPr>
      <w:r>
        <w:rPr>
          <w:rFonts w:ascii="Arial" w:cs="Arial" w:eastAsia="Arial" w:hAnsi="Arial"/>
          <w:sz w:val="3"/>
          <w:szCs w:val="3"/>
          <w:color w:val="FFFFFF"/>
        </w:rPr>
        <w:t>Goodwill AllyImpairmentPreferred0.00. .4)0.3</w:t>
      </w:r>
    </w:p>
    <w:p>
      <w:pPr>
        <w:spacing w:after="0" w:line="194" w:lineRule="auto"/>
        <w:rPr>
          <w:sz w:val="20"/>
          <w:szCs w:val="20"/>
          <w:color w:val="auto"/>
        </w:rPr>
      </w:pPr>
      <w:r>
        <w:rPr>
          <w:rFonts w:ascii="Arial" w:cs="Arial" w:eastAsia="Arial" w:hAnsi="Arial"/>
          <w:sz w:val="5"/>
          <w:szCs w:val="5"/>
          <w:color w:val="FFFFFF"/>
          <w:vertAlign w:val="superscript"/>
        </w:rPr>
        <w:t>-</w:t>
      </w:r>
    </w:p>
    <w:p>
      <w:pPr>
        <w:ind w:left="80"/>
        <w:spacing w:after="0"/>
        <w:rPr>
          <w:sz w:val="20"/>
          <w:szCs w:val="20"/>
          <w:color w:val="auto"/>
        </w:rPr>
      </w:pPr>
      <w:r>
        <w:rPr>
          <w:rFonts w:ascii="Arial" w:cs="Arial" w:eastAsia="Arial" w:hAnsi="Arial"/>
          <w:sz w:val="3"/>
          <w:szCs w:val="3"/>
          <w:color w:val="FFFFFF"/>
        </w:rPr>
        <w:t>GainIndia onJV SaabImpairmentSale0.1&amp;0.0related charges 0.0 (0.1)</w:t>
      </w:r>
    </w:p>
    <w:p>
      <w:pPr>
        <w:jc w:val="center"/>
        <w:ind w:right="8759"/>
        <w:spacing w:after="0" w:line="194" w:lineRule="auto"/>
        <w:rPr>
          <w:sz w:val="20"/>
          <w:szCs w:val="20"/>
          <w:color w:val="auto"/>
        </w:rPr>
      </w:pPr>
      <w:r>
        <w:rPr>
          <w:rFonts w:ascii="Arial" w:cs="Arial" w:eastAsia="Arial" w:hAnsi="Arial"/>
          <w:sz w:val="5"/>
          <w:szCs w:val="5"/>
          <w:color w:val="FFFFFF"/>
          <w:vertAlign w:val="superscript"/>
        </w:rPr>
        <w:t>EBIT</w:t>
      </w:r>
      <w:r>
        <w:rPr>
          <w:rFonts w:ascii="Arial" w:cs="Arial" w:eastAsia="Arial" w:hAnsi="Arial"/>
          <w:sz w:val="3"/>
          <w:szCs w:val="3"/>
          <w:color w:val="FFFFFF"/>
        </w:rPr>
        <w:t>otal Special Items 0.1 1.5</w:t>
      </w:r>
    </w:p>
    <w:p>
      <w:pPr>
        <w:jc w:val="center"/>
        <w:ind w:right="8799"/>
        <w:spacing w:after="0"/>
        <w:rPr>
          <w:sz w:val="20"/>
          <w:szCs w:val="20"/>
          <w:color w:val="auto"/>
        </w:rPr>
      </w:pPr>
      <w:r>
        <w:rPr>
          <w:rFonts w:ascii="Arial" w:cs="Arial" w:eastAsia="Arial" w:hAnsi="Arial"/>
          <w:sz w:val="3"/>
          <w:szCs w:val="3"/>
          <w:color w:val="FFFFFF"/>
        </w:rPr>
        <w:t>– Adj. 1.7 2.0</w:t>
      </w:r>
    </w:p>
    <w:p>
      <w:pPr>
        <w:spacing w:after="0" w:line="6" w:lineRule="exact"/>
        <w:rPr>
          <w:sz w:val="20"/>
          <w:szCs w:val="20"/>
          <w:color w:val="auto"/>
        </w:rPr>
      </w:pPr>
    </w:p>
    <w:p>
      <w:pPr>
        <w:ind w:left="340" w:right="4899" w:hanging="333"/>
        <w:spacing w:after="0" w:line="182" w:lineRule="auto"/>
        <w:rPr>
          <w:sz w:val="20"/>
          <w:szCs w:val="20"/>
          <w:color w:val="auto"/>
        </w:rPr>
      </w:pPr>
      <w:r>
        <w:rPr>
          <w:rFonts w:ascii="Arial" w:cs="Arial" w:eastAsia="Arial" w:hAnsi="Arial"/>
          <w:sz w:val="14"/>
          <w:szCs w:val="14"/>
          <w:color w:val="FFFFFF"/>
          <w:vertAlign w:val="subscript"/>
        </w:rPr>
        <w:t>Note:</w:t>
      </w:r>
      <w:r>
        <w:rPr>
          <w:rFonts w:ascii="Arial" w:cs="Arial" w:eastAsia="Arial" w:hAnsi="Arial"/>
          <w:sz w:val="9"/>
          <w:szCs w:val="9"/>
          <w:color w:val="FFFFFF"/>
        </w:rPr>
        <w:t xml:space="preserve"> Q1 2011 EBIT &amp; EBIT-Adj. includes GM Financial on an Earnings Before Tax (EBT) basis Results may not foot due to rounding S2</w:t>
      </w:r>
    </w:p>
    <w:p>
      <w:pPr>
        <w:sectPr>
          <w:pgSz w:w="11900" w:h="16838" w:orient="portrait"/>
          <w:cols w:equalWidth="0" w:num="1">
            <w:col w:w="10219"/>
          </w:cols>
          <w:pgMar w:left="240" w:top="1440" w:right="1440"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7"/>
          <w:szCs w:val="27"/>
          <w:color w:val="FFFFFF"/>
          <w:vertAlign w:val="superscript"/>
        </w:rPr>
        <w:t>Q1</w:t>
      </w:r>
      <w:r>
        <w:rPr>
          <w:rFonts w:ascii="Arial" w:cs="Arial" w:eastAsia="Arial" w:hAnsi="Arial"/>
          <w:sz w:val="14"/>
          <w:szCs w:val="14"/>
          <w:color w:val="FFFFFF"/>
        </w:rPr>
        <w:t xml:space="preserve"> 2011 Special Items</w:t>
      </w:r>
    </w:p>
    <w:p>
      <w:pPr>
        <w:ind w:left="200"/>
        <w:spacing w:after="0"/>
        <w:rPr>
          <w:sz w:val="20"/>
          <w:szCs w:val="20"/>
          <w:color w:val="auto"/>
        </w:rPr>
      </w:pPr>
      <w:r>
        <w:rPr>
          <w:rFonts w:ascii="Arial" w:cs="Arial" w:eastAsia="Arial" w:hAnsi="Arial"/>
          <w:sz w:val="3"/>
          <w:szCs w:val="3"/>
          <w:color w:val="FFFFFF"/>
        </w:rPr>
        <w:t>Q1</w:t>
      </w:r>
    </w:p>
    <w:p>
      <w:pPr>
        <w:spacing w:after="0" w:line="181" w:lineRule="auto"/>
        <w:rPr>
          <w:sz w:val="20"/>
          <w:szCs w:val="20"/>
          <w:color w:val="auto"/>
        </w:rPr>
      </w:pPr>
      <w:r>
        <w:rPr>
          <w:rFonts w:ascii="Arial" w:cs="Arial" w:eastAsia="Arial" w:hAnsi="Arial"/>
          <w:sz w:val="10"/>
          <w:szCs w:val="10"/>
          <w:color w:val="FFFFFF"/>
        </w:rPr>
        <w:t>($B) 2010 2011</w:t>
      </w:r>
    </w:p>
    <w:p>
      <w:pPr>
        <w:spacing w:after="0"/>
        <w:rPr>
          <w:sz w:val="20"/>
          <w:szCs w:val="20"/>
          <w:color w:val="auto"/>
        </w:rPr>
      </w:pPr>
      <w:r>
        <w:rPr>
          <w:rFonts w:ascii="Arial" w:cs="Arial" w:eastAsia="Arial" w:hAnsi="Arial"/>
          <w:sz w:val="3"/>
          <w:szCs w:val="3"/>
          <w:color w:val="FFFFFF"/>
        </w:rPr>
        <w:t>Total-SaleGMNAofDelphi0.0Membership1.6 Interest 0.0 1.6</w:t>
      </w:r>
    </w:p>
    <w:p>
      <w:pPr>
        <w:spacing w:after="0" w:line="194" w:lineRule="auto"/>
        <w:rPr>
          <w:sz w:val="20"/>
          <w:szCs w:val="20"/>
          <w:color w:val="auto"/>
        </w:rPr>
      </w:pPr>
      <w:r>
        <w:rPr>
          <w:rFonts w:ascii="Arial" w:cs="Arial" w:eastAsia="Arial" w:hAnsi="Arial"/>
          <w:sz w:val="5"/>
          <w:szCs w:val="5"/>
          <w:color w:val="FFFFFF"/>
          <w:vertAlign w:val="superscript"/>
        </w:rPr>
        <w:t>- GME</w:t>
      </w:r>
    </w:p>
    <w:p>
      <w:pPr>
        <w:ind w:left="180"/>
        <w:spacing w:after="0"/>
        <w:rPr>
          <w:sz w:val="20"/>
          <w:szCs w:val="20"/>
          <w:color w:val="auto"/>
        </w:rPr>
      </w:pPr>
      <w:r>
        <w:rPr>
          <w:rFonts w:ascii="Arial" w:cs="Arial" w:eastAsia="Arial" w:hAnsi="Arial"/>
          <w:sz w:val="3"/>
          <w:szCs w:val="3"/>
          <w:color w:val="FFFFFF"/>
        </w:rPr>
        <w:t>ain onGoodwillSaabSaleImpairment0.10.0 0.0 (0.4)</w:t>
      </w:r>
    </w:p>
    <w:p>
      <w:pPr>
        <w:spacing w:after="0" w:line="181" w:lineRule="auto"/>
        <w:rPr>
          <w:sz w:val="20"/>
          <w:szCs w:val="20"/>
          <w:color w:val="auto"/>
        </w:rPr>
      </w:pPr>
      <w:r>
        <w:rPr>
          <w:rFonts w:ascii="Arial" w:cs="Arial" w:eastAsia="Arial" w:hAnsi="Arial"/>
          <w:sz w:val="10"/>
          <w:szCs w:val="10"/>
          <w:color w:val="FFFFFF"/>
        </w:rPr>
        <w:t>Total GME 0.1 (0.4)</w:t>
      </w:r>
    </w:p>
    <w:p>
      <w:pPr>
        <w:spacing w:after="0" w:line="213" w:lineRule="auto"/>
        <w:rPr>
          <w:sz w:val="20"/>
          <w:szCs w:val="20"/>
          <w:color w:val="auto"/>
        </w:rPr>
      </w:pPr>
      <w:r>
        <w:rPr>
          <w:rFonts w:ascii="Arial" w:cs="Arial" w:eastAsia="Arial" w:hAnsi="Arial"/>
          <w:sz w:val="2"/>
          <w:szCs w:val="2"/>
          <w:color w:val="FFFFFF"/>
        </w:rPr>
        <w:t>Total-IndiaGMSAJV</w:t>
      </w:r>
      <w:r>
        <w:rPr>
          <w:rFonts w:ascii="Arial" w:cs="Arial" w:eastAsia="Arial" w:hAnsi="Arial"/>
          <w:sz w:val="4"/>
          <w:szCs w:val="4"/>
          <w:color w:val="FFFFFF"/>
          <w:vertAlign w:val="superscript"/>
        </w:rPr>
        <w:t>IO</w:t>
      </w:r>
      <w:r>
        <w:rPr>
          <w:rFonts w:ascii="Arial" w:cs="Arial" w:eastAsia="Arial" w:hAnsi="Arial"/>
          <w:sz w:val="2"/>
          <w:szCs w:val="2"/>
          <w:color w:val="FFFFFF"/>
        </w:rPr>
        <w:t>Impairment</w:t>
      </w:r>
      <w:r>
        <w:rPr>
          <w:rFonts w:ascii="Arial" w:cs="Arial" w:eastAsia="Arial" w:hAnsi="Arial"/>
          <w:sz w:val="4"/>
          <w:szCs w:val="4"/>
          <w:color w:val="FFFFFF"/>
          <w:vertAlign w:val="superscript"/>
        </w:rPr>
        <w:t>0.0</w:t>
      </w:r>
      <w:r>
        <w:rPr>
          <w:rFonts w:ascii="Arial" w:cs="Arial" w:eastAsia="Arial" w:hAnsi="Arial"/>
          <w:sz w:val="2"/>
          <w:szCs w:val="2"/>
          <w:color w:val="FFFFFF"/>
        </w:rPr>
        <w:t>(0</w:t>
      </w:r>
      <w:r>
        <w:rPr>
          <w:rFonts w:ascii="Arial" w:cs="Arial" w:eastAsia="Arial" w:hAnsi="Arial"/>
          <w:sz w:val="4"/>
          <w:szCs w:val="4"/>
          <w:color w:val="FFFFFF"/>
          <w:vertAlign w:val="superscript"/>
        </w:rPr>
        <w:t>.1)</w:t>
      </w:r>
      <w:r>
        <w:rPr>
          <w:rFonts w:ascii="Arial" w:cs="Arial" w:eastAsia="Arial" w:hAnsi="Arial"/>
          <w:sz w:val="2"/>
          <w:szCs w:val="2"/>
          <w:color w:val="FFFFFF"/>
        </w:rPr>
        <w:t xml:space="preserve"> &amp; related charges 0.0 (0.1)</w:t>
      </w:r>
    </w:p>
    <w:p>
      <w:pPr>
        <w:ind w:left="740"/>
        <w:spacing w:after="0" w:line="187" w:lineRule="auto"/>
        <w:rPr>
          <w:sz w:val="20"/>
          <w:szCs w:val="20"/>
          <w:color w:val="auto"/>
        </w:rPr>
      </w:pPr>
      <w:r>
        <w:rPr>
          <w:rFonts w:ascii="Arial" w:cs="Arial" w:eastAsia="Arial" w:hAnsi="Arial"/>
          <w:sz w:val="9"/>
          <w:szCs w:val="9"/>
          <w:color w:val="FFFFFF"/>
        </w:rPr>
        <w:t>0.0  .0</w:t>
      </w:r>
    </w:p>
    <w:p>
      <w:pPr>
        <w:spacing w:after="0" w:line="213" w:lineRule="auto"/>
        <w:rPr>
          <w:sz w:val="20"/>
          <w:szCs w:val="20"/>
          <w:color w:val="auto"/>
        </w:rPr>
      </w:pPr>
      <w:r>
        <w:rPr>
          <w:rFonts w:ascii="Arial" w:cs="Arial" w:eastAsia="Arial" w:hAnsi="Arial"/>
          <w:sz w:val="4"/>
          <w:szCs w:val="4"/>
          <w:color w:val="FFFFFF"/>
          <w:vertAlign w:val="subscript"/>
        </w:rPr>
        <w:t>Total</w:t>
      </w:r>
      <w:r>
        <w:rPr>
          <w:rFonts w:ascii="Arial" w:cs="Arial" w:eastAsia="Arial" w:hAnsi="Arial"/>
          <w:sz w:val="2"/>
          <w:szCs w:val="2"/>
          <w:color w:val="FFFFFF"/>
        </w:rPr>
        <w:t>-SaleCorp.ofAlly0.0Preferred0.3 0.0 0.3</w:t>
      </w:r>
    </w:p>
    <w:p>
      <w:pPr>
        <w:ind w:left="320"/>
        <w:spacing w:after="0"/>
        <w:rPr>
          <w:sz w:val="20"/>
          <w:szCs w:val="20"/>
          <w:color w:val="auto"/>
        </w:rPr>
      </w:pPr>
      <w:r>
        <w:rPr>
          <w:rFonts w:ascii="Arial" w:cs="Arial" w:eastAsia="Arial" w:hAnsi="Arial"/>
          <w:sz w:val="3"/>
          <w:szCs w:val="3"/>
          <w:color w:val="FFFFFF"/>
        </w:rPr>
        <w:t>Special Items 0.1 1.5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Note: Results may not foot due to rounding S3</w:t>
      </w:r>
    </w:p>
    <w:p>
      <w:pPr>
        <w:sectPr>
          <w:pgSz w:w="11900" w:h="16838" w:orient="portrait"/>
          <w:cols w:equalWidth="0" w:num="1">
            <w:col w:w="10219"/>
          </w:cols>
          <w:pgMar w:left="240" w:top="1440" w:right="1440"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4"/>
          </w:tcPr>
          <w:p>
            <w:pPr>
              <w:spacing w:after="0"/>
              <w:rPr>
                <w:sz w:val="20"/>
                <w:szCs w:val="20"/>
                <w:color w:val="auto"/>
              </w:rPr>
            </w:pPr>
            <w:r>
              <w:rPr>
                <w:rFonts w:ascii="Arial" w:cs="Arial" w:eastAsia="Arial" w:hAnsi="Arial"/>
                <w:sz w:val="14"/>
                <w:szCs w:val="14"/>
                <w:color w:val="FFFFFF"/>
                <w:w w:val="97"/>
              </w:rPr>
              <w:t>Restructuring (not included in special items)</w:t>
            </w:r>
          </w:p>
        </w:tc>
        <w:tc>
          <w:tcPr>
            <w:tcW w:w="0" w:type="dxa"/>
            <w:vAlign w:val="bottom"/>
          </w:tcPr>
          <w:p>
            <w:pPr>
              <w:spacing w:after="0"/>
              <w:rPr>
                <w:sz w:val="1"/>
                <w:szCs w:val="1"/>
                <w:color w:val="auto"/>
              </w:rPr>
            </w:pPr>
          </w:p>
        </w:tc>
      </w:tr>
      <w:tr>
        <w:trPr>
          <w:trHeight w:val="41"/>
        </w:trPr>
        <w:tc>
          <w:tcPr>
            <w:tcW w:w="1600" w:type="dxa"/>
            <w:vAlign w:val="bottom"/>
            <w:gridSpan w:val="3"/>
          </w:tcPr>
          <w:p>
            <w:pPr>
              <w:spacing w:after="0"/>
              <w:rPr>
                <w:sz w:val="20"/>
                <w:szCs w:val="20"/>
                <w:color w:val="auto"/>
              </w:rPr>
            </w:pPr>
            <w:r>
              <w:rPr>
                <w:rFonts w:ascii="Arial" w:cs="Arial" w:eastAsia="Arial" w:hAnsi="Arial"/>
                <w:sz w:val="3"/>
                <w:szCs w:val="3"/>
                <w:color w:val="FFFFFF"/>
              </w:rPr>
              <w:t>Q1 Q2 Q3 Q4 Q1</w:t>
            </w:r>
          </w:p>
        </w:tc>
        <w:tc>
          <w:tcPr>
            <w:tcW w:w="1060" w:type="dxa"/>
            <w:vAlign w:val="bottom"/>
            <w:vMerge w:val="restart"/>
          </w:tcPr>
          <w:p>
            <w:pPr>
              <w:jc w:val="right"/>
              <w:ind w:right="849"/>
              <w:spacing w:after="0" w:line="81" w:lineRule="exact"/>
              <w:rPr>
                <w:sz w:val="20"/>
                <w:szCs w:val="20"/>
                <w:color w:val="auto"/>
              </w:rPr>
            </w:pPr>
            <w:r>
              <w:rPr>
                <w:rFonts w:ascii="Arial" w:cs="Arial" w:eastAsia="Arial" w:hAnsi="Arial"/>
                <w:sz w:val="9"/>
                <w:szCs w:val="9"/>
                <w:color w:val="FFFFFF"/>
              </w:rPr>
              <w:t>1</w:t>
            </w:r>
          </w:p>
        </w:tc>
        <w:tc>
          <w:tcPr>
            <w:tcW w:w="0" w:type="dxa"/>
            <w:vAlign w:val="bottom"/>
          </w:tcPr>
          <w:p>
            <w:pPr>
              <w:spacing w:after="0"/>
              <w:rPr>
                <w:sz w:val="1"/>
                <w:szCs w:val="1"/>
                <w:color w:val="auto"/>
              </w:rPr>
            </w:pPr>
          </w:p>
        </w:tc>
      </w:tr>
      <w:tr>
        <w:trPr>
          <w:trHeight w:val="41"/>
        </w:trPr>
        <w:tc>
          <w:tcPr>
            <w:tcW w:w="1600" w:type="dxa"/>
            <w:vAlign w:val="bottom"/>
            <w:gridSpan w:val="3"/>
          </w:tcPr>
          <w:p>
            <w:pPr>
              <w:spacing w:after="0"/>
              <w:rPr>
                <w:sz w:val="20"/>
                <w:szCs w:val="20"/>
                <w:color w:val="auto"/>
              </w:rPr>
            </w:pPr>
            <w:r>
              <w:rPr>
                <w:rFonts w:ascii="Arial" w:cs="Arial" w:eastAsia="Arial" w:hAnsi="Arial"/>
                <w:sz w:val="3"/>
                <w:szCs w:val="3"/>
                <w:color w:val="FFFFFF"/>
              </w:rPr>
              <w:t>($B) 2010 2010 2010</w:t>
            </w: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60" w:type="dxa"/>
            <w:vAlign w:val="bottom"/>
            <w:gridSpan w:val="4"/>
          </w:tcPr>
          <w:p>
            <w:pPr>
              <w:jc w:val="center"/>
              <w:ind w:left="258"/>
              <w:spacing w:after="0"/>
              <w:rPr>
                <w:sz w:val="20"/>
                <w:szCs w:val="20"/>
                <w:color w:val="auto"/>
              </w:rPr>
            </w:pPr>
            <w:r>
              <w:rPr>
                <w:rFonts w:ascii="Arial" w:cs="Arial" w:eastAsia="Arial" w:hAnsi="Arial"/>
                <w:sz w:val="3"/>
                <w:szCs w:val="3"/>
                <w:color w:val="FFFFFF"/>
              </w:rPr>
              <w:t>Dealer Related2010.0201.0 0.0 0.0 0.0</w:t>
            </w:r>
          </w:p>
        </w:tc>
        <w:tc>
          <w:tcPr>
            <w:tcW w:w="0" w:type="dxa"/>
            <w:vAlign w:val="bottom"/>
          </w:tcPr>
          <w:p>
            <w:pPr>
              <w:spacing w:after="0"/>
              <w:rPr>
                <w:sz w:val="1"/>
                <w:szCs w:val="1"/>
                <w:color w:val="auto"/>
              </w:rPr>
            </w:pPr>
          </w:p>
        </w:tc>
      </w:tr>
      <w:tr>
        <w:trPr>
          <w:trHeight w:val="41"/>
        </w:trPr>
        <w:tc>
          <w:tcPr>
            <w:tcW w:w="2660" w:type="dxa"/>
            <w:vAlign w:val="bottom"/>
            <w:gridSpan w:val="4"/>
          </w:tcPr>
          <w:p>
            <w:pPr>
              <w:spacing w:after="0"/>
              <w:rPr>
                <w:sz w:val="20"/>
                <w:szCs w:val="20"/>
                <w:color w:val="auto"/>
              </w:rPr>
            </w:pPr>
            <w:r>
              <w:rPr>
                <w:rFonts w:ascii="Arial" w:cs="Arial" w:eastAsia="Arial" w:hAnsi="Arial"/>
                <w:sz w:val="3"/>
                <w:szCs w:val="3"/>
                <w:color w:val="FFFFFF"/>
              </w:rPr>
              <w:t>GMNA – Non-Dealer Related 0.1 0.0 0.0 0.2 0.0</w:t>
            </w:r>
          </w:p>
        </w:tc>
        <w:tc>
          <w:tcPr>
            <w:tcW w:w="0" w:type="dxa"/>
            <w:vAlign w:val="bottom"/>
          </w:tcPr>
          <w:p>
            <w:pPr>
              <w:spacing w:after="0"/>
              <w:rPr>
                <w:sz w:val="1"/>
                <w:szCs w:val="1"/>
                <w:color w:val="auto"/>
              </w:rPr>
            </w:pPr>
          </w:p>
        </w:tc>
      </w:tr>
      <w:tr>
        <w:trPr>
          <w:trHeight w:val="41"/>
        </w:trPr>
        <w:tc>
          <w:tcPr>
            <w:tcW w:w="940" w:type="dxa"/>
            <w:vAlign w:val="bottom"/>
            <w:gridSpan w:val="2"/>
          </w:tcPr>
          <w:p>
            <w:pPr>
              <w:ind w:left="540"/>
              <w:spacing w:after="0"/>
              <w:rPr>
                <w:sz w:val="20"/>
                <w:szCs w:val="20"/>
                <w:color w:val="auto"/>
              </w:rPr>
            </w:pPr>
            <w:r>
              <w:rPr>
                <w:rFonts w:ascii="Arial" w:cs="Arial" w:eastAsia="Arial" w:hAnsi="Arial"/>
                <w:sz w:val="3"/>
                <w:szCs w:val="3"/>
                <w:color w:val="FFFFFF"/>
              </w:rPr>
              <w:t>NA 0.1</w:t>
            </w:r>
          </w:p>
        </w:tc>
        <w:tc>
          <w:tcPr>
            <w:tcW w:w="660" w:type="dxa"/>
            <w:vAlign w:val="bottom"/>
          </w:tcPr>
          <w:p>
            <w:pPr>
              <w:jc w:val="right"/>
              <w:ind w:right="43"/>
              <w:spacing w:after="0"/>
              <w:rPr>
                <w:sz w:val="20"/>
                <w:szCs w:val="20"/>
                <w:color w:val="auto"/>
              </w:rPr>
            </w:pPr>
            <w:r>
              <w:rPr>
                <w:rFonts w:ascii="Arial" w:cs="Arial" w:eastAsia="Arial" w:hAnsi="Arial"/>
                <w:sz w:val="3"/>
                <w:szCs w:val="3"/>
                <w:color w:val="FFFFFF"/>
              </w:rPr>
              <w:t>.0 0.  0.2</w:t>
            </w:r>
          </w:p>
        </w:tc>
        <w:tc>
          <w:tcPr>
            <w:tcW w:w="1060" w:type="dxa"/>
            <w:vAlign w:val="bottom"/>
          </w:tcPr>
          <w:p>
            <w:pPr>
              <w:jc w:val="right"/>
              <w:ind w:right="889"/>
              <w:spacing w:after="0"/>
              <w:rPr>
                <w:sz w:val="20"/>
                <w:szCs w:val="20"/>
                <w:color w:val="auto"/>
              </w:rPr>
            </w:pPr>
            <w:r>
              <w:rPr>
                <w:rFonts w:ascii="Arial" w:cs="Arial" w:eastAsia="Arial" w:hAnsi="Arial"/>
                <w:sz w:val="3"/>
                <w:szCs w:val="3"/>
                <w:color w:val="FFFFFF"/>
              </w:rPr>
              <w:t>.0</w:t>
            </w:r>
          </w:p>
        </w:tc>
        <w:tc>
          <w:tcPr>
            <w:tcW w:w="0" w:type="dxa"/>
            <w:vAlign w:val="bottom"/>
          </w:tcPr>
          <w:p>
            <w:pPr>
              <w:spacing w:after="0"/>
              <w:rPr>
                <w:sz w:val="1"/>
                <w:szCs w:val="1"/>
                <w:color w:val="auto"/>
              </w:rPr>
            </w:pPr>
          </w:p>
        </w:tc>
      </w:tr>
      <w:tr>
        <w:trPr>
          <w:trHeight w:val="41"/>
        </w:trPr>
        <w:tc>
          <w:tcPr>
            <w:tcW w:w="940" w:type="dxa"/>
            <w:vAlign w:val="bottom"/>
            <w:gridSpan w:val="2"/>
          </w:tcPr>
          <w:p>
            <w:pPr>
              <w:ind w:left="540"/>
              <w:spacing w:after="0"/>
              <w:rPr>
                <w:sz w:val="20"/>
                <w:szCs w:val="20"/>
                <w:color w:val="auto"/>
              </w:rPr>
            </w:pPr>
            <w:r>
              <w:rPr>
                <w:rFonts w:ascii="Arial" w:cs="Arial" w:eastAsia="Arial" w:hAnsi="Arial"/>
                <w:sz w:val="3"/>
                <w:szCs w:val="3"/>
                <w:color w:val="FFFFFF"/>
              </w:rPr>
              <w:t>E (0.3)</w:t>
            </w:r>
          </w:p>
        </w:tc>
        <w:tc>
          <w:tcPr>
            <w:tcW w:w="1720" w:type="dxa"/>
            <w:vAlign w:val="bottom"/>
            <w:gridSpan w:val="2"/>
          </w:tcPr>
          <w:p>
            <w:pPr>
              <w:jc w:val="right"/>
              <w:ind w:right="629"/>
              <w:spacing w:after="0"/>
              <w:rPr>
                <w:sz w:val="20"/>
                <w:szCs w:val="20"/>
                <w:color w:val="auto"/>
              </w:rPr>
            </w:pPr>
            <w:r>
              <w:rPr>
                <w:rFonts w:ascii="Arial" w:cs="Arial" w:eastAsia="Arial" w:hAnsi="Arial"/>
                <w:sz w:val="3"/>
                <w:szCs w:val="3"/>
                <w:color w:val="FFFFFF"/>
              </w:rPr>
              <w:t>(0.2) (0.1) (0.1) 0.0</w:t>
            </w:r>
          </w:p>
        </w:tc>
        <w:tc>
          <w:tcPr>
            <w:tcW w:w="0" w:type="dxa"/>
            <w:vAlign w:val="bottom"/>
          </w:tcPr>
          <w:p>
            <w:pPr>
              <w:spacing w:after="0"/>
              <w:rPr>
                <w:sz w:val="1"/>
                <w:szCs w:val="1"/>
                <w:color w:val="auto"/>
              </w:rPr>
            </w:pPr>
          </w:p>
        </w:tc>
      </w:tr>
      <w:tr>
        <w:trPr>
          <w:trHeight w:val="41"/>
        </w:trPr>
        <w:tc>
          <w:tcPr>
            <w:tcW w:w="2660" w:type="dxa"/>
            <w:vAlign w:val="bottom"/>
            <w:gridSpan w:val="4"/>
          </w:tcPr>
          <w:p>
            <w:pPr>
              <w:ind w:left="540"/>
              <w:spacing w:after="0"/>
              <w:rPr>
                <w:sz w:val="20"/>
                <w:szCs w:val="20"/>
                <w:color w:val="auto"/>
              </w:rPr>
            </w:pPr>
            <w:r>
              <w:rPr>
                <w:rFonts w:ascii="Arial" w:cs="Arial" w:eastAsia="Arial" w:hAnsi="Arial"/>
                <w:sz w:val="3"/>
                <w:szCs w:val="3"/>
                <w:color w:val="FFFFFF"/>
              </w:rPr>
              <w:t>IO 0.0 0.0 0.0 0.0 0.0</w:t>
            </w:r>
          </w:p>
        </w:tc>
        <w:tc>
          <w:tcPr>
            <w:tcW w:w="0" w:type="dxa"/>
            <w:vAlign w:val="bottom"/>
          </w:tcPr>
          <w:p>
            <w:pPr>
              <w:spacing w:after="0"/>
              <w:rPr>
                <w:sz w:val="1"/>
                <w:szCs w:val="1"/>
                <w:color w:val="auto"/>
              </w:rPr>
            </w:pPr>
          </w:p>
        </w:tc>
      </w:tr>
      <w:tr>
        <w:trPr>
          <w:trHeight w:val="41"/>
        </w:trPr>
        <w:tc>
          <w:tcPr>
            <w:tcW w:w="2660" w:type="dxa"/>
            <w:vAlign w:val="bottom"/>
            <w:gridSpan w:val="4"/>
          </w:tcPr>
          <w:p>
            <w:pPr>
              <w:ind w:left="320"/>
              <w:spacing w:after="0"/>
              <w:rPr>
                <w:sz w:val="20"/>
                <w:szCs w:val="20"/>
                <w:color w:val="auto"/>
              </w:rPr>
            </w:pPr>
            <w:r>
              <w:rPr>
                <w:rFonts w:ascii="Arial" w:cs="Arial" w:eastAsia="Arial" w:hAnsi="Arial"/>
                <w:sz w:val="3"/>
                <w:szCs w:val="3"/>
                <w:color w:val="FFFFFF"/>
              </w:rPr>
              <w:t>GMSA 0.0  .0 0.0 0.0 0.0</w:t>
            </w:r>
          </w:p>
        </w:tc>
        <w:tc>
          <w:tcPr>
            <w:tcW w:w="0" w:type="dxa"/>
            <w:vAlign w:val="bottom"/>
          </w:tcPr>
          <w:p>
            <w:pPr>
              <w:spacing w:after="0"/>
              <w:rPr>
                <w:sz w:val="1"/>
                <w:szCs w:val="1"/>
                <w:color w:val="auto"/>
              </w:rPr>
            </w:pPr>
          </w:p>
        </w:tc>
      </w:tr>
      <w:tr>
        <w:trPr>
          <w:trHeight w:val="0"/>
        </w:trPr>
        <w:tc>
          <w:tcPr>
            <w:tcW w:w="880" w:type="dxa"/>
            <w:vAlign w:val="bottom"/>
          </w:tcPr>
          <w:p>
            <w:pPr>
              <w:spacing w:after="0"/>
              <w:rPr>
                <w:sz w:val="20"/>
                <w:szCs w:val="20"/>
                <w:color w:val="auto"/>
              </w:rPr>
            </w:pPr>
            <w:r>
              <w:rPr>
                <w:rFonts w:ascii="Arial" w:cs="Arial" w:eastAsia="Arial" w:hAnsi="Arial"/>
                <w:sz w:val="3"/>
                <w:szCs w:val="3"/>
                <w:color w:val="FFFFFF"/>
              </w:rPr>
              <w:t>Total (0.2) (0.2)</w:t>
            </w:r>
          </w:p>
        </w:tc>
        <w:tc>
          <w:tcPr>
            <w:tcW w:w="720" w:type="dxa"/>
            <w:vAlign w:val="bottom"/>
            <w:gridSpan w:val="2"/>
          </w:tcPr>
          <w:p>
            <w:pPr>
              <w:jc w:val="right"/>
              <w:ind w:right="23"/>
              <w:spacing w:after="0"/>
              <w:rPr>
                <w:sz w:val="20"/>
                <w:szCs w:val="20"/>
                <w:color w:val="auto"/>
              </w:rPr>
            </w:pPr>
            <w:r>
              <w:rPr>
                <w:rFonts w:ascii="Arial" w:cs="Arial" w:eastAsia="Arial" w:hAnsi="Arial"/>
                <w:sz w:val="3"/>
                <w:szCs w:val="3"/>
                <w:color w:val="FFFFFF"/>
              </w:rPr>
              <w:t>(0.1) 0.1 0.1</w:t>
            </w: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Note: Results may not foot due to rounding S4</w:t>
      </w:r>
    </w:p>
    <w:p>
      <w:pPr>
        <w:sectPr>
          <w:pgSz w:w="11900" w:h="16838" w:orient="portrait"/>
          <w:cols w:equalWidth="0" w:num="1">
            <w:col w:w="10219"/>
          </w:cols>
          <w:pgMar w:left="240" w:top="1440" w:right="1440"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FFFFFF"/>
        </w:rPr>
        <w:t>Operating Income Walk to EBIT- Adj</w:t>
      </w:r>
    </w:p>
    <w:p>
      <w:pPr>
        <w:spacing w:after="0"/>
        <w:rPr>
          <w:sz w:val="20"/>
          <w:szCs w:val="20"/>
          <w:color w:val="auto"/>
        </w:rPr>
      </w:pPr>
      <w:r>
        <w:rPr>
          <w:rFonts w:ascii="Arial" w:cs="Arial" w:eastAsia="Arial" w:hAnsi="Arial"/>
          <w:sz w:val="3"/>
          <w:szCs w:val="3"/>
          <w:color w:val="FFFFFF"/>
        </w:rPr>
        <w:t>Q1 Q2 Q3 Q4 Q1</w:t>
      </w:r>
    </w:p>
    <w:p>
      <w:pPr>
        <w:spacing w:after="0" w:line="181" w:lineRule="auto"/>
        <w:tabs>
          <w:tab w:leader="none" w:pos="1480" w:val="left"/>
        </w:tabs>
        <w:rPr>
          <w:sz w:val="20"/>
          <w:szCs w:val="20"/>
          <w:color w:val="auto"/>
        </w:rPr>
      </w:pPr>
      <w:r>
        <w:rPr>
          <w:rFonts w:ascii="Arial" w:cs="Arial" w:eastAsia="Arial" w:hAnsi="Arial"/>
          <w:sz w:val="10"/>
          <w:szCs w:val="10"/>
          <w:color w:val="FFFFFF"/>
          <w:vertAlign w:val="superscript"/>
        </w:rPr>
        <w:t>($B) 2010 2010</w:t>
      </w:r>
      <w:r>
        <w:rPr>
          <w:sz w:val="20"/>
          <w:szCs w:val="20"/>
          <w:color w:val="auto"/>
        </w:rPr>
        <w:tab/>
      </w:r>
      <w:r>
        <w:rPr>
          <w:rFonts w:ascii="Arial" w:cs="Arial" w:eastAsia="Arial" w:hAnsi="Arial"/>
          <w:sz w:val="7"/>
          <w:szCs w:val="7"/>
          <w:color w:val="FFFFFF"/>
        </w:rPr>
        <w:t>201</w:t>
      </w:r>
      <w:r>
        <w:rPr>
          <w:rFonts w:ascii="Arial" w:cs="Arial" w:eastAsia="Arial" w:hAnsi="Arial"/>
          <w:sz w:val="10"/>
          <w:szCs w:val="10"/>
          <w:color w:val="FFFFFF"/>
          <w:vertAlign w:val="superscript"/>
        </w:rPr>
        <w:t>1</w:t>
      </w:r>
    </w:p>
    <w:p>
      <w:pPr>
        <w:spacing w:after="0" w:line="213" w:lineRule="auto"/>
        <w:rPr>
          <w:sz w:val="20"/>
          <w:szCs w:val="20"/>
          <w:color w:val="auto"/>
        </w:rPr>
      </w:pPr>
      <w:r>
        <w:rPr>
          <w:rFonts w:ascii="Arial" w:cs="Arial" w:eastAsia="Arial" w:hAnsi="Arial"/>
          <w:sz w:val="2"/>
          <w:szCs w:val="2"/>
          <w:color w:val="FFFFFF"/>
        </w:rPr>
        <w:t>EquityOperatingIncomeIncome0.4</w:t>
      </w:r>
      <w:r>
        <w:rPr>
          <w:rFonts w:ascii="Arial" w:cs="Arial" w:eastAsia="Arial" w:hAnsi="Arial"/>
          <w:sz w:val="4"/>
          <w:szCs w:val="4"/>
          <w:color w:val="FFFFFF"/>
          <w:vertAlign w:val="subscript"/>
        </w:rPr>
        <w:t>2010</w:t>
      </w:r>
      <w:r>
        <w:rPr>
          <w:rFonts w:ascii="Arial" w:cs="Arial" w:eastAsia="Arial" w:hAnsi="Arial"/>
          <w:sz w:val="2"/>
          <w:szCs w:val="2"/>
          <w:color w:val="FFFFFF"/>
        </w:rPr>
        <w:t>..4</w:t>
      </w:r>
      <w:r>
        <w:rPr>
          <w:rFonts w:ascii="Arial" w:cs="Arial" w:eastAsia="Arial" w:hAnsi="Arial"/>
          <w:sz w:val="4"/>
          <w:szCs w:val="4"/>
          <w:color w:val="FFFFFF"/>
          <w:vertAlign w:val="subscript"/>
        </w:rPr>
        <w:t>2010</w:t>
      </w:r>
      <w:r>
        <w:rPr>
          <w:rFonts w:ascii="Arial" w:cs="Arial" w:eastAsia="Arial" w:hAnsi="Arial"/>
          <w:sz w:val="2"/>
          <w:szCs w:val="2"/>
          <w:color w:val="FFFFFF"/>
        </w:rPr>
        <w:t>..84.9.3 2.1.3 0.9</w:t>
      </w:r>
    </w:p>
    <w:p>
      <w:pPr>
        <w:spacing w:after="0" w:line="211" w:lineRule="auto"/>
        <w:rPr>
          <w:sz w:val="20"/>
          <w:szCs w:val="20"/>
          <w:color w:val="auto"/>
        </w:rPr>
      </w:pPr>
      <w:r>
        <w:rPr>
          <w:rFonts w:ascii="Arial" w:cs="Arial" w:eastAsia="Arial" w:hAnsi="Arial"/>
          <w:sz w:val="4"/>
          <w:szCs w:val="4"/>
          <w:color w:val="FFFFFF"/>
          <w:vertAlign w:val="superscript"/>
        </w:rPr>
        <w:t>Non-</w:t>
      </w:r>
      <w:r>
        <w:rPr>
          <w:rFonts w:ascii="Arial" w:cs="Arial" w:eastAsia="Arial" w:hAnsi="Arial"/>
          <w:sz w:val="2"/>
          <w:szCs w:val="2"/>
          <w:color w:val="FFFFFF"/>
        </w:rPr>
        <w:t>Controlling Interests (0.1) (0.1) (0.1) (0.</w:t>
      </w:r>
      <w:r>
        <w:rPr>
          <w:rFonts w:ascii="Arial" w:cs="Arial" w:eastAsia="Arial" w:hAnsi="Arial"/>
          <w:sz w:val="4"/>
          <w:szCs w:val="4"/>
          <w:color w:val="FFFFFF"/>
          <w:vertAlign w:val="superscript"/>
        </w:rPr>
        <w:t>1)</w:t>
      </w:r>
      <w:r>
        <w:rPr>
          <w:rFonts w:ascii="Arial" w:cs="Arial" w:eastAsia="Arial" w:hAnsi="Arial"/>
          <w:sz w:val="2"/>
          <w:szCs w:val="2"/>
          <w:color w:val="FFFFFF"/>
        </w:rPr>
        <w:t xml:space="preserve"> 0.0</w:t>
      </w:r>
    </w:p>
    <w:p>
      <w:pPr>
        <w:ind w:left="280"/>
        <w:spacing w:after="0" w:line="188" w:lineRule="auto"/>
        <w:rPr>
          <w:sz w:val="20"/>
          <w:szCs w:val="20"/>
          <w:color w:val="auto"/>
        </w:rPr>
      </w:pPr>
      <w:r>
        <w:rPr>
          <w:rFonts w:ascii="Arial" w:cs="Arial" w:eastAsia="Arial" w:hAnsi="Arial"/>
          <w:sz w:val="9"/>
          <w:szCs w:val="9"/>
          <w:color w:val="FFFFFF"/>
        </w:rPr>
        <w:t>Operating Income/(Expense) 0.3 (0.1) 0.  0.8 0.5</w:t>
      </w:r>
    </w:p>
    <w:p>
      <w:pPr>
        <w:spacing w:after="0"/>
        <w:rPr>
          <w:sz w:val="20"/>
          <w:szCs w:val="20"/>
          <w:color w:val="auto"/>
        </w:rPr>
      </w:pPr>
      <w:r>
        <w:rPr>
          <w:rFonts w:ascii="Arial" w:cs="Arial" w:eastAsia="Arial" w:hAnsi="Arial"/>
          <w:sz w:val="3"/>
          <w:szCs w:val="3"/>
          <w:color w:val="FFFFFF"/>
        </w:rPr>
        <w:t>1.Earnings82.02.3Before1.33.5Interest &amp; Taxes</w:t>
      </w:r>
    </w:p>
    <w:p>
      <w:pPr>
        <w:spacing w:after="0" w:line="194" w:lineRule="auto"/>
        <w:rPr>
          <w:sz w:val="20"/>
          <w:szCs w:val="20"/>
          <w:color w:val="auto"/>
        </w:rPr>
      </w:pPr>
      <w:r>
        <w:rPr>
          <w:rFonts w:ascii="Arial" w:cs="Arial" w:eastAsia="Arial" w:hAnsi="Arial"/>
          <w:sz w:val="5"/>
          <w:szCs w:val="5"/>
          <w:color w:val="FFFFFF"/>
        </w:rPr>
        <w:t>(EBIT)</w:t>
      </w:r>
    </w:p>
    <w:p>
      <w:pPr>
        <w:spacing w:after="0"/>
        <w:rPr>
          <w:sz w:val="20"/>
          <w:szCs w:val="20"/>
          <w:color w:val="auto"/>
        </w:rPr>
      </w:pPr>
      <w:r>
        <w:rPr>
          <w:rFonts w:ascii="Arial" w:cs="Arial" w:eastAsia="Arial" w:hAnsi="Arial"/>
          <w:sz w:val="3"/>
          <w:szCs w:val="3"/>
          <w:color w:val="FFFFFF"/>
        </w:rPr>
        <w:t>Less Special Items 0.1 0.0 0.0 0.3 1.5</w:t>
      </w:r>
    </w:p>
    <w:p>
      <w:pPr>
        <w:ind w:left="1460"/>
        <w:spacing w:after="0" w:line="125" w:lineRule="auto"/>
        <w:rPr>
          <w:sz w:val="20"/>
          <w:szCs w:val="20"/>
          <w:color w:val="auto"/>
        </w:rPr>
      </w:pPr>
      <w:r>
        <w:rPr>
          <w:rFonts w:ascii="Arial" w:cs="Arial" w:eastAsia="Arial" w:hAnsi="Arial"/>
          <w:sz w:val="1"/>
          <w:szCs w:val="1"/>
          <w:color w:val="FFFFFF"/>
        </w:rPr>
        <w:t>EBIT- Adj. 1.7 2.  2.3 1.0 2.0</w:t>
      </w:r>
    </w:p>
    <w:p>
      <w:pPr>
        <w:ind w:right="4559"/>
        <w:spacing w:after="0"/>
        <w:rPr>
          <w:sz w:val="20"/>
          <w:szCs w:val="20"/>
          <w:color w:val="auto"/>
        </w:rPr>
      </w:pPr>
      <w:r>
        <w:rPr>
          <w:rFonts w:ascii="Arial" w:cs="Arial" w:eastAsia="Arial" w:hAnsi="Arial"/>
          <w:sz w:val="12"/>
          <w:szCs w:val="12"/>
          <w:color w:val="FFFFFF"/>
        </w:rPr>
        <w:t>Note: Q4 &amp; CY 2011 EBIT &amp; EBIT-Adj. includes GM Financial on an Earnings Before Tax (EBT) basis S5</w:t>
      </w:r>
    </w:p>
    <w:p>
      <w:pPr>
        <w:sectPr>
          <w:pgSz w:w="11900" w:h="16838" w:orient="portrait"/>
          <w:cols w:equalWidth="0" w:num="1">
            <w:col w:w="10219"/>
          </w:cols>
          <w:pgMar w:left="240" w:top="1440" w:right="1440"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FFFFFF"/>
        </w:rPr>
        <w:t>Q1ReconciliationQ1 of Automotive Free Cash Flow</w:t>
      </w:r>
    </w:p>
    <w:p>
      <w:pPr>
        <w:spacing w:after="0"/>
        <w:rPr>
          <w:sz w:val="20"/>
          <w:szCs w:val="20"/>
          <w:color w:val="auto"/>
        </w:rPr>
      </w:pPr>
      <w:r>
        <w:rPr>
          <w:rFonts w:ascii="Arial" w:cs="Arial" w:eastAsia="Arial" w:hAnsi="Arial"/>
          <w:sz w:val="3"/>
          <w:szCs w:val="3"/>
          <w:color w:val="FFFFFF"/>
        </w:rPr>
        <w:t>($B) 2010 2011</w:t>
      </w:r>
    </w:p>
    <w:p>
      <w:pPr>
        <w:spacing w:after="0" w:line="181" w:lineRule="auto"/>
        <w:rPr>
          <w:sz w:val="20"/>
          <w:szCs w:val="20"/>
          <w:color w:val="auto"/>
        </w:rPr>
      </w:pPr>
      <w:r>
        <w:rPr>
          <w:rFonts w:ascii="Arial" w:cs="Arial" w:eastAsia="Arial" w:hAnsi="Arial"/>
          <w:sz w:val="7"/>
          <w:szCs w:val="7"/>
          <w:color w:val="FFFFFF"/>
        </w:rPr>
        <w:t xml:space="preserve">Net cash provided by </w:t>
      </w:r>
      <w:r>
        <w:rPr>
          <w:rFonts w:ascii="Arial" w:cs="Arial" w:eastAsia="Arial" w:hAnsi="Arial"/>
          <w:sz w:val="10"/>
          <w:szCs w:val="10"/>
          <w:color w:val="FFFFFF"/>
          <w:vertAlign w:val="subscript"/>
        </w:rPr>
        <w:t>operating</w:t>
      </w:r>
      <w:r>
        <w:rPr>
          <w:rFonts w:ascii="Arial" w:cs="Arial" w:eastAsia="Arial" w:hAnsi="Arial"/>
          <w:sz w:val="7"/>
          <w:szCs w:val="7"/>
          <w:color w:val="FFFFFF"/>
        </w:rPr>
        <w:t xml:space="preserve"> activities 1.9 (0.4)</w:t>
      </w:r>
    </w:p>
    <w:p>
      <w:pPr>
        <w:spacing w:after="0" w:line="213" w:lineRule="auto"/>
        <w:rPr>
          <w:sz w:val="20"/>
          <w:szCs w:val="20"/>
          <w:color w:val="auto"/>
        </w:rPr>
      </w:pPr>
      <w:r>
        <w:rPr>
          <w:rFonts w:ascii="Arial" w:cs="Arial" w:eastAsia="Arial" w:hAnsi="Arial"/>
          <w:sz w:val="2"/>
          <w:szCs w:val="2"/>
          <w:color w:val="FFFFFF"/>
        </w:rPr>
        <w:t>AutomotiveLessnetcashNetprovidedCash</w:t>
      </w:r>
      <w:r>
        <w:rPr>
          <w:rFonts w:ascii="Arial" w:cs="Arial" w:eastAsia="Arial" w:hAnsi="Arial"/>
          <w:sz w:val="4"/>
          <w:szCs w:val="4"/>
          <w:color w:val="FFFFFF"/>
          <w:vertAlign w:val="subscript"/>
        </w:rPr>
        <w:t>Provided/(Used)</w:t>
      </w:r>
      <w:r>
        <w:rPr>
          <w:rFonts w:ascii="Arial" w:cs="Arial" w:eastAsia="Arial" w:hAnsi="Arial"/>
          <w:sz w:val="2"/>
          <w:szCs w:val="2"/>
          <w:color w:val="FFFFFF"/>
        </w:rPr>
        <w:t>byratingactivities-GM Financial n/a 0.2</w:t>
      </w:r>
    </w:p>
    <w:p>
      <w:pPr>
        <w:spacing w:after="0"/>
        <w:rPr>
          <w:sz w:val="20"/>
          <w:szCs w:val="20"/>
          <w:color w:val="auto"/>
        </w:rPr>
      </w:pPr>
      <w:r>
        <w:rPr>
          <w:rFonts w:ascii="Arial" w:cs="Arial" w:eastAsia="Arial" w:hAnsi="Arial"/>
          <w:sz w:val="3"/>
          <w:szCs w:val="3"/>
          <w:color w:val="FFFFFF"/>
        </w:rPr>
        <w:t>1.9 (0.6)</w:t>
      </w:r>
    </w:p>
    <w:p>
      <w:pPr>
        <w:spacing w:after="0" w:line="194" w:lineRule="auto"/>
        <w:rPr>
          <w:sz w:val="20"/>
          <w:szCs w:val="20"/>
          <w:color w:val="auto"/>
        </w:rPr>
      </w:pPr>
      <w:r>
        <w:rPr>
          <w:rFonts w:ascii="Arial" w:cs="Arial" w:eastAsia="Arial" w:hAnsi="Arial"/>
          <w:sz w:val="5"/>
          <w:szCs w:val="5"/>
          <w:color w:val="FFFFFF"/>
        </w:rPr>
        <w:t>Operating Activities</w:t>
      </w:r>
    </w:p>
    <w:p>
      <w:pPr>
        <w:spacing w:after="0" w:line="188" w:lineRule="auto"/>
        <w:rPr>
          <w:sz w:val="20"/>
          <w:szCs w:val="20"/>
          <w:color w:val="auto"/>
        </w:rPr>
      </w:pPr>
      <w:r>
        <w:rPr>
          <w:rFonts w:ascii="Arial" w:cs="Arial" w:eastAsia="Arial" w:hAnsi="Arial"/>
          <w:sz w:val="9"/>
          <w:szCs w:val="9"/>
          <w:color w:val="FFFFFF"/>
        </w:rPr>
        <w:t>Capital expenditures (0.8) (1.3)</w:t>
      </w:r>
    </w:p>
    <w:p>
      <w:pPr>
        <w:spacing w:after="0"/>
        <w:rPr>
          <w:sz w:val="20"/>
          <w:szCs w:val="20"/>
          <w:color w:val="auto"/>
        </w:rPr>
      </w:pPr>
      <w:r>
        <w:rPr>
          <w:rFonts w:ascii="Arial" w:cs="Arial" w:eastAsia="Arial" w:hAnsi="Arial"/>
          <w:sz w:val="14"/>
          <w:szCs w:val="14"/>
          <w:color w:val="FFFFFF"/>
        </w:rPr>
        <w:t>S6Automotive Free Cash Flow 1.0 (1.9)</w:t>
      </w:r>
    </w:p>
    <w:p>
      <w:pPr>
        <w:sectPr>
          <w:pgSz w:w="11900" w:h="16838" w:orient="portrait"/>
          <w:cols w:equalWidth="0" w:num="1">
            <w:col w:w="10219"/>
          </w:cols>
          <w:pgMar w:left="240" w:top="1440" w:right="1440"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2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FFFFFF"/>
        </w:rPr>
        <w:t>GM Financial – Key Metrics</w:t>
      </w:r>
    </w:p>
    <w:p>
      <w:pPr>
        <w:spacing w:after="0"/>
        <w:rPr>
          <w:sz w:val="20"/>
          <w:szCs w:val="20"/>
          <w:color w:val="auto"/>
        </w:rPr>
      </w:pPr>
      <w:r>
        <w:rPr>
          <w:rFonts w:ascii="Arial" w:cs="Arial" w:eastAsia="Arial" w:hAnsi="Arial"/>
          <w:sz w:val="3"/>
          <w:szCs w:val="3"/>
          <w:color w:val="FFFFFF"/>
        </w:rPr>
        <w:t>($M) Q1 2011 Memo: Q1 2010*</w:t>
      </w:r>
    </w:p>
    <w:p>
      <w:pPr>
        <w:spacing w:after="0" w:line="194" w:lineRule="auto"/>
        <w:rPr>
          <w:sz w:val="20"/>
          <w:szCs w:val="20"/>
          <w:color w:val="auto"/>
        </w:rPr>
      </w:pPr>
      <w:r>
        <w:rPr>
          <w:rFonts w:ascii="Arial" w:cs="Arial" w:eastAsia="Arial" w:hAnsi="Arial"/>
          <w:sz w:val="5"/>
          <w:szCs w:val="5"/>
          <w:color w:val="FFFFFF"/>
        </w:rPr>
        <w:t>Earnings Before Tax 130 96</w:t>
      </w:r>
    </w:p>
    <w:p>
      <w:pPr>
        <w:spacing w:after="0" w:line="188" w:lineRule="auto"/>
        <w:rPr>
          <w:sz w:val="20"/>
          <w:szCs w:val="20"/>
          <w:color w:val="auto"/>
        </w:rPr>
      </w:pPr>
      <w:r>
        <w:rPr>
          <w:rFonts w:ascii="Arial" w:cs="Arial" w:eastAsia="Arial" w:hAnsi="Arial"/>
          <w:sz w:val="9"/>
          <w:szCs w:val="9"/>
          <w:color w:val="FFFFFF"/>
        </w:rPr>
        <w:t>Total Originations 1,449 624</w:t>
      </w:r>
    </w:p>
    <w:p>
      <w:pPr>
        <w:spacing w:after="0"/>
        <w:rPr>
          <w:sz w:val="20"/>
          <w:szCs w:val="20"/>
          <w:color w:val="auto"/>
        </w:rPr>
      </w:pPr>
      <w:r>
        <w:rPr>
          <w:rFonts w:ascii="Arial" w:cs="Arial" w:eastAsia="Arial" w:hAnsi="Arial"/>
          <w:sz w:val="3"/>
          <w:szCs w:val="3"/>
          <w:color w:val="FFFFFF"/>
        </w:rPr>
        <w:t>GM new vehicles as % of total 38.8% N/A</w:t>
      </w:r>
    </w:p>
    <w:p>
      <w:pPr>
        <w:spacing w:after="0" w:line="181" w:lineRule="auto"/>
        <w:rPr>
          <w:sz w:val="20"/>
          <w:szCs w:val="20"/>
          <w:color w:val="auto"/>
        </w:rPr>
      </w:pPr>
      <w:r>
        <w:rPr>
          <w:rFonts w:ascii="Arial" w:cs="Arial" w:eastAsia="Arial" w:hAnsi="Arial"/>
          <w:sz w:val="10"/>
          <w:szCs w:val="10"/>
          <w:color w:val="FFFFFF"/>
        </w:rPr>
        <w:t>DelinquenciesFinanceReceivables(&gt;30days)8,7505.3%8,8107.5%</w:t>
      </w:r>
    </w:p>
    <w:p>
      <w:pPr>
        <w:spacing w:after="0" w:line="188" w:lineRule="auto"/>
        <w:rPr>
          <w:sz w:val="20"/>
          <w:szCs w:val="20"/>
          <w:color w:val="auto"/>
        </w:rPr>
      </w:pPr>
      <w:r>
        <w:rPr>
          <w:rFonts w:ascii="Arial" w:cs="Arial" w:eastAsia="Arial" w:hAnsi="Arial"/>
          <w:sz w:val="9"/>
          <w:szCs w:val="9"/>
          <w:color w:val="FFFFFF"/>
        </w:rPr>
        <w:t>avg.Annualizedreceivablesnetcharge-offs as % of 4.0% 7.6%</w:t>
      </w:r>
    </w:p>
    <w:p>
      <w:pPr>
        <w:spacing w:after="0"/>
        <w:rPr>
          <w:sz w:val="20"/>
          <w:szCs w:val="20"/>
          <w:color w:val="auto"/>
        </w:rPr>
      </w:pPr>
      <w:r>
        <w:rPr>
          <w:rFonts w:ascii="Arial" w:cs="Arial" w:eastAsia="Arial" w:hAnsi="Arial"/>
          <w:sz w:val="12"/>
          <w:szCs w:val="12"/>
          <w:color w:val="FFFFFF"/>
        </w:rPr>
        <w:t>S7*Q1 2010 not included in consolidated GM results, does not reflect purchase accounting and is not directly comparable to Q1 2011.</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7"/>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2019-12-11T09:12:46Z</dcterms:created>
  <dcterms:modified xsi:type="dcterms:W3CDTF">2019-12-11T09:12:46Z</dcterms:modified>
</cp:coreProperties>
</file>