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0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28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3"/>
        <w:spacing w:after="0"/>
        <w:rPr>
          <w:sz w:val="20"/>
          <w:szCs w:val="20"/>
          <w:color w:val="auto"/>
        </w:rPr>
      </w:pPr>
      <w:r>
        <w:rPr>
          <w:rFonts w:ascii="Arial" w:cs="Arial" w:eastAsia="Arial" w:hAnsi="Arial"/>
          <w:sz w:val="17"/>
          <w:szCs w:val="17"/>
          <w:color w:val="0000FF"/>
        </w:rPr>
        <w:t>Senior 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9"/>
              <w:spacing w:after="0"/>
              <w:rPr>
                <w:sz w:val="20"/>
                <w:szCs w:val="20"/>
                <w:color w:val="auto"/>
              </w:rPr>
            </w:pPr>
            <w:r>
              <w:rPr>
                <w:rFonts w:ascii="Arial" w:cs="Arial" w:eastAsia="Arial" w:hAnsi="Arial"/>
                <w:sz w:val="17"/>
                <w:szCs w:val="17"/>
                <w:color w:val="0000FF"/>
                <w:w w:val="91"/>
              </w:rPr>
              <w:t>03/15/2013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11,801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81,946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9"/>
              <w:spacing w:after="0"/>
              <w:rPr>
                <w:sz w:val="20"/>
                <w:szCs w:val="20"/>
                <w:color w:val="auto"/>
              </w:rPr>
            </w:pPr>
            <w:r>
              <w:rPr>
                <w:rFonts w:ascii="Arial" w:cs="Arial" w:eastAsia="Arial" w:hAnsi="Arial"/>
                <w:sz w:val="17"/>
                <w:szCs w:val="17"/>
                <w:color w:val="0000FF"/>
                <w:w w:val="91"/>
              </w:rPr>
              <w:t>03/15/2013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right"/>
              <w:spacing w:after="0"/>
              <w:rPr>
                <w:sz w:val="20"/>
                <w:szCs w:val="20"/>
                <w:color w:val="auto"/>
              </w:rPr>
            </w:pPr>
            <w:r>
              <w:rPr>
                <w:rFonts w:ascii="Arial" w:cs="Arial" w:eastAsia="Arial" w:hAnsi="Arial"/>
                <w:sz w:val="17"/>
                <w:szCs w:val="17"/>
                <w:color w:val="0000FF"/>
              </w:rPr>
              <w:t>3,877</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28.03</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78,069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11,801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11,801</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240"/>
              <w:spacing w:after="0"/>
              <w:rPr>
                <w:sz w:val="20"/>
                <w:szCs w:val="20"/>
                <w:color w:val="auto"/>
              </w:rPr>
            </w:pPr>
            <w:r>
              <w:rPr>
                <w:rFonts w:ascii="Arial" w:cs="Arial" w:eastAsia="Arial" w:hAnsi="Arial"/>
                <w:sz w:val="11"/>
                <w:szCs w:val="11"/>
                <w:color w:val="008000"/>
              </w:rPr>
              <w:t>(2)</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45" w:lineRule="exact"/>
              <w:rPr>
                <w:sz w:val="20"/>
                <w:szCs w:val="20"/>
                <w:color w:val="auto"/>
              </w:rPr>
            </w:pPr>
            <w:r>
              <w:rPr>
                <w:rFonts w:ascii="Arial" w:cs="Arial" w:eastAsia="Arial" w:hAnsi="Arial"/>
                <w:sz w:val="13"/>
                <w:szCs w:val="13"/>
                <w:color w:val="0000FF"/>
                <w:w w:val="90"/>
              </w:rPr>
              <w:t>11,800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settlement of the portion of a grant of Restricted Stock Units ("RSUs") awarded on March 15, 2010 pursuant to the Company's 2009 Long-Term Incentive Plan (the "GMLTP").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40" w:right="260" w:firstLine="8"/>
        <w:spacing w:after="0" w:line="28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2010, the reporting person received a grant of 7,867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23,601 RSUs, of which one half were vested and settled on March 15, 2013. The remaining one half of the RSUs granted will vest as provided in the GMLTP.</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Millikin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2019-12-18T15:29:35Z</dcterms:created>
  <dcterms:modified xsi:type="dcterms:W3CDTF">2019-12-18T15:29:35Z</dcterms:modified>
</cp:coreProperties>
</file>