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April 24, 2020</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ectPr>
          <w:pgSz w:w="11900" w:h="16838" w:orient="portrait"/>
          <w:cols w:equalWidth="0" w:num="1">
            <w:col w:w="11100"/>
          </w:cols>
          <w:pgMar w:left="320" w:top="1075" w:right="479" w:bottom="1440" w:gutter="0" w:footer="0" w:header="0"/>
        </w:sectPr>
      </w:pPr>
    </w:p>
    <w:p>
      <w:pPr>
        <w:spacing w:after="0" w:line="147"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90" w:lineRule="exact"/>
        <w:rPr>
          <w:sz w:val="24"/>
          <w:szCs w:val="24"/>
          <w:color w:val="auto"/>
        </w:rPr>
      </w:pPr>
    </w:p>
    <w:p>
      <w:pPr>
        <w:sectPr>
          <w:pgSz w:w="11900" w:h="16838" w:orient="portrait"/>
          <w:cols w:equalWidth="0" w:num="3">
            <w:col w:w="4740" w:space="720"/>
            <w:col w:w="2780" w:space="720"/>
            <w:col w:w="2140"/>
          </w:cols>
          <w:pgMar w:left="320" w:top="1075" w:right="47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40" w:space="720"/>
            <w:col w:w="2500" w:space="720"/>
            <w:col w:w="3020"/>
          </w:cols>
          <w:pgMar w:left="320" w:top="1075" w:right="479" w:bottom="1440" w:gutter="0" w:footer="0" w:header="0"/>
          <w:type w:val="continuous"/>
        </w:sectPr>
      </w:pPr>
    </w:p>
    <w:p>
      <w:pPr>
        <w:spacing w:after="0" w:line="6" w:lineRule="exact"/>
        <w:rPr>
          <w:sz w:val="24"/>
          <w:szCs w:val="24"/>
          <w:color w:val="auto"/>
        </w:rPr>
      </w:pPr>
    </w:p>
    <w:p>
      <w:pPr>
        <w:ind w:left="1200"/>
        <w:spacing w:after="0"/>
        <w:rPr>
          <w:sz w:val="20"/>
          <w:szCs w:val="20"/>
          <w:color w:val="auto"/>
        </w:rPr>
      </w:pPr>
      <w:r>
        <w:rPr>
          <w:rFonts w:ascii="Arial" w:cs="Arial" w:eastAsia="Arial" w:hAnsi="Arial"/>
          <w:sz w:val="15"/>
          <w:szCs w:val="15"/>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48265 -3000</w:t>
      </w:r>
    </w:p>
    <w:p>
      <w:pPr>
        <w:spacing w:after="0" w:line="90" w:lineRule="exact"/>
        <w:rPr>
          <w:sz w:val="24"/>
          <w:szCs w:val="24"/>
          <w:color w:val="auto"/>
        </w:rPr>
      </w:pPr>
    </w:p>
    <w:p>
      <w:pPr>
        <w:sectPr>
          <w:pgSz w:w="11900" w:h="16838" w:orient="portrait"/>
          <w:cols w:equalWidth="0" w:num="4">
            <w:col w:w="3060" w:space="180"/>
            <w:col w:w="600" w:space="180"/>
            <w:col w:w="3680" w:space="720"/>
            <w:col w:w="2680"/>
          </w:cols>
          <w:pgMar w:left="320" w:top="1075" w:right="47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780" w:space="720"/>
            <w:col w:w="2600"/>
          </w:cols>
          <w:pgMar w:left="320" w:top="1075" w:right="479" w:bottom="1440" w:gutter="0" w:footer="0" w:header="0"/>
          <w:type w:val="continuous"/>
        </w:sectPr>
      </w:pPr>
    </w:p>
    <w:p>
      <w:pPr>
        <w:spacing w:after="0" w:line="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(313) 667-1500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2"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3760" w:right="3260" w:hanging="3725"/>
        <w:spacing w:after="0" w:line="464" w:lineRule="auto"/>
        <w:tabs>
          <w:tab w:leader="none" w:pos="605"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32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1180" w:type="dxa"/>
            <w:vAlign w:val="bottom"/>
          </w:tcPr>
          <w:p>
            <w:pPr>
              <w:jc w:val="center"/>
              <w:spacing w:after="0" w:line="172" w:lineRule="exact"/>
              <w:rPr>
                <w:sz w:val="20"/>
                <w:szCs w:val="20"/>
                <w:color w:val="auto"/>
              </w:rPr>
            </w:pPr>
            <w:r>
              <w:rPr>
                <w:rFonts w:ascii="Arial" w:cs="Arial" w:eastAsia="Arial" w:hAnsi="Arial"/>
                <w:sz w:val="16"/>
                <w:szCs w:val="16"/>
                <w:color w:val="auto"/>
                <w:w w:val="92"/>
              </w:rPr>
              <w:t>Title of each class</w:t>
            </w:r>
          </w:p>
        </w:tc>
        <w:tc>
          <w:tcPr>
            <w:tcW w:w="1260" w:type="dxa"/>
            <w:vAlign w:val="bottom"/>
          </w:tcPr>
          <w:p>
            <w:pPr>
              <w:spacing w:after="0"/>
              <w:rPr>
                <w:sz w:val="14"/>
                <w:szCs w:val="14"/>
                <w:color w:val="auto"/>
              </w:rPr>
            </w:pPr>
          </w:p>
        </w:tc>
        <w:tc>
          <w:tcPr>
            <w:tcW w:w="2620" w:type="dxa"/>
            <w:vAlign w:val="bottom"/>
            <w:gridSpan w:val="3"/>
          </w:tcPr>
          <w:p>
            <w:pPr>
              <w:jc w:val="center"/>
              <w:ind w:left="119"/>
              <w:spacing w:after="0" w:line="172" w:lineRule="exact"/>
              <w:rPr>
                <w:sz w:val="20"/>
                <w:szCs w:val="20"/>
                <w:color w:val="auto"/>
              </w:rPr>
            </w:pPr>
            <w:r>
              <w:rPr>
                <w:rFonts w:ascii="Arial" w:cs="Arial" w:eastAsia="Arial" w:hAnsi="Arial"/>
                <w:sz w:val="16"/>
                <w:szCs w:val="16"/>
                <w:color w:val="auto"/>
                <w:w w:val="93"/>
              </w:rPr>
              <w:t>Trading Symbol(s)</w:t>
            </w:r>
          </w:p>
        </w:tc>
        <w:tc>
          <w:tcPr>
            <w:tcW w:w="3480" w:type="dxa"/>
            <w:vAlign w:val="bottom"/>
            <w:gridSpan w:val="2"/>
          </w:tcPr>
          <w:p>
            <w:pPr>
              <w:jc w:val="center"/>
              <w:ind w:left="519"/>
              <w:spacing w:after="0" w:line="172" w:lineRule="exact"/>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71"/>
        </w:trPr>
        <w:tc>
          <w:tcPr>
            <w:tcW w:w="2900" w:type="dxa"/>
            <w:vAlign w:val="bottom"/>
            <w:gridSpan w:val="3"/>
          </w:tcPr>
          <w:p>
            <w:pPr>
              <w:jc w:val="center"/>
              <w:ind w:right="800"/>
              <w:spacing w:after="0"/>
              <w:rPr>
                <w:sz w:val="20"/>
                <w:szCs w:val="20"/>
                <w:color w:val="auto"/>
              </w:rPr>
            </w:pPr>
            <w:r>
              <w:rPr>
                <w:rFonts w:ascii="Arial" w:cs="Arial" w:eastAsia="Arial" w:hAnsi="Arial"/>
                <w:sz w:val="16"/>
                <w:szCs w:val="16"/>
                <w:color w:val="auto"/>
                <w:w w:val="91"/>
              </w:rPr>
              <w:t>Common Stock, $0.01 par value</w:t>
            </w:r>
          </w:p>
        </w:tc>
        <w:tc>
          <w:tcPr>
            <w:tcW w:w="800" w:type="dxa"/>
            <w:vAlign w:val="bottom"/>
          </w:tcPr>
          <w:p>
            <w:pPr>
              <w:spacing w:after="0"/>
              <w:rPr>
                <w:sz w:val="23"/>
                <w:szCs w:val="23"/>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6"/>
                <w:szCs w:val="16"/>
                <w:color w:val="auto"/>
              </w:rPr>
              <w:t>GM</w:t>
            </w:r>
          </w:p>
        </w:tc>
        <w:tc>
          <w:tcPr>
            <w:tcW w:w="60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9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4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75"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2.03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24, 2020, General Motors Company (“GM”) entered into Amendment No. 1 (the “Amendment”) to its Third Amended and Restated 3-Year Revolving Credit Agreement, dated April 18, 2018, with JPMorgan Chase Bank, N.A., as administrative agent, Citibank, N.A., as syndication agent, and the lenders named therein, which consists of a three-year, $4.0 billion revolving credit facility (as amended, the “Three-Year Facility”). GM previously entered into its Third Amended and Restated 5-Year Revolving Credit Agreement and its 364-Day Revolving Credit Agreement, each with JPMorgan Chase Bank, N.A., as administrative agent, Citibank, N.A., as syndication agent, and the lenders named therein (collectively with the Three-Year Facility, the “Facilities”).</w:t>
      </w: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Pursuant to the Amendment, among other things, the termination date for a $3.6 billion portion of the Three-Year Facility was extended by one year, now set to mature on April 18, 2022, (the termination date of April 18, 2021 for the remaining portion of the Three-Year Facility remains unchanged), and GM is restricted from (i) engaging in share repurchases so long as any borrowings are outstanding under the Facilities and (ii) paying dividends on its common stock so long as borrowings under the Facilities exceed $5.0 billion, in each case, </w:t>
      </w:r>
      <w:r>
        <w:rPr>
          <w:rFonts w:ascii="Arial" w:cs="Arial" w:eastAsia="Arial" w:hAnsi="Arial"/>
          <w:sz w:val="17"/>
          <w:szCs w:val="17"/>
          <w:color w:val="212529"/>
        </w:rPr>
        <w:t>subject to exceptions and limitations</w:t>
      </w:r>
      <w:r>
        <w:rPr>
          <w:rFonts w:ascii="Arial" w:cs="Arial" w:eastAsia="Arial" w:hAnsi="Arial"/>
          <w:sz w:val="17"/>
          <w:szCs w:val="17"/>
          <w:color w:val="auto"/>
        </w:rPr>
        <w:t>. The other material terms and conditions set forth in the Three-Year Facility remain unchanged. For a description of the Three-Year Facility, see GM’s Current Report on Form 8-K filed with the U.S. Securities and Exchange Commission on April 20, 2018.</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does not constitute a complete summary of the Amendment and is qualified in its entirety by reference to the full text of the Amendment filed herewith.</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185" w:lineRule="exact"/>
        <w:rPr>
          <w:sz w:val="20"/>
          <w:szCs w:val="20"/>
          <w:color w:val="auto"/>
        </w:rPr>
      </w:pPr>
    </w:p>
    <w:p>
      <w:pPr>
        <w:jc w:val="both"/>
        <w:ind w:left="840" w:right="40" w:hanging="795"/>
        <w:spacing w:after="0" w:line="259"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8"/>
            <w:szCs w:val="18"/>
            <w:u w:val="single" w:color="auto"/>
            <w:color w:val="0000FF"/>
          </w:rPr>
          <w:t>Amendment No. 1, dated April 24, 2020, to Third Amended and Restated 3-Year Revolving Credit Agreement, dated April 18, 2018, among</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General Motors Company, General Motors Financial Company, Inc., General Motors do Brasil Ltda., the subsidiary borrowers from time to</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time parties thereto, the several lenders from time to time parties thereto, JPMorgan Chase Bank, N.A., as administrative agent, and Citibank,</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N.A., as syndication agent.</w:t>
        </w:r>
      </w:hyperlink>
    </w:p>
    <w:p>
      <w:pPr>
        <w:spacing w:after="0" w:line="25" w:lineRule="exact"/>
        <w:rPr>
          <w:rFonts w:ascii="Arial" w:cs="Arial" w:eastAsia="Arial" w:hAnsi="Arial"/>
          <w:sz w:val="18"/>
          <w:szCs w:val="18"/>
          <w:u w:val="single" w:color="auto"/>
          <w:color w:val="0000FF"/>
        </w:rPr>
      </w:pPr>
    </w:p>
    <w:p>
      <w:pPr>
        <w:ind w:left="40"/>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63" w:lineRule="exact"/>
        <w:rPr>
          <w:rFonts w:ascii="Arial" w:cs="Arial" w:eastAsia="Arial" w:hAnsi="Arial"/>
          <w:sz w:val="18"/>
          <w:szCs w:val="18"/>
          <w:u w:val="single" w:color="auto"/>
          <w:color w:val="0000FF"/>
        </w:rPr>
      </w:pPr>
    </w:p>
    <w:p>
      <w:pPr>
        <w:ind w:left="840" w:right="20" w:hanging="805"/>
        <w:spacing w:after="0" w:line="27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040" w:type="dxa"/>
            <w:vAlign w:val="bottom"/>
          </w:tcPr>
          <w:p>
            <w:pPr>
              <w:ind w:left="5400"/>
              <w:spacing w:after="0"/>
              <w:rPr>
                <w:sz w:val="20"/>
                <w:szCs w:val="20"/>
                <w:color w:val="auto"/>
              </w:rPr>
            </w:pPr>
            <w:r>
              <w:rPr>
                <w:rFonts w:ascii="Arial" w:cs="Arial" w:eastAsia="Arial" w:hAnsi="Arial"/>
                <w:sz w:val="18"/>
                <w:szCs w:val="18"/>
                <w:color w:val="auto"/>
              </w:rPr>
              <w:t>By:</w:t>
            </w:r>
          </w:p>
        </w:tc>
        <w:tc>
          <w:tcPr>
            <w:tcW w:w="5160" w:type="dxa"/>
            <w:vAlign w:val="bottom"/>
          </w:tcPr>
          <w:p>
            <w:pPr>
              <w:ind w:left="40"/>
              <w:spacing w:after="0"/>
              <w:rPr>
                <w:sz w:val="20"/>
                <w:szCs w:val="20"/>
                <w:color w:val="auto"/>
              </w:rPr>
            </w:pPr>
            <w:r>
              <w:rPr>
                <w:rFonts w:ascii="Arial" w:cs="Arial" w:eastAsia="Arial" w:hAnsi="Arial"/>
                <w:sz w:val="18"/>
                <w:szCs w:val="18"/>
                <w:color w:val="auto"/>
              </w:rPr>
              <w:t>/s/ Rick E. Hansen</w:t>
            </w:r>
          </w:p>
        </w:tc>
        <w:tc>
          <w:tcPr>
            <w:tcW w:w="0" w:type="dxa"/>
            <w:vAlign w:val="bottom"/>
          </w:tcPr>
          <w:p>
            <w:pPr>
              <w:spacing w:after="0"/>
              <w:rPr>
                <w:sz w:val="1"/>
                <w:szCs w:val="1"/>
                <w:color w:val="auto"/>
              </w:rPr>
            </w:pPr>
          </w:p>
        </w:tc>
      </w:tr>
      <w:tr>
        <w:trPr>
          <w:trHeight w:val="27"/>
        </w:trPr>
        <w:tc>
          <w:tcPr>
            <w:tcW w:w="6040" w:type="dxa"/>
            <w:vAlign w:val="bottom"/>
            <w:vMerge w:val="restart"/>
          </w:tcPr>
          <w:p>
            <w:pPr>
              <w:spacing w:after="0"/>
              <w:rPr>
                <w:sz w:val="20"/>
                <w:szCs w:val="20"/>
                <w:color w:val="auto"/>
              </w:rPr>
            </w:pPr>
            <w:r>
              <w:rPr>
                <w:rFonts w:ascii="Arial" w:cs="Arial" w:eastAsia="Arial" w:hAnsi="Arial"/>
                <w:sz w:val="18"/>
                <w:szCs w:val="18"/>
                <w:color w:val="auto"/>
              </w:rPr>
              <w:t>Date: April 27, 2020</w:t>
            </w:r>
          </w:p>
        </w:tc>
        <w:tc>
          <w:tcPr>
            <w:tcW w:w="5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40" w:type="dxa"/>
            <w:vAlign w:val="bottom"/>
            <w:vMerge w:val="continue"/>
          </w:tcPr>
          <w:p>
            <w:pPr>
              <w:spacing w:after="0"/>
              <w:rPr>
                <w:sz w:val="19"/>
                <w:szCs w:val="19"/>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Rick E. Hansen</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Assistant General Counsel and Corporate Secretary</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3" w:name="page4"/>
    <w:bookmarkEnd w:id="3"/>
    <w:p>
      <w:pPr>
        <w:ind w:left="10000"/>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IDENTIFIED INFORMATION HAS BEEN EXCLUDED FROM THIS EXHIBIT BECAUSE IT IS NOT MATERIAL</w:t>
      </w:r>
    </w:p>
    <w:p>
      <w:pPr>
        <w:spacing w:after="0"/>
        <w:rPr>
          <w:sz w:val="20"/>
          <w:szCs w:val="20"/>
          <w:color w:val="auto"/>
        </w:rPr>
      </w:pPr>
      <w:r>
        <w:rPr>
          <w:rFonts w:ascii="Arial" w:cs="Arial" w:eastAsia="Arial" w:hAnsi="Arial"/>
          <w:sz w:val="20"/>
          <w:szCs w:val="20"/>
          <w:b w:val="1"/>
          <w:bCs w:val="1"/>
          <w:color w:val="auto"/>
        </w:rPr>
        <w:t>AND  WOULD  LIKELY  CAUSE  COMPETITIVE  HARM  TO  THE  REGISTRANT  IF  PUBLICLY  DISCLOSED.  [***]</w:t>
      </w:r>
    </w:p>
    <w:p>
      <w:pPr>
        <w:spacing w:after="0"/>
        <w:rPr>
          <w:sz w:val="20"/>
          <w:szCs w:val="20"/>
          <w:color w:val="auto"/>
        </w:rPr>
      </w:pPr>
      <w:r>
        <w:rPr>
          <w:rFonts w:ascii="Arial" w:cs="Arial" w:eastAsia="Arial" w:hAnsi="Arial"/>
          <w:sz w:val="20"/>
          <w:szCs w:val="20"/>
          <w:b w:val="1"/>
          <w:bCs w:val="1"/>
          <w:color w:val="auto"/>
        </w:rPr>
        <w:t>INDICATES THAT INFORMATION HAS BEEN REDACTED.</w:t>
      </w:r>
    </w:p>
    <w:p>
      <w:pPr>
        <w:jc w:val="right"/>
        <w:spacing w:after="0"/>
        <w:rPr>
          <w:sz w:val="20"/>
          <w:szCs w:val="20"/>
          <w:color w:val="auto"/>
        </w:rPr>
      </w:pPr>
      <w:r>
        <w:rPr>
          <w:rFonts w:ascii="Arial" w:cs="Arial" w:eastAsia="Arial" w:hAnsi="Arial"/>
          <w:sz w:val="20"/>
          <w:szCs w:val="20"/>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1 TO CREDIT AGREEMENT</w:t>
      </w:r>
    </w:p>
    <w:p>
      <w:pPr>
        <w:spacing w:after="0" w:line="256" w:lineRule="exact"/>
        <w:rPr>
          <w:sz w:val="20"/>
          <w:szCs w:val="20"/>
          <w:color w:val="auto"/>
        </w:rPr>
      </w:pPr>
    </w:p>
    <w:p>
      <w:pPr>
        <w:ind w:firstLine="1296"/>
        <w:spacing w:after="0" w:line="273" w:lineRule="auto"/>
        <w:rPr>
          <w:sz w:val="20"/>
          <w:szCs w:val="20"/>
          <w:color w:val="auto"/>
        </w:rPr>
      </w:pPr>
      <w:r>
        <w:rPr>
          <w:rFonts w:ascii="Arial" w:cs="Arial" w:eastAsia="Arial" w:hAnsi="Arial"/>
          <w:sz w:val="18"/>
          <w:szCs w:val="18"/>
          <w:b w:val="1"/>
          <w:bCs w:val="1"/>
          <w:color w:val="auto"/>
        </w:rPr>
        <w:t>AMENDMENT NO. 1</w:t>
      </w:r>
      <w:r>
        <w:rPr>
          <w:rFonts w:ascii="Arial" w:cs="Arial" w:eastAsia="Arial" w:hAnsi="Arial"/>
          <w:sz w:val="18"/>
          <w:szCs w:val="18"/>
          <w:color w:val="auto"/>
        </w:rPr>
        <w:t>, dated as of April 24, 2020 (this “</w:t>
      </w:r>
      <w:r>
        <w:rPr>
          <w:rFonts w:ascii="Arial" w:cs="Arial" w:eastAsia="Arial" w:hAnsi="Arial"/>
          <w:sz w:val="18"/>
          <w:szCs w:val="18"/>
          <w:u w:val="single" w:color="auto"/>
          <w:color w:val="auto"/>
        </w:rPr>
        <w:t>Amendment</w:t>
      </w:r>
      <w:r>
        <w:rPr>
          <w:rFonts w:ascii="Arial" w:cs="Arial" w:eastAsia="Arial" w:hAnsi="Arial"/>
          <w:sz w:val="18"/>
          <w:szCs w:val="18"/>
          <w:color w:val="auto"/>
        </w:rPr>
        <w:t>”) by and among the LENDERS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hereto (each, an “</w:t>
      </w:r>
      <w:r>
        <w:rPr>
          <w:rFonts w:ascii="Arial" w:cs="Arial" w:eastAsia="Arial" w:hAnsi="Arial"/>
          <w:sz w:val="18"/>
          <w:szCs w:val="18"/>
          <w:u w:val="single" w:color="auto"/>
          <w:color w:val="auto"/>
        </w:rPr>
        <w:t>Extending and Consenting 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Extending and Consenting Lenders</w:t>
      </w:r>
      <w:r>
        <w:rPr>
          <w:rFonts w:ascii="Arial" w:cs="Arial" w:eastAsia="Arial" w:hAnsi="Arial"/>
          <w:sz w:val="18"/>
          <w:szCs w:val="18"/>
          <w:color w:val="auto"/>
        </w:rPr>
        <w:t>”),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w:t>
      </w:r>
      <w:r>
        <w:rPr>
          <w:rFonts w:ascii="Arial" w:cs="Arial" w:eastAsia="Arial" w:hAnsi="Arial"/>
          <w:sz w:val="18"/>
          <w:szCs w:val="18"/>
          <w:u w:val="single" w:color="auto"/>
          <w:color w:val="auto"/>
        </w:rPr>
        <w:t>GMF</w:t>
      </w:r>
      <w:r>
        <w:rPr>
          <w:rFonts w:ascii="Arial" w:cs="Arial" w:eastAsia="Arial" w:hAnsi="Arial"/>
          <w:sz w:val="18"/>
          <w:szCs w:val="18"/>
          <w:color w:val="auto"/>
        </w:rPr>
        <w:t>”), General Motors do Brasil Ltda., a Brazilian limited liability company (“</w:t>
      </w:r>
      <w:r>
        <w:rPr>
          <w:rFonts w:ascii="Arial" w:cs="Arial" w:eastAsia="Arial" w:hAnsi="Arial"/>
          <w:sz w:val="18"/>
          <w:szCs w:val="18"/>
          <w:u w:val="single" w:color="auto"/>
          <w:color w:val="auto"/>
        </w:rPr>
        <w:t>GMB</w:t>
      </w:r>
      <w:r>
        <w:rPr>
          <w:rFonts w:ascii="Arial" w:cs="Arial" w:eastAsia="Arial" w:hAnsi="Arial"/>
          <w:sz w:val="18"/>
          <w:szCs w:val="18"/>
          <w:color w:val="auto"/>
        </w:rPr>
        <w:t>”), to the Third Amended and Restated 3-Year Revolving Credit Agreement, dated as of April 18, 2018, among the Company, GMF, GM Global Treasury Centre Limited, GMB, the several banks and other financial institutions or entities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other parties thereto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as amended by this Amendment and as further amended, restated, amended and restated, modified and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and not otherwise defined herein shall have the meanings assigned to such terms in the Credit Agreement.</w:t>
      </w:r>
    </w:p>
    <w:p>
      <w:pPr>
        <w:spacing w:after="0" w:line="176" w:lineRule="exact"/>
        <w:rPr>
          <w:sz w:val="20"/>
          <w:szCs w:val="20"/>
          <w:color w:val="auto"/>
        </w:rPr>
      </w:pPr>
    </w:p>
    <w:p>
      <w:pPr>
        <w:ind w:firstLine="1296"/>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Section 2.29 of the Existing Credit Agreement provides that the Company may, by notice to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propose an extension of the Termination Date, which proposal may include a proposal to change the Applicable Margins (including any provision of the Applicable Pricing Grid) for the extending Lenders as may be specified in such proposal, and that any such changes shall require only the consent of the Company, the Administrative Agent and the consenting Lenders;</w:t>
      </w:r>
    </w:p>
    <w:p>
      <w:pPr>
        <w:spacing w:after="0" w:line="183" w:lineRule="exact"/>
        <w:rPr>
          <w:sz w:val="20"/>
          <w:szCs w:val="20"/>
          <w:color w:val="auto"/>
        </w:rPr>
      </w:pPr>
    </w:p>
    <w:p>
      <w:pPr>
        <w:ind w:right="40" w:firstLine="12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Section 2.28 of the Existing Credit Agreement provides that any Lender may increase an existing 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any Facility by executing and delivering an Incremental Loan Activation Notice;</w:t>
      </w:r>
    </w:p>
    <w:p>
      <w:pPr>
        <w:spacing w:after="0" w:line="177" w:lineRule="exact"/>
        <w:rPr>
          <w:sz w:val="20"/>
          <w:szCs w:val="20"/>
          <w:color w:val="auto"/>
        </w:rPr>
      </w:pPr>
    </w:p>
    <w:p>
      <w:pPr>
        <w:ind w:right="480" w:firstLine="12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Section 10.1 of the Existing Credit Agreement provides that the Company and the Required Lenders may</w:t>
      </w:r>
      <w:r>
        <w:rPr>
          <w:rFonts w:ascii="Arial" w:cs="Arial" w:eastAsia="Arial" w:hAnsi="Arial"/>
          <w:sz w:val="20"/>
          <w:szCs w:val="20"/>
          <w:b w:val="1"/>
          <w:bCs w:val="1"/>
          <w:color w:val="auto"/>
        </w:rPr>
        <w:t xml:space="preserve"> </w:t>
      </w:r>
      <w:r>
        <w:rPr>
          <w:rFonts w:ascii="Arial" w:cs="Arial" w:eastAsia="Arial" w:hAnsi="Arial"/>
          <w:sz w:val="20"/>
          <w:szCs w:val="20"/>
          <w:color w:val="auto"/>
        </w:rPr>
        <w:t>amend the Credit Agreement and the other Loan Documents for certain other purposes;</w:t>
      </w:r>
    </w:p>
    <w:p>
      <w:pPr>
        <w:spacing w:after="0" w:line="177" w:lineRule="exact"/>
        <w:rPr>
          <w:sz w:val="20"/>
          <w:szCs w:val="20"/>
          <w:color w:val="auto"/>
        </w:rPr>
      </w:pPr>
    </w:p>
    <w:p>
      <w:pPr>
        <w:ind w:right="100" w:firstLine="12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its request to extend the Termination Date, the Company has proposed certain 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Credit Agreement as further described herein;</w:t>
      </w:r>
    </w:p>
    <w:p>
      <w:pPr>
        <w:spacing w:after="0" w:line="177" w:lineRule="exact"/>
        <w:rPr>
          <w:sz w:val="20"/>
          <w:szCs w:val="20"/>
          <w:color w:val="auto"/>
        </w:rPr>
      </w:pPr>
    </w:p>
    <w:p>
      <w:pPr>
        <w:ind w:right="280" w:firstLine="1296"/>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Extending and Consenting Lender party hereto is willing to extend all of its Commitments (such</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Commitments, the “</w:t>
      </w:r>
      <w:r>
        <w:rPr>
          <w:rFonts w:ascii="Arial" w:cs="Arial" w:eastAsia="Arial" w:hAnsi="Arial"/>
          <w:sz w:val="20"/>
          <w:szCs w:val="20"/>
          <w:u w:val="single" w:color="auto"/>
          <w:color w:val="auto"/>
        </w:rPr>
        <w:t>Extended Commitments</w:t>
      </w:r>
      <w:r>
        <w:rPr>
          <w:rFonts w:ascii="Arial" w:cs="Arial" w:eastAsia="Arial" w:hAnsi="Arial"/>
          <w:sz w:val="20"/>
          <w:szCs w:val="20"/>
          <w:color w:val="auto"/>
        </w:rPr>
        <w:t>”) and agrees to modify certain terms with respect to such Commitments and to consent to the other amendments described herein;</w:t>
      </w:r>
    </w:p>
    <w:p>
      <w:pPr>
        <w:spacing w:after="0" w:line="191" w:lineRule="exact"/>
        <w:rPr>
          <w:sz w:val="20"/>
          <w:szCs w:val="20"/>
          <w:color w:val="auto"/>
        </w:rPr>
      </w:pPr>
    </w:p>
    <w:p>
      <w:pPr>
        <w:ind w:right="460" w:firstLine="12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Incremental Lender that is a signatory hereto has agreed to increase its Extended Commitment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amount set forth on its signature page hereto;</w:t>
      </w:r>
    </w:p>
    <w:p>
      <w:pPr>
        <w:spacing w:after="0" w:line="177" w:lineRule="exact"/>
        <w:rPr>
          <w:sz w:val="20"/>
          <w:szCs w:val="20"/>
          <w:color w:val="auto"/>
        </w:rPr>
      </w:pPr>
    </w:p>
    <w:p>
      <w:pPr>
        <w:ind w:right="100" w:firstLine="1296"/>
        <w:spacing w:after="0" w:line="28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contained herein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intending to be legally bound hereby, agree as follows, and each Extending and Consenting Lender hereby agrees to convert its Commitments and any related Loans into Extended Commitments and Extended Loans (as defined below), in each case, on the terms and subject to the conditions set forth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8" w:right="339" w:bottom="1440" w:gutter="0" w:footer="0" w:header="0"/>
        </w:sectPr>
      </w:pPr>
    </w:p>
    <w:bookmarkStart w:id="4" w:name="page5"/>
    <w:bookmarkEnd w:id="4"/>
    <w:p>
      <w:pPr>
        <w:ind w:left="1300"/>
        <w:spacing w:after="0"/>
        <w:tabs>
          <w:tab w:leader="none" w:pos="338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The Credit Agreement is hereby amended in accordance with Exhibit A hereto by</w:t>
      </w:r>
    </w:p>
    <w:p>
      <w:pPr>
        <w:spacing w:after="0" w:line="8" w:lineRule="exact"/>
        <w:rPr>
          <w:sz w:val="20"/>
          <w:szCs w:val="20"/>
          <w:color w:val="auto"/>
        </w:rPr>
      </w:pPr>
    </w:p>
    <w:p>
      <w:pPr>
        <w:ind w:right="60" w:firstLine="8"/>
        <w:spacing w:after="0" w:line="234" w:lineRule="auto"/>
        <w:tabs>
          <w:tab w:leader="none" w:pos="324"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deleting each term thereof which is </w:t>
      </w:r>
      <w:r>
        <w:rPr>
          <w:rFonts w:ascii="Arial" w:cs="Arial" w:eastAsia="Arial" w:hAnsi="Arial"/>
          <w:sz w:val="20"/>
          <w:szCs w:val="20"/>
          <w:color w:val="FF0000"/>
          <w:strike w:val="1"/>
        </w:rPr>
        <w:t>stricken</w:t>
      </w:r>
      <w:r>
        <w:rPr>
          <w:rFonts w:ascii="Arial" w:cs="Arial" w:eastAsia="Arial" w:hAnsi="Arial"/>
          <w:sz w:val="20"/>
          <w:szCs w:val="20"/>
          <w:color w:val="auto"/>
        </w:rPr>
        <w:t xml:space="preserve"> and (B) inserting each term thereof which is </w:t>
      </w:r>
      <w:r>
        <w:rPr>
          <w:rFonts w:ascii="Arial" w:cs="Arial" w:eastAsia="Arial" w:hAnsi="Arial"/>
          <w:sz w:val="20"/>
          <w:szCs w:val="20"/>
          <w:u w:val="single" w:color="auto"/>
          <w:color w:val="0070C0"/>
        </w:rPr>
        <w:t>underlined</w:t>
      </w:r>
      <w:r>
        <w:rPr>
          <w:rFonts w:ascii="Arial" w:cs="Arial" w:eastAsia="Arial" w:hAnsi="Arial"/>
          <w:sz w:val="20"/>
          <w:szCs w:val="20"/>
          <w:color w:val="auto"/>
        </w:rPr>
        <w:t>, in each case in the place where such term appears therein.</w:t>
      </w:r>
    </w:p>
    <w:p>
      <w:pPr>
        <w:spacing w:after="0" w:line="178"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u w:val="single" w:color="auto"/>
          <w:color w:val="auto"/>
        </w:rPr>
        <w:t>Commitments and Loans Extended; Commitment Increases</w:t>
      </w:r>
      <w:r>
        <w:rPr>
          <w:rFonts w:ascii="Arial" w:cs="Arial" w:eastAsia="Arial" w:hAnsi="Arial"/>
          <w:sz w:val="20"/>
          <w:szCs w:val="20"/>
          <w:color w:val="auto"/>
        </w:rPr>
        <w:t>. Upon the First Amendment Effective Date (as defined below), each Commitment (and the related outstandings) of each Extending and Consenting Lender shall be converted into Extended Commitments (and related outstandings (such related outstandings, the “</w:t>
      </w:r>
      <w:r>
        <w:rPr>
          <w:rFonts w:ascii="Arial" w:cs="Arial" w:eastAsia="Arial" w:hAnsi="Arial"/>
          <w:sz w:val="20"/>
          <w:szCs w:val="20"/>
          <w:u w:val="single" w:color="auto"/>
          <w:color w:val="auto"/>
        </w:rPr>
        <w:t>Extended Loans</w:t>
      </w:r>
      <w:r>
        <w:rPr>
          <w:rFonts w:ascii="Arial" w:cs="Arial" w:eastAsia="Arial" w:hAnsi="Arial"/>
          <w:sz w:val="20"/>
          <w:szCs w:val="20"/>
          <w:color w:val="auto"/>
        </w:rPr>
        <w:t>”), as the case may be). Except as set forth in this Amendment or in the Credit Agreement, the Extended Commitments and Extended Loans under any Facility shall have all of the same terms as the Commitments and Loans, as applicable, under such Facility from which they were converted. For the avoidance of doubt, the Extended Commitments (and the Extended Commitments under any Facility) shall constitute Commitments under the Credit Agreement (and under the applicable Facility) and any loans advanced pursuant to the Extended Commitments shall constitute Loans for purposes of the Credit Agreement.</w:t>
      </w:r>
    </w:p>
    <w:p>
      <w:pPr>
        <w:spacing w:after="0" w:line="195"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Upon the First Amendment Effective Date, the Extended Commitment of each Incremental Lender that is a signatory hereto in such capacity shall be increased in the amount set forth on its signature page hereto (and the First Amendment Effective Date shall be the Commitment Increase Date with respect to such Commitment Increase). The parties hereto hereby agree that this Amendment shall constitute an Incremental Loan Activation Notice for all purposes of the Credit Agreement and the other Loan Documents.</w:t>
      </w:r>
    </w:p>
    <w:p>
      <w:pPr>
        <w:spacing w:after="0" w:line="53" w:lineRule="exact"/>
        <w:rPr>
          <w:sz w:val="20"/>
          <w:szCs w:val="20"/>
          <w:color w:val="auto"/>
        </w:rPr>
      </w:pPr>
    </w:p>
    <w:p>
      <w:pPr>
        <w:ind w:right="80" w:firstLine="1296"/>
        <w:spacing w:after="0" w:line="242" w:lineRule="auto"/>
        <w:rPr>
          <w:sz w:val="20"/>
          <w:szCs w:val="20"/>
          <w:color w:val="auto"/>
        </w:rPr>
      </w:pPr>
      <w:r>
        <w:rPr>
          <w:rFonts w:ascii="Arial" w:cs="Arial" w:eastAsia="Arial" w:hAnsi="Arial"/>
          <w:sz w:val="20"/>
          <w:szCs w:val="20"/>
          <w:color w:val="auto"/>
        </w:rPr>
        <w:t>On the First Amendment Effective Date, (i) each Incremental Lender that is a signatory hereto in such capacity shall make available to the Administrative Agent such amounts in immediately available funds as the Administrative Agent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of the Credit Agreement as a result of such prepayment.</w:t>
      </w:r>
    </w:p>
    <w:p>
      <w:pPr>
        <w:spacing w:after="0" w:line="83"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b w:val="1"/>
          <w:bCs w:val="1"/>
          <w:u w:val="single" w:color="auto"/>
          <w:color w:val="auto"/>
        </w:rPr>
        <w:t xml:space="preserve">Schedule 1.1C. </w:t>
      </w:r>
      <w:r>
        <w:rPr>
          <w:rFonts w:ascii="Arial" w:cs="Arial" w:eastAsia="Arial" w:hAnsi="Arial"/>
          <w:sz w:val="16"/>
          <w:szCs w:val="16"/>
          <w:color w:val="auto"/>
        </w:rPr>
        <w:t>Schedule 1.1C is hereby replaced in its entirety with the new Schedule 1.1C set forth as Annex</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hereto.</w:t>
      </w:r>
    </w:p>
    <w:p>
      <w:pPr>
        <w:spacing w:after="0" w:line="194" w:lineRule="exact"/>
        <w:rPr>
          <w:sz w:val="20"/>
          <w:szCs w:val="20"/>
          <w:color w:val="auto"/>
        </w:rPr>
      </w:pPr>
    </w:p>
    <w:p>
      <w:pPr>
        <w:jc w:val="both"/>
        <w:ind w:right="80" w:firstLine="1296"/>
        <w:spacing w:after="0" w:line="27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b w:val="1"/>
          <w:bCs w:val="1"/>
          <w:u w:val="single" w:color="auto"/>
          <w:color w:val="auto"/>
        </w:rPr>
        <w:t>Credit Agreement</w:t>
      </w:r>
      <w:r>
        <w:rPr>
          <w:rFonts w:ascii="Arial" w:cs="Arial" w:eastAsia="Arial" w:hAnsi="Arial"/>
          <w:sz w:val="19"/>
          <w:szCs w:val="19"/>
          <w:color w:val="auto"/>
        </w:rPr>
        <w:t>. As of the First Amendment Effective Date, the Credit Agreement shall be deemed amended to reflect the terms set forth in this Amendment. Except as set forth in this Amendment, the Extended Commitments and the Extended Loans shall otherwise be subject to the provisions of the Credit Agreement and the other Loan Documents.</w:t>
      </w:r>
    </w:p>
    <w:p>
      <w:pPr>
        <w:spacing w:after="0" w:line="162" w:lineRule="exact"/>
        <w:rPr>
          <w:sz w:val="20"/>
          <w:szCs w:val="20"/>
          <w:color w:val="auto"/>
        </w:rPr>
      </w:pPr>
    </w:p>
    <w:p>
      <w:pPr>
        <w:ind w:right="380" w:firstLine="1296"/>
        <w:spacing w:after="0" w:line="29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u w:val="single" w:color="auto"/>
          <w:color w:val="auto"/>
        </w:rPr>
        <w:t>Representations and Warranties, No Default</w:t>
      </w:r>
      <w:r>
        <w:rPr>
          <w:rFonts w:ascii="Arial" w:cs="Arial" w:eastAsia="Arial" w:hAnsi="Arial"/>
          <w:sz w:val="19"/>
          <w:szCs w:val="19"/>
          <w:color w:val="auto"/>
        </w:rPr>
        <w:t>. In order to induce the Extending and Consenting Lenders to enter into this Amendment, the Company represents and warrants to each Extending and Consenting Lender that:</w:t>
      </w:r>
    </w:p>
    <w:p>
      <w:pPr>
        <w:spacing w:after="0" w:line="175" w:lineRule="exact"/>
        <w:rPr>
          <w:sz w:val="20"/>
          <w:szCs w:val="20"/>
          <w:color w:val="auto"/>
        </w:rPr>
      </w:pPr>
    </w:p>
    <w:p>
      <w:pPr>
        <w:ind w:firstLine="1304"/>
        <w:spacing w:after="0" w:line="313" w:lineRule="auto"/>
        <w:tabs>
          <w:tab w:leader="none" w:pos="1716" w:val="left"/>
        </w:tabs>
        <w:numPr>
          <w:ilvl w:val="0"/>
          <w:numId w:val="4"/>
        </w:numPr>
        <w:rPr>
          <w:rFonts w:ascii="Arial" w:cs="Arial" w:eastAsia="Arial" w:hAnsi="Arial"/>
          <w:sz w:val="19"/>
          <w:szCs w:val="19"/>
          <w:color w:val="auto"/>
        </w:rPr>
      </w:pPr>
      <w:r>
        <w:rPr>
          <w:rFonts w:ascii="Arial" w:cs="Arial" w:eastAsia="Arial" w:hAnsi="Arial"/>
          <w:sz w:val="18"/>
          <w:szCs w:val="18"/>
          <w:color w:val="auto"/>
        </w:rPr>
        <w:t>After giving effect to this Amendment,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62" w:right="339" w:bottom="1440" w:gutter="0" w:footer="0" w:header="0"/>
        </w:sectPr>
      </w:pPr>
    </w:p>
    <w:bookmarkStart w:id="5" w:name="page6"/>
    <w:bookmarkEnd w:id="5"/>
    <w:p>
      <w:pPr>
        <w:ind w:right="340"/>
        <w:spacing w:after="0" w:line="260" w:lineRule="auto"/>
        <w:rPr>
          <w:sz w:val="20"/>
          <w:szCs w:val="20"/>
          <w:color w:val="auto"/>
        </w:rPr>
      </w:pPr>
      <w:r>
        <w:rPr>
          <w:rFonts w:ascii="Arial" w:cs="Arial" w:eastAsia="Arial" w:hAnsi="Arial"/>
          <w:sz w:val="20"/>
          <w:szCs w:val="20"/>
          <w:color w:val="auto"/>
        </w:rPr>
        <w:t>4.7, 4.8, 4.9 and 4.13 of the Credit Agreement), in which case, such representations and warranties shall have been true and correct in all material respects on and as of such earlier date).</w:t>
      </w:r>
    </w:p>
    <w:p>
      <w:pPr>
        <w:spacing w:after="0" w:line="204" w:lineRule="exact"/>
        <w:rPr>
          <w:sz w:val="20"/>
          <w:szCs w:val="20"/>
          <w:color w:val="auto"/>
        </w:rPr>
      </w:pPr>
    </w:p>
    <w:p>
      <w:pPr>
        <w:ind w:firstLine="1304"/>
        <w:spacing w:after="0" w:line="304" w:lineRule="auto"/>
        <w:tabs>
          <w:tab w:leader="none" w:pos="1728" w:val="left"/>
        </w:tabs>
        <w:numPr>
          <w:ilvl w:val="0"/>
          <w:numId w:val="5"/>
        </w:numPr>
        <w:rPr>
          <w:rFonts w:ascii="Arial" w:cs="Arial" w:eastAsia="Arial" w:hAnsi="Arial"/>
          <w:sz w:val="19"/>
          <w:szCs w:val="19"/>
          <w:color w:val="auto"/>
        </w:rPr>
      </w:pPr>
      <w:r>
        <w:rPr>
          <w:rFonts w:ascii="Arial" w:cs="Arial" w:eastAsia="Arial" w:hAnsi="Arial"/>
          <w:sz w:val="18"/>
          <w:szCs w:val="18"/>
          <w:color w:val="auto"/>
        </w:rPr>
        <w:t>Each Loan Party (i) has the requisite organizational power and authority to execute, deliver and perform its obligations under this Amendment, (ii) has taken all necessary corporate or other organizational action to authorize the execution, delivery and performance hereof, (iii) has duly executed and delivered this Amendment, (iv) this Amendment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8" w:lineRule="exact"/>
        <w:rPr>
          <w:rFonts w:ascii="Arial" w:cs="Arial" w:eastAsia="Arial" w:hAnsi="Arial"/>
          <w:sz w:val="19"/>
          <w:szCs w:val="19"/>
          <w:color w:val="auto"/>
        </w:rPr>
      </w:pPr>
    </w:p>
    <w:p>
      <w:pPr>
        <w:ind w:left="1720" w:hanging="416"/>
        <w:spacing w:after="0"/>
        <w:tabs>
          <w:tab w:leader="none" w:pos="1720" w:val="left"/>
        </w:tabs>
        <w:numPr>
          <w:ilvl w:val="0"/>
          <w:numId w:val="5"/>
        </w:numPr>
        <w:rPr>
          <w:rFonts w:ascii="Arial" w:cs="Arial" w:eastAsia="Arial" w:hAnsi="Arial"/>
          <w:sz w:val="22"/>
          <w:szCs w:val="22"/>
          <w:color w:val="auto"/>
        </w:rPr>
      </w:pPr>
      <w:r>
        <w:rPr>
          <w:rFonts w:ascii="Arial" w:cs="Arial" w:eastAsia="Arial" w:hAnsi="Arial"/>
          <w:sz w:val="20"/>
          <w:szCs w:val="20"/>
          <w:color w:val="auto"/>
        </w:rPr>
        <w:t>No Default or Event of Default has occurred and is continuing; and</w:t>
      </w:r>
    </w:p>
    <w:p>
      <w:pPr>
        <w:spacing w:after="0" w:line="235" w:lineRule="exact"/>
        <w:rPr>
          <w:rFonts w:ascii="Arial" w:cs="Arial" w:eastAsia="Arial" w:hAnsi="Arial"/>
          <w:sz w:val="22"/>
          <w:szCs w:val="22"/>
          <w:color w:val="auto"/>
        </w:rPr>
      </w:pPr>
    </w:p>
    <w:p>
      <w:pPr>
        <w:ind w:right="280" w:firstLine="1304"/>
        <w:spacing w:after="0" w:line="265" w:lineRule="auto"/>
        <w:tabs>
          <w:tab w:leader="none" w:pos="1728" w:val="left"/>
        </w:tabs>
        <w:numPr>
          <w:ilvl w:val="0"/>
          <w:numId w:val="5"/>
        </w:numPr>
        <w:rPr>
          <w:rFonts w:ascii="Arial" w:cs="Arial" w:eastAsia="Arial" w:hAnsi="Arial"/>
          <w:sz w:val="22"/>
          <w:szCs w:val="22"/>
          <w:color w:val="auto"/>
        </w:rPr>
      </w:pPr>
      <w:r>
        <w:rPr>
          <w:rFonts w:ascii="Arial" w:cs="Arial" w:eastAsia="Arial" w:hAnsi="Arial"/>
          <w:sz w:val="20"/>
          <w:szCs w:val="20"/>
          <w:color w:val="auto"/>
        </w:rPr>
        <w:t>After giving effect to this Amendment, the sum of the Total Commitments in effect (including, for the avoidance of doubt, Incremental Commitments), the 5-Year Total Commitments (including, for the avoidance of doubt, any commitments under incremental facilities under the 5-Year Revolving Credit Agreement in effect) and the aggregate amount of all Ancillary Commitments in effect shall not exceed $18 billion.</w:t>
      </w:r>
    </w:p>
    <w:p>
      <w:pPr>
        <w:spacing w:after="0" w:line="190" w:lineRule="exact"/>
        <w:rPr>
          <w:sz w:val="20"/>
          <w:szCs w:val="20"/>
          <w:color w:val="auto"/>
        </w:rPr>
      </w:pPr>
    </w:p>
    <w:p>
      <w:pPr>
        <w:ind w:right="520" w:firstLine="1296"/>
        <w:spacing w:after="0" w:line="28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Removal of GMGTC</w:t>
      </w:r>
      <w:r>
        <w:rPr>
          <w:rFonts w:ascii="Arial" w:cs="Arial" w:eastAsia="Arial" w:hAnsi="Arial"/>
          <w:sz w:val="21"/>
          <w:szCs w:val="21"/>
          <w:b w:val="1"/>
          <w:bCs w:val="1"/>
          <w:u w:val="single" w:color="auto"/>
          <w:color w:val="auto"/>
        </w:rPr>
        <w:t>.</w:t>
      </w:r>
      <w:r>
        <w:rPr>
          <w:rFonts w:ascii="Arial" w:cs="Arial" w:eastAsia="Arial" w:hAnsi="Arial"/>
          <w:sz w:val="20"/>
          <w:szCs w:val="20"/>
          <w:color w:val="auto"/>
        </w:rPr>
        <w:t xml:space="preserve"> The parties hereto hereby agree that this Amendment shall constitute notice to the Administrative Agent of the removal of GMGTC as a Subsidiary Borrower pursuant to Section 10.1(d)(ii)(A) of the Existing Credit Agreement.</w:t>
      </w:r>
    </w:p>
    <w:p>
      <w:pPr>
        <w:spacing w:after="0" w:line="163" w:lineRule="exact"/>
        <w:rPr>
          <w:sz w:val="20"/>
          <w:szCs w:val="20"/>
          <w:color w:val="auto"/>
        </w:rPr>
      </w:pPr>
    </w:p>
    <w:p>
      <w:pPr>
        <w:ind w:right="320" w:firstLine="1296"/>
        <w:spacing w:after="0" w:line="32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Effectiveness</w:t>
      </w:r>
      <w:r>
        <w:rPr>
          <w:rFonts w:ascii="Arial" w:cs="Arial" w:eastAsia="Arial" w:hAnsi="Arial"/>
          <w:sz w:val="18"/>
          <w:szCs w:val="18"/>
          <w:color w:val="auto"/>
        </w:rPr>
        <w:t>. This Amendment and the amendments to the Credit Agreement set forth herein shall become effective on the date (such date, if any,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that the following conditions have been satisfied:</w:t>
      </w:r>
    </w:p>
    <w:p>
      <w:pPr>
        <w:spacing w:after="0" w:line="151" w:lineRule="exact"/>
        <w:rPr>
          <w:sz w:val="20"/>
          <w:szCs w:val="20"/>
          <w:color w:val="auto"/>
        </w:rPr>
      </w:pPr>
    </w:p>
    <w:p>
      <w:pPr>
        <w:ind w:right="100" w:firstLine="1304"/>
        <w:spacing w:after="0" w:line="264" w:lineRule="auto"/>
        <w:tabs>
          <w:tab w:leader="none" w:pos="1716" w:val="left"/>
        </w:tabs>
        <w:numPr>
          <w:ilvl w:val="0"/>
          <w:numId w:val="6"/>
        </w:numPr>
        <w:rPr>
          <w:rFonts w:ascii="Arial" w:cs="Arial" w:eastAsia="Arial" w:hAnsi="Arial"/>
          <w:sz w:val="22"/>
          <w:szCs w:val="22"/>
          <w:color w:val="auto"/>
        </w:rPr>
      </w:pPr>
      <w:r>
        <w:rPr>
          <w:rFonts w:ascii="Arial" w:cs="Arial" w:eastAsia="Arial" w:hAnsi="Arial"/>
          <w:sz w:val="20"/>
          <w:szCs w:val="20"/>
          <w:color w:val="auto"/>
        </w:rPr>
        <w:t>receipt by the Administrative Agent of executed signature pages hereto from each Loan Party and each Extending and Consenting Lender (which Extending and Consenting Lenders constitute Required Lenders);</w:t>
      </w:r>
    </w:p>
    <w:p>
      <w:pPr>
        <w:spacing w:after="0" w:line="211" w:lineRule="exact"/>
        <w:rPr>
          <w:rFonts w:ascii="Arial" w:cs="Arial" w:eastAsia="Arial" w:hAnsi="Arial"/>
          <w:sz w:val="22"/>
          <w:szCs w:val="22"/>
          <w:color w:val="auto"/>
        </w:rPr>
      </w:pPr>
    </w:p>
    <w:p>
      <w:pPr>
        <w:ind w:right="100" w:firstLine="1304"/>
        <w:spacing w:after="0" w:line="264" w:lineRule="auto"/>
        <w:tabs>
          <w:tab w:leader="none" w:pos="1728" w:val="left"/>
        </w:tabs>
        <w:numPr>
          <w:ilvl w:val="0"/>
          <w:numId w:val="6"/>
        </w:numPr>
        <w:rPr>
          <w:rFonts w:ascii="Arial" w:cs="Arial" w:eastAsia="Arial" w:hAnsi="Arial"/>
          <w:sz w:val="22"/>
          <w:szCs w:val="22"/>
          <w:color w:val="auto"/>
        </w:rPr>
      </w:pPr>
      <w:r>
        <w:rPr>
          <w:rFonts w:ascii="Arial" w:cs="Arial" w:eastAsia="Arial" w:hAnsi="Arial"/>
          <w:sz w:val="20"/>
          <w:szCs w:val="20"/>
          <w:color w:val="auto"/>
        </w:rPr>
        <w:t>No Default or Event of Default shall have occurred and be continuing on the First Amendment Effective Date or after giving effect to the Amendment;</w:t>
      </w:r>
    </w:p>
    <w:p>
      <w:pPr>
        <w:spacing w:after="0" w:line="211" w:lineRule="exact"/>
        <w:rPr>
          <w:rFonts w:ascii="Arial" w:cs="Arial" w:eastAsia="Arial" w:hAnsi="Arial"/>
          <w:sz w:val="22"/>
          <w:szCs w:val="22"/>
          <w:color w:val="auto"/>
        </w:rPr>
      </w:pPr>
    </w:p>
    <w:p>
      <w:pPr>
        <w:ind w:firstLine="1304"/>
        <w:spacing w:after="0" w:line="265" w:lineRule="auto"/>
        <w:tabs>
          <w:tab w:leader="none" w:pos="1716" w:val="left"/>
        </w:tabs>
        <w:numPr>
          <w:ilvl w:val="0"/>
          <w:numId w:val="6"/>
        </w:numPr>
        <w:rPr>
          <w:rFonts w:ascii="Arial" w:cs="Arial" w:eastAsia="Arial" w:hAnsi="Arial"/>
          <w:sz w:val="22"/>
          <w:szCs w:val="22"/>
          <w:color w:val="auto"/>
        </w:rPr>
      </w:pPr>
      <w:r>
        <w:rPr>
          <w:rFonts w:ascii="Arial" w:cs="Arial" w:eastAsia="Arial" w:hAnsi="Arial"/>
          <w:sz w:val="20"/>
          <w:szCs w:val="20"/>
          <w:color w:val="auto"/>
        </w:rPr>
        <w:t>The Lenders, the Administrative Agent and the Arrangers shall have received all fees and out-of-pocket expenses required to be paid hereunder and under the Credit Agreement (with respect to such expenses) invoiced at least three (3) Business Days prior to the First Amendment Effective Date;</w:t>
      </w:r>
    </w:p>
    <w:p>
      <w:pPr>
        <w:spacing w:after="0" w:line="211" w:lineRule="exact"/>
        <w:rPr>
          <w:rFonts w:ascii="Arial" w:cs="Arial" w:eastAsia="Arial" w:hAnsi="Arial"/>
          <w:sz w:val="22"/>
          <w:szCs w:val="22"/>
          <w:color w:val="auto"/>
        </w:rPr>
      </w:pPr>
    </w:p>
    <w:p>
      <w:pPr>
        <w:ind w:firstLine="1304"/>
        <w:spacing w:after="0" w:line="266" w:lineRule="auto"/>
        <w:tabs>
          <w:tab w:leader="none" w:pos="1728" w:val="left"/>
        </w:tabs>
        <w:numPr>
          <w:ilvl w:val="0"/>
          <w:numId w:val="6"/>
        </w:numPr>
        <w:rPr>
          <w:rFonts w:ascii="Arial" w:cs="Arial" w:eastAsia="Arial" w:hAnsi="Arial"/>
          <w:sz w:val="22"/>
          <w:szCs w:val="22"/>
          <w:color w:val="auto"/>
        </w:rPr>
      </w:pPr>
      <w:r>
        <w:rPr>
          <w:rFonts w:ascii="Arial" w:cs="Arial" w:eastAsia="Arial" w:hAnsi="Arial"/>
          <w:sz w:val="20"/>
          <w:szCs w:val="20"/>
          <w:color w:val="auto"/>
        </w:rPr>
        <w:t>The Administrative Agent shall have received (i) a certificate of each Loan Party (or a certificate of the Loan Parties), dated as of the First Amendment Effective Date, substantially in the form of Exhibit F to the Credit Agreement,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320" w:top="568" w:right="419" w:bottom="1440" w:gutter="0" w:footer="0" w:header="0"/>
        </w:sectPr>
      </w:pPr>
    </w:p>
    <w:bookmarkStart w:id="6" w:name="page7"/>
    <w:bookmarkEnd w:id="6"/>
    <w:p>
      <w:pPr>
        <w:ind w:right="340"/>
        <w:spacing w:after="0" w:line="260" w:lineRule="auto"/>
        <w:rPr>
          <w:sz w:val="20"/>
          <w:szCs w:val="20"/>
          <w:color w:val="auto"/>
        </w:rPr>
      </w:pPr>
      <w:r>
        <w:rPr>
          <w:rFonts w:ascii="Arial" w:cs="Arial" w:eastAsia="Arial" w:hAnsi="Arial"/>
          <w:sz w:val="20"/>
          <w:szCs w:val="20"/>
          <w:color w:val="auto"/>
        </w:rPr>
        <w:t>certificate of the Company, dated as of the First Amendment Effective Date, to the effect that the conditions set forth in Section 5.2 of the Credit Agreement have been satisfied or waived;</w:t>
      </w:r>
    </w:p>
    <w:p>
      <w:pPr>
        <w:spacing w:after="0" w:line="204" w:lineRule="exact"/>
        <w:rPr>
          <w:sz w:val="20"/>
          <w:szCs w:val="20"/>
          <w:color w:val="auto"/>
        </w:rPr>
      </w:pPr>
    </w:p>
    <w:p>
      <w:pPr>
        <w:ind w:left="1720" w:hanging="416"/>
        <w:spacing w:after="0"/>
        <w:tabs>
          <w:tab w:leader="none" w:pos="1720" w:val="left"/>
        </w:tabs>
        <w:numPr>
          <w:ilvl w:val="1"/>
          <w:numId w:val="7"/>
        </w:numPr>
        <w:rPr>
          <w:rFonts w:ascii="Arial" w:cs="Arial" w:eastAsia="Arial" w:hAnsi="Arial"/>
          <w:sz w:val="19"/>
          <w:szCs w:val="19"/>
          <w:color w:val="auto"/>
        </w:rPr>
      </w:pPr>
      <w:r>
        <w:rPr>
          <w:rFonts w:ascii="Arial" w:cs="Arial" w:eastAsia="Arial" w:hAnsi="Arial"/>
          <w:sz w:val="18"/>
          <w:szCs w:val="18"/>
          <w:color w:val="auto"/>
        </w:rPr>
        <w:t>The Administrative Agent shall have received the executed legal opinion of (i) in-house counsel to the Loan Parties and</w:t>
      </w:r>
    </w:p>
    <w:p>
      <w:pPr>
        <w:spacing w:after="0" w:line="38" w:lineRule="exact"/>
        <w:rPr>
          <w:rFonts w:ascii="Arial" w:cs="Arial" w:eastAsia="Arial" w:hAnsi="Arial"/>
          <w:sz w:val="19"/>
          <w:szCs w:val="19"/>
          <w:color w:val="auto"/>
        </w:rPr>
      </w:pPr>
    </w:p>
    <w:p>
      <w:pPr>
        <w:ind w:left="300" w:hanging="292"/>
        <w:spacing w:after="0"/>
        <w:tabs>
          <w:tab w:leader="none" w:pos="300" w:val="left"/>
        </w:tabs>
        <w:numPr>
          <w:ilvl w:val="0"/>
          <w:numId w:val="8"/>
        </w:numPr>
        <w:rPr>
          <w:rFonts w:ascii="Arial" w:cs="Arial" w:eastAsia="Arial" w:hAnsi="Arial"/>
          <w:sz w:val="19"/>
          <w:szCs w:val="19"/>
          <w:color w:val="auto"/>
        </w:rPr>
      </w:pPr>
      <w:r>
        <w:rPr>
          <w:rFonts w:ascii="Arial" w:cs="Arial" w:eastAsia="Arial" w:hAnsi="Arial"/>
          <w:sz w:val="19"/>
          <w:szCs w:val="19"/>
          <w:color w:val="auto"/>
        </w:rPr>
        <w:t>Mayer Brown LLP, counsel to the Loan Parties, each in form and substance reasonably acceptable to the Administrative Agent;</w:t>
      </w:r>
    </w:p>
    <w:p>
      <w:pPr>
        <w:spacing w:after="0" w:line="267" w:lineRule="exact"/>
        <w:rPr>
          <w:rFonts w:ascii="Arial" w:cs="Arial" w:eastAsia="Arial" w:hAnsi="Arial"/>
          <w:sz w:val="19"/>
          <w:szCs w:val="19"/>
          <w:color w:val="auto"/>
        </w:rPr>
      </w:pPr>
    </w:p>
    <w:p>
      <w:pPr>
        <w:ind w:firstLine="1304"/>
        <w:spacing w:after="0" w:line="266" w:lineRule="auto"/>
        <w:tabs>
          <w:tab w:leader="none" w:pos="1692" w:val="left"/>
        </w:tabs>
        <w:numPr>
          <w:ilvl w:val="1"/>
          <w:numId w:val="8"/>
        </w:numPr>
        <w:rPr>
          <w:rFonts w:ascii="Arial" w:cs="Arial" w:eastAsia="Arial" w:hAnsi="Arial"/>
          <w:sz w:val="22"/>
          <w:szCs w:val="22"/>
          <w:color w:val="auto"/>
        </w:rPr>
      </w:pPr>
      <w:r>
        <w:rPr>
          <w:rFonts w:ascii="Arial" w:cs="Arial" w:eastAsia="Arial" w:hAnsi="Arial"/>
          <w:sz w:val="20"/>
          <w:szCs w:val="20"/>
          <w:color w:val="auto"/>
        </w:rPr>
        <w:t>After giving effect to this Amendment,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of the Credit Agreement), in which case, such representations and warranties shall have been true and correct in all material respects on and as of such earlier date);</w:t>
      </w:r>
    </w:p>
    <w:p>
      <w:pPr>
        <w:spacing w:after="0" w:line="212" w:lineRule="exact"/>
        <w:rPr>
          <w:rFonts w:ascii="Arial" w:cs="Arial" w:eastAsia="Arial" w:hAnsi="Arial"/>
          <w:sz w:val="22"/>
          <w:szCs w:val="22"/>
          <w:color w:val="auto"/>
        </w:rPr>
      </w:pPr>
    </w:p>
    <w:p>
      <w:pPr>
        <w:ind w:right="320" w:firstLine="1304"/>
        <w:spacing w:after="0" w:line="313" w:lineRule="auto"/>
        <w:tabs>
          <w:tab w:leader="none" w:pos="1728" w:val="left"/>
        </w:tabs>
        <w:numPr>
          <w:ilvl w:val="1"/>
          <w:numId w:val="8"/>
        </w:numPr>
        <w:rPr>
          <w:rFonts w:ascii="Arial" w:cs="Arial" w:eastAsia="Arial" w:hAnsi="Arial"/>
          <w:sz w:val="19"/>
          <w:szCs w:val="19"/>
          <w:color w:val="auto"/>
        </w:rPr>
      </w:pPr>
      <w:r>
        <w:rPr>
          <w:rFonts w:ascii="Arial" w:cs="Arial" w:eastAsia="Arial" w:hAnsi="Arial"/>
          <w:sz w:val="18"/>
          <w:szCs w:val="18"/>
          <w:color w:val="auto"/>
        </w:rPr>
        <w:t>The Administrative Agent shall have received all documentation and other information reasonably requested by the Administrative Agent or any Lender who is not a lender under the Existing Three Year Credit Agreement under applicable “know your customer” and anti-money-laundering rules and regulations, including the USA Patriot Act and the Beneficial Ownership Regulation; and</w:t>
      </w:r>
    </w:p>
    <w:p>
      <w:pPr>
        <w:spacing w:after="0" w:line="174" w:lineRule="exact"/>
        <w:rPr>
          <w:rFonts w:ascii="Arial" w:cs="Arial" w:eastAsia="Arial" w:hAnsi="Arial"/>
          <w:sz w:val="19"/>
          <w:szCs w:val="19"/>
          <w:color w:val="auto"/>
        </w:rPr>
      </w:pPr>
    </w:p>
    <w:p>
      <w:pPr>
        <w:ind w:right="360" w:firstLine="1304"/>
        <w:spacing w:after="0" w:line="265" w:lineRule="auto"/>
        <w:tabs>
          <w:tab w:leader="none" w:pos="1728" w:val="left"/>
        </w:tabs>
        <w:numPr>
          <w:ilvl w:val="1"/>
          <w:numId w:val="8"/>
        </w:numPr>
        <w:rPr>
          <w:rFonts w:ascii="Arial" w:cs="Arial" w:eastAsia="Arial" w:hAnsi="Arial"/>
          <w:sz w:val="22"/>
          <w:szCs w:val="22"/>
          <w:color w:val="auto"/>
        </w:rPr>
      </w:pPr>
      <w:r>
        <w:rPr>
          <w:rFonts w:ascii="Arial" w:cs="Arial" w:eastAsia="Arial" w:hAnsi="Arial"/>
          <w:sz w:val="20"/>
          <w:szCs w:val="20"/>
          <w:color w:val="auto"/>
        </w:rPr>
        <w:t>After giving effect to this Amendment, the sum of the Total Commitments in effect (including, for the avoidance of doubt, Incremental Commitments), the 5-Year Total Commitments (including, for the avoidance of doubt, any commitments under incremental facilities under the 5-Year Revolving Credit Agreement in effect) and the aggregate amount of all Ancillary Commitments in effect shall not exceed $18 billion.</w:t>
      </w:r>
    </w:p>
    <w:p>
      <w:pPr>
        <w:spacing w:after="0" w:line="181" w:lineRule="exact"/>
        <w:rPr>
          <w:sz w:val="20"/>
          <w:szCs w:val="20"/>
          <w:color w:val="auto"/>
        </w:rPr>
      </w:pPr>
    </w:p>
    <w:p>
      <w:pPr>
        <w:ind w:right="280" w:firstLine="1296"/>
        <w:spacing w:after="0" w:line="248"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e-mail or facsimile transmission shall be effective as delivery of a manually executed counterpart hereof.</w:t>
      </w:r>
    </w:p>
    <w:p>
      <w:pPr>
        <w:spacing w:after="0" w:line="183" w:lineRule="exact"/>
        <w:rPr>
          <w:sz w:val="20"/>
          <w:szCs w:val="20"/>
          <w:color w:val="auto"/>
        </w:rPr>
      </w:pPr>
    </w:p>
    <w:p>
      <w:pPr>
        <w:ind w:right="400" w:firstLine="1296"/>
        <w:spacing w:after="0" w:line="253"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b w:val="1"/>
          <w:bCs w:val="1"/>
          <w:u w:val="single" w:color="auto"/>
          <w:color w:val="auto"/>
        </w:rPr>
        <w:t>Applicable Law</w:t>
      </w:r>
      <w:r>
        <w:rPr>
          <w:rFonts w:ascii="Arial" w:cs="Arial" w:eastAsia="Arial" w:hAnsi="Arial"/>
          <w:sz w:val="20"/>
          <w:szCs w:val="20"/>
          <w:color w:val="auto"/>
        </w:rPr>
        <w:t>. THIS AMENDMENT AND THE RIGHTS AND OBLIGATIONS OF THE PARTIES UNDER THIS AMENDMENT SHALL BE GOVERNED BY, AND CONSTRUED AND INTERPRETED IN ACCORDANCE WITH, THE LAWS OF THE STATE OF NEW YORK.</w:t>
      </w:r>
    </w:p>
    <w:p>
      <w:pPr>
        <w:spacing w:after="0" w:line="177" w:lineRule="exact"/>
        <w:rPr>
          <w:sz w:val="20"/>
          <w:szCs w:val="20"/>
          <w:color w:val="auto"/>
        </w:rPr>
      </w:pPr>
    </w:p>
    <w:p>
      <w:pPr>
        <w:ind w:right="720" w:firstLine="1296"/>
        <w:spacing w:after="0" w:line="32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Subsection headings in this Amendment are included herein for convenience of reference only and shall not constitute a part of this Amendment for any other purpose or be given any substantive effect.</w:t>
      </w:r>
    </w:p>
    <w:p>
      <w:pPr>
        <w:spacing w:after="0" w:line="118" w:lineRule="exact"/>
        <w:rPr>
          <w:sz w:val="20"/>
          <w:szCs w:val="20"/>
          <w:color w:val="auto"/>
        </w:rPr>
      </w:pPr>
    </w:p>
    <w:p>
      <w:pPr>
        <w:ind w:right="120" w:firstLine="1296"/>
        <w:spacing w:after="0" w:line="245"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b w:val="1"/>
          <w:bCs w:val="1"/>
          <w:u w:val="single" w:color="auto"/>
          <w:color w:val="auto"/>
        </w:rPr>
        <w:t>Effect of Amendment</w:t>
      </w:r>
      <w:r>
        <w:rPr>
          <w:rFonts w:ascii="Arial" w:cs="Arial" w:eastAsia="Arial" w:hAnsi="Arial"/>
          <w:sz w:val="20"/>
          <w:szCs w:val="20"/>
          <w:color w:val="auto"/>
        </w:rPr>
        <w:t>. Except as expressly set forth herein, (i) this Amendment shall not by implication or otherwise limit, impair, constitute a waiver of or otherwise affect the rights and remedies of the Lenders, the Administrative Agent or any other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This Amendment shall constitute a Loan Document for purposes of the Credit Agreement and from and after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68" w:right="33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8"/>
          <w:szCs w:val="18"/>
          <w:color w:val="auto"/>
        </w:rPr>
        <w:t>the First Amendment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by this Amendment. Each of the Loan Parties party hereto hereby (i) consents to this Amendment, (ii) ratifies and reaffirms all of its payment and performance of all obligations of such Loan Party, contingent or otherwise, under each of the Loan Documents to which it is a party, and (iii) in the case of each Guarantor, ratifies and reaffirms its guaranty of the Obligations pursuant to the Loan Documents. Each Loan Document, after giving effect to this Amendment, is and shall continue to be in full force and effect and is hereby in all respects ratified and confirmed. Nothing in this Amendment shall be deemed to be a novation of any of the Obligations under the existing Credit Agreement or the other Loan Documents;</w:t>
      </w:r>
    </w:p>
    <w:p>
      <w:pPr>
        <w:spacing w:after="0" w:line="162" w:lineRule="exact"/>
        <w:rPr>
          <w:sz w:val="20"/>
          <w:szCs w:val="20"/>
          <w:color w:val="auto"/>
        </w:rPr>
      </w:pPr>
    </w:p>
    <w:p>
      <w:pPr>
        <w:ind w:right="400" w:firstLine="1296"/>
        <w:spacing w:after="0" w:line="293"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b w:val="1"/>
          <w:bCs w:val="1"/>
          <w:u w:val="single" w:color="auto"/>
          <w:color w:val="auto"/>
        </w:rPr>
        <w:t>Submission To Jurisdiction; Waivers</w:t>
      </w:r>
      <w:r>
        <w:rPr>
          <w:rFonts w:ascii="Arial" w:cs="Arial" w:eastAsia="Arial" w:hAnsi="Arial"/>
          <w:sz w:val="19"/>
          <w:szCs w:val="19"/>
          <w:color w:val="auto"/>
        </w:rPr>
        <w:t xml:space="preserve">. Each of the parties hereto hereby irrevocably and unconditionally agrees that Section 10.12 and Section 10.17 of the Credit Agreement is incorporated herein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60"/>
          </w:cols>
          <w:pgMar w:left="320" w:top="568" w:right="419" w:bottom="1440" w:gutter="0" w:footer="0" w:header="0"/>
        </w:sectPr>
      </w:pPr>
    </w:p>
    <w:bookmarkStart w:id="8" w:name="page9"/>
    <w:bookmarkEnd w:id="8"/>
    <w:p>
      <w:pPr>
        <w:ind w:firstLine="1296"/>
        <w:spacing w:after="0" w:line="281"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Amendment to be duly executed by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day and year first above written.</w:t>
      </w:r>
    </w:p>
    <w:p>
      <w:pPr>
        <w:spacing w:after="0" w:line="39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GENERAL MOTORS COMPANY</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Rakesh K. Gupta</w:t>
      </w:r>
    </w:p>
    <w:p>
      <w:pPr>
        <w:ind w:left="390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GENERAL MOTORS FINANCIAL COMPANY, INC.</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734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418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Richard A. Gokenbach, Jr.</w:t>
      </w:r>
    </w:p>
    <w:p>
      <w:pPr>
        <w:ind w:left="3900"/>
        <w:spacing w:after="0"/>
        <w:rPr>
          <w:sz w:val="20"/>
          <w:szCs w:val="20"/>
          <w:color w:val="auto"/>
        </w:rPr>
      </w:pPr>
      <w:r>
        <w:rPr>
          <w:rFonts w:ascii="Arial" w:cs="Arial" w:eastAsia="Arial" w:hAnsi="Arial"/>
          <w:sz w:val="20"/>
          <w:szCs w:val="20"/>
          <w:color w:val="auto"/>
        </w:rPr>
        <w:t>Title: Executive Vice President and Treasurer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GENERAL MOTORS DO BRASIL LTDA.</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Marina de Mesquita Willisch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864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499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Marina de Mesquita Willisch</w:t>
      </w:r>
    </w:p>
    <w:p>
      <w:pPr>
        <w:ind w:left="3900"/>
        <w:spacing w:after="0"/>
        <w:rPr>
          <w:sz w:val="20"/>
          <w:szCs w:val="20"/>
          <w:color w:val="auto"/>
        </w:rPr>
      </w:pPr>
      <w:r>
        <w:rPr>
          <w:rFonts w:ascii="Arial" w:cs="Arial" w:eastAsia="Arial" w:hAnsi="Arial"/>
          <w:sz w:val="20"/>
          <w:szCs w:val="20"/>
          <w:color w:val="auto"/>
        </w:rPr>
        <w:t>Title: Vice President of Public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11240"/>
          </w:cols>
          <w:pgMar w:left="320" w:top="589"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79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Peter S. Predun</w:t>
      </w:r>
    </w:p>
    <w:p>
      <w:pPr>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359"/>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10139"/>
          </w:cols>
          <w:pgMar w:left="320" w:top="1027" w:right="1440" w:bottom="1440" w:gutter="0" w:footer="0" w:header="0"/>
        </w:sectPr>
      </w:pPr>
    </w:p>
    <w:bookmarkStart w:id="10" w:name="page11"/>
    <w:bookmarkEnd w:id="10"/>
    <w:p>
      <w:pPr>
        <w:ind w:left="2120"/>
        <w:spacing w:after="0"/>
        <w:rPr>
          <w:sz w:val="20"/>
          <w:szCs w:val="20"/>
          <w:color w:val="auto"/>
        </w:rPr>
      </w:pPr>
      <w:r>
        <w:rPr>
          <w:rFonts w:ascii="Arial" w:cs="Arial" w:eastAsia="Arial" w:hAnsi="Arial"/>
          <w:sz w:val="18"/>
          <w:szCs w:val="18"/>
          <w:color w:val="auto"/>
        </w:rPr>
        <w:t>JPMORGAN CHASE BANK, N.A.,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04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4925" cy="8890"/>
                    </a:xfrm>
                    <a:prstGeom prst="rect">
                      <a:avLst/>
                    </a:prstGeom>
                    <a:noFill/>
                  </pic:spPr>
                </pic:pic>
              </a:graphicData>
            </a:graphic>
          </wp:anchor>
        </w:drawing>
      </w:r>
    </w:p>
    <w:p>
      <w:pPr>
        <w:ind w:left="2460"/>
        <w:spacing w:after="0"/>
        <w:rPr>
          <w:sz w:val="20"/>
          <w:szCs w:val="20"/>
          <w:color w:val="auto"/>
        </w:rPr>
      </w:pPr>
      <w:r>
        <w:rPr>
          <w:rFonts w:ascii="Arial" w:cs="Arial" w:eastAsia="Arial" w:hAnsi="Arial"/>
          <w:sz w:val="20"/>
          <w:szCs w:val="20"/>
          <w:color w:val="auto"/>
        </w:rPr>
        <w:t>Name: Peter S. Predun</w:t>
      </w:r>
    </w:p>
    <w:p>
      <w:pPr>
        <w:ind w:left="2460"/>
        <w:spacing w:after="0"/>
        <w:rPr>
          <w:sz w:val="20"/>
          <w:szCs w:val="20"/>
          <w:color w:val="auto"/>
        </w:rPr>
      </w:pPr>
      <w:r>
        <w:rPr>
          <w:rFonts w:ascii="Arial" w:cs="Arial" w:eastAsia="Arial" w:hAnsi="Arial"/>
          <w:sz w:val="20"/>
          <w:szCs w:val="20"/>
          <w:color w:val="auto"/>
        </w:rPr>
        <w:t>Title: Executive Director</w:t>
      </w:r>
    </w:p>
    <w:p>
      <w:pPr>
        <w:spacing w:after="0" w:line="213"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20"/>
                <w:szCs w:val="20"/>
                <w:color w:val="auto"/>
              </w:rPr>
              <w:t>Aggregate amount of</w:t>
            </w:r>
          </w:p>
        </w:tc>
        <w:tc>
          <w:tcPr>
            <w:tcW w:w="760" w:type="dxa"/>
            <w:vAlign w:val="bottom"/>
          </w:tcPr>
          <w:p>
            <w:pPr>
              <w:spacing w:after="0"/>
              <w:rPr>
                <w:sz w:val="19"/>
                <w:szCs w:val="19"/>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rPr>
              <w:t>Domestic Commitments Held:</w:t>
            </w:r>
          </w:p>
        </w:tc>
        <w:tc>
          <w:tcPr>
            <w:tcW w:w="760" w:type="dxa"/>
            <w:vAlign w:val="bottom"/>
          </w:tcPr>
          <w:p>
            <w:pPr>
              <w:jc w:val="right"/>
              <w:ind w:right="21"/>
              <w:spacing w:after="0"/>
              <w:rPr>
                <w:sz w:val="20"/>
                <w:szCs w:val="20"/>
                <w:color w:val="auto"/>
              </w:rPr>
            </w:pPr>
            <w:r>
              <w:rPr>
                <w:rFonts w:ascii="Arial" w:cs="Arial" w:eastAsia="Arial" w:hAnsi="Arial"/>
                <w:sz w:val="20"/>
                <w:szCs w:val="20"/>
                <w:color w:val="auto"/>
              </w:rPr>
              <w:t>$[***]</w:t>
            </w:r>
          </w:p>
        </w:tc>
      </w:tr>
      <w:tr>
        <w:trPr>
          <w:trHeight w:val="438"/>
        </w:trPr>
        <w:tc>
          <w:tcPr>
            <w:tcW w:w="2760" w:type="dxa"/>
            <w:vAlign w:val="bottom"/>
          </w:tcPr>
          <w:p>
            <w:pPr>
              <w:spacing w:after="0"/>
              <w:rPr>
                <w:sz w:val="20"/>
                <w:szCs w:val="20"/>
                <w:color w:val="auto"/>
              </w:rPr>
            </w:pPr>
            <w:r>
              <w:rPr>
                <w:rFonts w:ascii="Arial" w:cs="Arial" w:eastAsia="Arial" w:hAnsi="Arial"/>
                <w:sz w:val="20"/>
                <w:szCs w:val="20"/>
                <w:color w:val="auto"/>
              </w:rPr>
              <w:t>Aggregate amount of</w:t>
            </w:r>
          </w:p>
        </w:tc>
        <w:tc>
          <w:tcPr>
            <w:tcW w:w="760" w:type="dxa"/>
            <w:vAlign w:val="bottom"/>
          </w:tcPr>
          <w:p>
            <w:pPr>
              <w:spacing w:after="0"/>
              <w:rPr>
                <w:sz w:val="24"/>
                <w:szCs w:val="24"/>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w w:val="97"/>
              </w:rPr>
              <w:t>L/C Issuing Commitments Held:</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38"/>
        </w:trPr>
        <w:tc>
          <w:tcPr>
            <w:tcW w:w="2760" w:type="dxa"/>
            <w:vAlign w:val="bottom"/>
          </w:tcPr>
          <w:p>
            <w:pPr>
              <w:spacing w:after="0"/>
              <w:rPr>
                <w:sz w:val="20"/>
                <w:szCs w:val="20"/>
                <w:color w:val="auto"/>
              </w:rPr>
            </w:pPr>
            <w:r>
              <w:rPr>
                <w:rFonts w:ascii="Arial" w:cs="Arial" w:eastAsia="Arial" w:hAnsi="Arial"/>
                <w:sz w:val="20"/>
                <w:szCs w:val="20"/>
                <w:color w:val="auto"/>
              </w:rPr>
              <w:t>Aggregate amount of</w:t>
            </w:r>
          </w:p>
        </w:tc>
        <w:tc>
          <w:tcPr>
            <w:tcW w:w="760" w:type="dxa"/>
            <w:vAlign w:val="bottom"/>
          </w:tcPr>
          <w:p>
            <w:pPr>
              <w:spacing w:after="0"/>
              <w:rPr>
                <w:sz w:val="24"/>
                <w:szCs w:val="24"/>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w w:val="94"/>
              </w:rPr>
              <w:t>L/C Tranche Commitments Held:</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9019"/>
          </w:cols>
          <w:pgMar w:left="1440" w:top="568" w:right="1440" w:bottom="1440" w:gutter="0" w:footer="0" w:header="0"/>
        </w:sectPr>
      </w:pPr>
    </w:p>
    <w:bookmarkStart w:id="11" w:name="page12"/>
    <w:bookmarkEnd w:id="11"/>
    <w:p>
      <w:pPr>
        <w:ind w:left="2120"/>
        <w:spacing w:after="0"/>
        <w:rPr>
          <w:sz w:val="20"/>
          <w:szCs w:val="20"/>
          <w:color w:val="auto"/>
        </w:rPr>
      </w:pPr>
      <w:r>
        <w:rPr>
          <w:rFonts w:ascii="Arial" w:cs="Arial" w:eastAsia="Arial" w:hAnsi="Arial"/>
          <w:sz w:val="18"/>
          <w:szCs w:val="18"/>
          <w:color w:val="auto"/>
        </w:rPr>
        <w:t>CITIBANK, N.A.,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76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Susan Olsen</w:t>
      </w:r>
    </w:p>
    <w:p>
      <w:pPr>
        <w:ind w:left="21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12" w:name="page13"/>
    <w:bookmarkEnd w:id="12"/>
    <w:p>
      <w:pPr>
        <w:ind w:left="2120"/>
        <w:spacing w:after="0"/>
        <w:rPr>
          <w:sz w:val="20"/>
          <w:szCs w:val="20"/>
          <w:color w:val="auto"/>
        </w:rPr>
      </w:pPr>
      <w:r>
        <w:rPr>
          <w:rFonts w:ascii="Arial" w:cs="Arial" w:eastAsia="Arial" w:hAnsi="Arial"/>
          <w:sz w:val="20"/>
          <w:szCs w:val="20"/>
          <w:color w:val="auto"/>
        </w:rPr>
        <w:t>Banco Bilbao Vizcaya Argentaria, S.A.</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New York Branch, as Extending and Consenting Lender</w:t>
      </w:r>
    </w:p>
    <w:p>
      <w:pPr>
        <w:spacing w:after="0" w:line="25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95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Brian Crowley</w:t>
      </w:r>
    </w:p>
    <w:p>
      <w:pPr>
        <w:ind w:left="212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82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209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Miriam Trautmann</w:t>
      </w:r>
    </w:p>
    <w:p>
      <w:pPr>
        <w:ind w:left="212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13" w:name="page14"/>
    <w:bookmarkEnd w:id="13"/>
    <w:p>
      <w:pPr>
        <w:ind w:left="2120"/>
        <w:spacing w:after="0"/>
        <w:rPr>
          <w:sz w:val="20"/>
          <w:szCs w:val="20"/>
          <w:color w:val="auto"/>
        </w:rPr>
      </w:pPr>
      <w:r>
        <w:rPr>
          <w:rFonts w:ascii="Arial" w:cs="Arial" w:eastAsia="Arial" w:hAnsi="Arial"/>
          <w:sz w:val="18"/>
          <w:szCs w:val="18"/>
          <w:color w:val="auto"/>
        </w:rPr>
        <w:t>Bank of America, N.A.,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166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Brian Lukehart</w:t>
      </w:r>
    </w:p>
    <w:p>
      <w:pPr>
        <w:ind w:left="212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14" w:name="page15"/>
    <w:bookmarkEnd w:id="14"/>
    <w:p>
      <w:pPr>
        <w:ind w:left="2120"/>
        <w:spacing w:after="0"/>
        <w:rPr>
          <w:sz w:val="20"/>
          <w:szCs w:val="20"/>
          <w:color w:val="auto"/>
        </w:rPr>
      </w:pPr>
      <w:r>
        <w:rPr>
          <w:rFonts w:ascii="Arial" w:cs="Arial" w:eastAsia="Arial" w:hAnsi="Arial"/>
          <w:sz w:val="18"/>
          <w:szCs w:val="18"/>
          <w:color w:val="auto"/>
        </w:rPr>
        <w:t>BARCLAYS BANK PLC,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25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Craig Malloy</w:t>
      </w:r>
    </w:p>
    <w:p>
      <w:pPr>
        <w:ind w:left="21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15" w:name="page16"/>
    <w:bookmarkEnd w:id="15"/>
    <w:p>
      <w:pPr>
        <w:ind w:left="2120"/>
        <w:spacing w:after="0"/>
        <w:rPr>
          <w:sz w:val="20"/>
          <w:szCs w:val="20"/>
          <w:color w:val="auto"/>
        </w:rPr>
      </w:pPr>
      <w:r>
        <w:rPr>
          <w:rFonts w:ascii="Arial" w:cs="Arial" w:eastAsia="Arial" w:hAnsi="Arial"/>
          <w:sz w:val="16"/>
          <w:szCs w:val="16"/>
          <w:color w:val="auto"/>
        </w:rPr>
        <w:t>BNP Paribas, as Extending and Consenting Lender</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Kirk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65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Kirk Hoffman</w:t>
      </w:r>
    </w:p>
    <w:p>
      <w:pPr>
        <w:ind w:left="21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Monica Tilani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63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Monica Tilani</w:t>
      </w:r>
    </w:p>
    <w:p>
      <w:pPr>
        <w:ind w:left="21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16" w:name="page17"/>
    <w:bookmarkEnd w:id="16"/>
    <w:p>
      <w:pPr>
        <w:ind w:left="2120"/>
        <w:spacing w:after="0"/>
        <w:rPr>
          <w:sz w:val="20"/>
          <w:szCs w:val="20"/>
          <w:color w:val="auto"/>
        </w:rPr>
      </w:pPr>
      <w:r>
        <w:rPr>
          <w:rFonts w:ascii="Arial" w:cs="Arial" w:eastAsia="Arial" w:hAnsi="Arial"/>
          <w:sz w:val="18"/>
          <w:szCs w:val="18"/>
          <w:color w:val="auto"/>
        </w:rPr>
        <w:t>Commerzbank AG, New York,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Mathew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64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Mathew Ward</w:t>
      </w:r>
    </w:p>
    <w:p>
      <w:pPr>
        <w:ind w:left="212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44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Robert Sullivan</w:t>
      </w:r>
    </w:p>
    <w:p>
      <w:pPr>
        <w:ind w:left="21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17" w:name="page18"/>
    <w:bookmarkEnd w:id="17"/>
    <w:p>
      <w:pPr>
        <w:ind w:left="2120"/>
        <w:spacing w:after="0"/>
        <w:rPr>
          <w:sz w:val="20"/>
          <w:szCs w:val="20"/>
          <w:color w:val="auto"/>
        </w:rPr>
      </w:pPr>
      <w:r>
        <w:rPr>
          <w:rFonts w:ascii="Arial" w:cs="Arial" w:eastAsia="Arial" w:hAnsi="Arial"/>
          <w:sz w:val="18"/>
          <w:szCs w:val="18"/>
          <w:color w:val="auto"/>
        </w:rPr>
        <w:t>Credit Agricole Corporate &amp; Investment Bank,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Thibault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49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Thibault Berger</w:t>
      </w:r>
    </w:p>
    <w:p>
      <w:pPr>
        <w:ind w:left="212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Frederic Bambuck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584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Frederic Bambuck</w:t>
      </w:r>
    </w:p>
    <w:p>
      <w:pPr>
        <w:ind w:left="21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18" w:name="page19"/>
    <w:bookmarkEnd w:id="18"/>
    <w:p>
      <w:pPr>
        <w:ind w:left="2120"/>
        <w:spacing w:after="0"/>
        <w:rPr>
          <w:sz w:val="20"/>
          <w:szCs w:val="20"/>
          <w:color w:val="auto"/>
        </w:rPr>
      </w:pPr>
      <w:r>
        <w:rPr>
          <w:rFonts w:ascii="Arial" w:cs="Arial" w:eastAsia="Arial" w:hAnsi="Arial"/>
          <w:sz w:val="18"/>
          <w:szCs w:val="18"/>
          <w:color w:val="auto"/>
        </w:rPr>
        <w:t>DEUTSCHE BANK AG NEW YORK BRANCH,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19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Ming K. Chu</w:t>
      </w:r>
    </w:p>
    <w:p>
      <w:pPr>
        <w:ind w:left="212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258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Annie Chung</w:t>
      </w:r>
    </w:p>
    <w:p>
      <w:pPr>
        <w:ind w:left="21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120"/>
          </w:cols>
          <w:pgMar w:left="1440" w:top="798" w:right="133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120"/>
          </w:cols>
          <w:pgMar w:left="1440" w:top="798" w:right="133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4000"/>
          </w:cols>
          <w:pgMar w:left="1440" w:top="798" w:right="133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4080"/>
          </w:cols>
          <w:pgMar w:left="1440" w:top="798" w:right="133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160"/>
          </w:cols>
          <w:pgMar w:left="1440" w:top="798" w:right="133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120"/>
          </w:cols>
          <w:pgMar w:left="1440" w:top="798" w:right="1339" w:bottom="1440" w:gutter="0" w:footer="0" w:header="0"/>
          <w:type w:val="continuous"/>
        </w:sectPr>
      </w:pPr>
    </w:p>
    <w:bookmarkStart w:id="19" w:name="page20"/>
    <w:bookmarkEnd w:id="19"/>
    <w:p>
      <w:pPr>
        <w:ind w:left="2120"/>
        <w:spacing w:after="0"/>
        <w:rPr>
          <w:sz w:val="20"/>
          <w:szCs w:val="20"/>
          <w:color w:val="auto"/>
        </w:rPr>
      </w:pPr>
      <w:r>
        <w:rPr>
          <w:rFonts w:ascii="Arial" w:cs="Arial" w:eastAsia="Arial" w:hAnsi="Arial"/>
          <w:sz w:val="18"/>
          <w:szCs w:val="18"/>
          <w:color w:val="auto"/>
        </w:rPr>
        <w:t>GOLDMAN SACHS BANK USA,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004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Ryan Durkin</w:t>
      </w:r>
    </w:p>
    <w:p>
      <w:pPr>
        <w:ind w:left="21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20" w:name="page21"/>
    <w:bookmarkEnd w:id="20"/>
    <w:p>
      <w:pPr>
        <w:ind w:left="2120"/>
        <w:spacing w:after="0" w:line="260" w:lineRule="auto"/>
        <w:rPr>
          <w:sz w:val="20"/>
          <w:szCs w:val="20"/>
          <w:color w:val="auto"/>
        </w:rPr>
      </w:pPr>
      <w:r>
        <w:rPr>
          <w:rFonts w:ascii="Arial" w:cs="Arial" w:eastAsia="Arial" w:hAnsi="Arial"/>
          <w:sz w:val="20"/>
          <w:szCs w:val="20"/>
          <w:color w:val="auto"/>
        </w:rPr>
        <w:t>Industrial and Commercial Bank of China Limited, New York Branch, as Extending and Consenting Lender</w:t>
      </w:r>
    </w:p>
    <w:p>
      <w:pPr>
        <w:spacing w:after="0" w:line="190"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Kan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158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Kan Chen</w:t>
      </w:r>
    </w:p>
    <w:p>
      <w:pPr>
        <w:ind w:left="212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Gang Duan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280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Gang Duan</w:t>
      </w:r>
    </w:p>
    <w:p>
      <w:pPr>
        <w:ind w:left="212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10080"/>
          </w:cols>
          <w:pgMar w:left="1440" w:top="798" w:right="37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5080"/>
          </w:cols>
          <w:pgMar w:left="1440" w:top="798" w:right="37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4960"/>
          </w:cols>
          <w:pgMar w:left="1440" w:top="798" w:right="37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5040"/>
          </w:cols>
          <w:pgMar w:left="1440" w:top="798" w:right="37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5120"/>
          </w:cols>
          <w:pgMar w:left="1440" w:top="798" w:right="37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10080"/>
          </w:cols>
          <w:pgMar w:left="1440" w:top="798" w:right="379" w:bottom="1440" w:gutter="0" w:footer="0" w:header="0"/>
          <w:type w:val="continuous"/>
        </w:sectPr>
      </w:pPr>
    </w:p>
    <w:bookmarkStart w:id="21" w:name="page22"/>
    <w:bookmarkEnd w:id="21"/>
    <w:p>
      <w:pPr>
        <w:ind w:left="2120"/>
        <w:spacing w:after="0"/>
        <w:rPr>
          <w:sz w:val="20"/>
          <w:szCs w:val="20"/>
          <w:color w:val="auto"/>
        </w:rPr>
      </w:pPr>
      <w:r>
        <w:rPr>
          <w:rFonts w:ascii="Arial" w:cs="Arial" w:eastAsia="Arial" w:hAnsi="Arial"/>
          <w:sz w:val="16"/>
          <w:szCs w:val="16"/>
          <w:color w:val="auto"/>
        </w:rPr>
        <w:t>Intesa Sanpaolo, S.p.A., New York Branch, as Lender, as Extending and Consenting Lender</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14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Alessandro Toigo</w:t>
      </w:r>
    </w:p>
    <w:p>
      <w:pPr>
        <w:ind w:left="2120"/>
        <w:spacing w:after="0"/>
        <w:rPr>
          <w:sz w:val="20"/>
          <w:szCs w:val="20"/>
          <w:color w:val="auto"/>
        </w:rPr>
      </w:pPr>
      <w:r>
        <w:rPr>
          <w:rFonts w:ascii="Arial" w:cs="Arial" w:eastAsia="Arial" w:hAnsi="Arial"/>
          <w:sz w:val="20"/>
          <w:szCs w:val="20"/>
          <w:color w:val="auto"/>
        </w:rPr>
        <w:t>Title: Head of Corporate Desk</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Anne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97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Anne Culver</w:t>
      </w:r>
    </w:p>
    <w:p>
      <w:pPr>
        <w:ind w:left="2120"/>
        <w:spacing w:after="0"/>
        <w:rPr>
          <w:sz w:val="20"/>
          <w:szCs w:val="20"/>
          <w:color w:val="auto"/>
        </w:rPr>
      </w:pPr>
      <w:r>
        <w:rPr>
          <w:rFonts w:ascii="Arial" w:cs="Arial" w:eastAsia="Arial" w:hAnsi="Arial"/>
          <w:sz w:val="20"/>
          <w:szCs w:val="20"/>
          <w:color w:val="auto"/>
        </w:rPr>
        <w:t>Title: Relationship Manager</w:t>
      </w:r>
    </w:p>
    <w:p>
      <w:pPr>
        <w:sectPr>
          <w:pgSz w:w="11900" w:h="16838" w:orient="portrait"/>
          <w:cols w:equalWidth="0" w:num="1">
            <w:col w:w="9400"/>
          </w:cols>
          <w:pgMar w:left="1440" w:top="798" w:right="105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400"/>
          </w:cols>
          <w:pgMar w:left="1440" w:top="798" w:right="105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4280"/>
          </w:cols>
          <w:pgMar w:left="1440" w:top="798" w:right="105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4360"/>
          </w:cols>
          <w:pgMar w:left="1440" w:top="798" w:right="105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440"/>
          </w:cols>
          <w:pgMar w:left="1440" w:top="798" w:right="105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400"/>
          </w:cols>
          <w:pgMar w:left="1440" w:top="798" w:right="1059" w:bottom="1440" w:gutter="0" w:footer="0" w:header="0"/>
          <w:type w:val="continuous"/>
        </w:sectPr>
      </w:pPr>
    </w:p>
    <w:bookmarkStart w:id="22" w:name="page23"/>
    <w:bookmarkEnd w:id="22"/>
    <w:p>
      <w:pPr>
        <w:ind w:left="2120"/>
        <w:spacing w:after="0"/>
        <w:rPr>
          <w:sz w:val="20"/>
          <w:szCs w:val="20"/>
          <w:color w:val="auto"/>
        </w:rPr>
      </w:pPr>
      <w:r>
        <w:rPr>
          <w:rFonts w:ascii="Arial" w:cs="Arial" w:eastAsia="Arial" w:hAnsi="Arial"/>
          <w:sz w:val="18"/>
          <w:szCs w:val="18"/>
          <w:color w:val="auto"/>
        </w:rPr>
        <w:t>Lloyds Bank Corporate Markets plc,</w:t>
      </w:r>
    </w:p>
    <w:p>
      <w:pPr>
        <w:spacing w:after="0" w:line="3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as Extending and Consenting Lender</w:t>
      </w:r>
    </w:p>
    <w:p>
      <w:pPr>
        <w:spacing w:after="0" w:line="25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446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Kamala Basdeo</w:t>
      </w:r>
    </w:p>
    <w:p>
      <w:pPr>
        <w:ind w:left="2120"/>
        <w:spacing w:after="0"/>
        <w:rPr>
          <w:sz w:val="20"/>
          <w:szCs w:val="20"/>
          <w:color w:val="auto"/>
        </w:rPr>
      </w:pPr>
      <w:r>
        <w:rPr>
          <w:rFonts w:ascii="Arial" w:cs="Arial" w:eastAsia="Arial" w:hAnsi="Arial"/>
          <w:sz w:val="20"/>
          <w:szCs w:val="20"/>
          <w:color w:val="auto"/>
        </w:rPr>
        <w:t>Title: Assistant Vice President</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0814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Tina Wong</w:t>
      </w:r>
    </w:p>
    <w:p>
      <w:pPr>
        <w:ind w:left="212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23" w:name="page24"/>
    <w:bookmarkEnd w:id="23"/>
    <w:p>
      <w:pPr>
        <w:ind w:left="2120"/>
        <w:spacing w:after="0"/>
        <w:rPr>
          <w:sz w:val="20"/>
          <w:szCs w:val="20"/>
          <w:color w:val="auto"/>
        </w:rPr>
      </w:pPr>
      <w:r>
        <w:rPr>
          <w:rFonts w:ascii="Arial" w:cs="Arial" w:eastAsia="Arial" w:hAnsi="Arial"/>
          <w:sz w:val="18"/>
          <w:szCs w:val="18"/>
          <w:color w:val="auto"/>
        </w:rPr>
        <w:t>MIZUHO BANK, LTD.,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640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020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Donna DeMagistris</w:t>
      </w:r>
    </w:p>
    <w:p>
      <w:pPr>
        <w:ind w:left="212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24" w:name="page25"/>
    <w:bookmarkEnd w:id="24"/>
    <w:p>
      <w:pPr>
        <w:ind w:left="2120"/>
        <w:spacing w:after="0"/>
        <w:rPr>
          <w:sz w:val="20"/>
          <w:szCs w:val="20"/>
          <w:color w:val="auto"/>
        </w:rPr>
      </w:pPr>
      <w:r>
        <w:rPr>
          <w:rFonts w:ascii="Arial" w:cs="Arial" w:eastAsia="Arial" w:hAnsi="Arial"/>
          <w:sz w:val="16"/>
          <w:szCs w:val="16"/>
          <w:color w:val="auto"/>
        </w:rPr>
        <w:t>National Westminster Bank plc, as Extending and Consenting Lender</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8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Jonathan Eady</w:t>
      </w:r>
    </w:p>
    <w:p>
      <w:pPr>
        <w:ind w:left="21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25" w:name="page26"/>
    <w:bookmarkEnd w:id="25"/>
    <w:p>
      <w:pPr>
        <w:ind w:left="2120"/>
        <w:spacing w:after="0"/>
        <w:rPr>
          <w:sz w:val="20"/>
          <w:szCs w:val="20"/>
          <w:color w:val="auto"/>
        </w:rPr>
      </w:pPr>
      <w:r>
        <w:rPr>
          <w:rFonts w:ascii="Arial" w:cs="Arial" w:eastAsia="Arial" w:hAnsi="Arial"/>
          <w:sz w:val="18"/>
          <w:szCs w:val="18"/>
          <w:color w:val="auto"/>
        </w:rPr>
        <w:t>ROYAL BANK OF CANADA, as Extending and Consenting Lender</w:t>
      </w:r>
    </w:p>
    <w:p>
      <w:pPr>
        <w:spacing w:after="0" w:line="200" w:lineRule="exact"/>
        <w:rPr>
          <w:sz w:val="20"/>
          <w:szCs w:val="20"/>
          <w:color w:val="auto"/>
        </w:rPr>
      </w:pPr>
    </w:p>
    <w:p>
      <w:pPr>
        <w:spacing w:after="0" w:line="28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306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Benjamin Lennon</w:t>
      </w:r>
    </w:p>
    <w:p>
      <w:pPr>
        <w:ind w:left="212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9019"/>
          </w:cols>
          <w:pgMar w:left="1440" w:top="798" w:right="1440" w:bottom="1440" w:gutter="0" w:footer="0" w:header="0"/>
        </w:sectPr>
      </w:pPr>
    </w:p>
    <w:bookmarkStart w:id="26" w:name="page27"/>
    <w:bookmarkEnd w:id="26"/>
    <w:p>
      <w:pPr>
        <w:ind w:left="2120"/>
        <w:spacing w:after="0"/>
        <w:rPr>
          <w:sz w:val="20"/>
          <w:szCs w:val="20"/>
          <w:color w:val="auto"/>
        </w:rPr>
      </w:pPr>
      <w:r>
        <w:rPr>
          <w:rFonts w:ascii="Arial" w:cs="Arial" w:eastAsia="Arial" w:hAnsi="Arial"/>
          <w:sz w:val="16"/>
          <w:szCs w:val="16"/>
          <w:color w:val="auto"/>
        </w:rPr>
        <w:t>Société Générale, as Extending and Consenting Lender</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566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John Hogan</w:t>
      </w:r>
    </w:p>
    <w:p>
      <w:pPr>
        <w:ind w:left="21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27" w:name="page28"/>
    <w:bookmarkEnd w:id="27"/>
    <w:p>
      <w:pPr>
        <w:ind w:left="2120"/>
        <w:spacing w:after="0"/>
        <w:rPr>
          <w:sz w:val="20"/>
          <w:szCs w:val="20"/>
          <w:color w:val="auto"/>
        </w:rPr>
      </w:pPr>
      <w:r>
        <w:rPr>
          <w:rFonts w:ascii="Arial" w:cs="Arial" w:eastAsia="Arial" w:hAnsi="Arial"/>
          <w:sz w:val="18"/>
          <w:szCs w:val="18"/>
          <w:color w:val="auto"/>
        </w:rPr>
        <w:t>Sumitomo Mitsui Banking Corporation,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5214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Michael Maguire</w:t>
      </w:r>
    </w:p>
    <w:p>
      <w:pPr>
        <w:ind w:left="212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9019"/>
          </w:cols>
          <w:pgMar w:left="1440" w:top="798" w:right="1440" w:bottom="1440" w:gutter="0" w:footer="0" w:header="0"/>
        </w:sectPr>
      </w:pPr>
    </w:p>
    <w:bookmarkStart w:id="28" w:name="page29"/>
    <w:bookmarkEnd w:id="28"/>
    <w:p>
      <w:pPr>
        <w:ind w:left="2120"/>
        <w:spacing w:after="0"/>
        <w:rPr>
          <w:sz w:val="20"/>
          <w:szCs w:val="20"/>
          <w:color w:val="auto"/>
        </w:rPr>
      </w:pPr>
      <w:r>
        <w:rPr>
          <w:rFonts w:ascii="Arial" w:cs="Arial" w:eastAsia="Arial" w:hAnsi="Arial"/>
          <w:sz w:val="16"/>
          <w:szCs w:val="16"/>
          <w:color w:val="auto"/>
        </w:rPr>
        <w:t>The Bank of Nova Scotia, as Extending and Consenting Lender</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53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53820" cy="889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David Brooks</w:t>
      </w:r>
    </w:p>
    <w:p>
      <w:pPr>
        <w:ind w:left="212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9019"/>
          </w:cols>
          <w:pgMar w:left="1440" w:top="798" w:right="1440" w:bottom="1440" w:gutter="0" w:footer="0" w:header="0"/>
        </w:sectPr>
      </w:pPr>
    </w:p>
    <w:bookmarkStart w:id="29" w:name="page30"/>
    <w:bookmarkEnd w:id="29"/>
    <w:p>
      <w:pPr>
        <w:ind w:left="2120"/>
        <w:spacing w:after="0" w:line="260" w:lineRule="auto"/>
        <w:rPr>
          <w:sz w:val="20"/>
          <w:szCs w:val="20"/>
          <w:color w:val="auto"/>
        </w:rPr>
      </w:pPr>
      <w:r>
        <w:rPr>
          <w:rFonts w:ascii="Arial" w:cs="Arial" w:eastAsia="Arial" w:hAnsi="Arial"/>
          <w:sz w:val="20"/>
          <w:szCs w:val="20"/>
          <w:color w:val="auto"/>
        </w:rPr>
        <w:t>THE TORONTO-DOMINION BANK, NEW YORK BRANCH as Extending and Consenting Lender</w:t>
      </w:r>
    </w:p>
    <w:p>
      <w:pPr>
        <w:spacing w:after="0" w:line="190"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5563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5638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MICHAEL BOROWIECKI</w:t>
      </w:r>
    </w:p>
    <w:p>
      <w:pPr>
        <w:ind w:left="212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9600"/>
          </w:cols>
          <w:pgMar w:left="1440" w:top="798" w:right="859" w:bottom="1440" w:gutter="0" w:footer="0" w:header="0"/>
        </w:sectPr>
      </w:pPr>
    </w:p>
    <w:bookmarkStart w:id="30" w:name="page31"/>
    <w:bookmarkEnd w:id="30"/>
    <w:p>
      <w:pPr>
        <w:ind w:left="2120"/>
        <w:spacing w:after="0"/>
        <w:rPr>
          <w:sz w:val="20"/>
          <w:szCs w:val="20"/>
          <w:color w:val="auto"/>
        </w:rPr>
      </w:pPr>
      <w:r>
        <w:rPr>
          <w:rFonts w:ascii="Arial" w:cs="Arial" w:eastAsia="Arial" w:hAnsi="Arial"/>
          <w:sz w:val="16"/>
          <w:szCs w:val="16"/>
          <w:color w:val="auto"/>
        </w:rPr>
        <w:t>Morgan Stanley Bank, N.A., as Extending and Consenting Lender and as an Incremental Lender</w:t>
      </w:r>
    </w:p>
    <w:p>
      <w:pPr>
        <w:spacing w:after="0" w:line="200" w:lineRule="exact"/>
        <w:rPr>
          <w:sz w:val="20"/>
          <w:szCs w:val="20"/>
          <w:color w:val="auto"/>
        </w:rPr>
      </w:pPr>
    </w:p>
    <w:p>
      <w:pPr>
        <w:spacing w:after="0" w:line="30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Alysha Salinger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32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Alysha Salinger</w:t>
      </w:r>
    </w:p>
    <w:p>
      <w:pPr>
        <w:ind w:left="212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20"/>
                <w:szCs w:val="20"/>
                <w:color w:val="auto"/>
              </w:rPr>
              <w:t>Aggregate amount of</w:t>
            </w:r>
          </w:p>
        </w:tc>
        <w:tc>
          <w:tcPr>
            <w:tcW w:w="760" w:type="dxa"/>
            <w:vAlign w:val="bottom"/>
          </w:tcPr>
          <w:p>
            <w:pPr>
              <w:spacing w:after="0"/>
              <w:rPr>
                <w:sz w:val="19"/>
                <w:szCs w:val="19"/>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rPr>
              <w:t>Domestic Commitments Held:</w:t>
            </w:r>
          </w:p>
        </w:tc>
        <w:tc>
          <w:tcPr>
            <w:tcW w:w="760" w:type="dxa"/>
            <w:vAlign w:val="bottom"/>
          </w:tcPr>
          <w:p>
            <w:pPr>
              <w:jc w:val="right"/>
              <w:ind w:right="21"/>
              <w:spacing w:after="0"/>
              <w:rPr>
                <w:sz w:val="20"/>
                <w:szCs w:val="20"/>
                <w:color w:val="auto"/>
              </w:rPr>
            </w:pPr>
            <w:r>
              <w:rPr>
                <w:rFonts w:ascii="Arial" w:cs="Arial" w:eastAsia="Arial" w:hAnsi="Arial"/>
                <w:sz w:val="20"/>
                <w:szCs w:val="20"/>
                <w:color w:val="auto"/>
              </w:rPr>
              <w:t>$[***]</w:t>
            </w:r>
          </w:p>
        </w:tc>
      </w:tr>
      <w:tr>
        <w:trPr>
          <w:trHeight w:val="438"/>
        </w:trPr>
        <w:tc>
          <w:tcPr>
            <w:tcW w:w="2760" w:type="dxa"/>
            <w:vAlign w:val="bottom"/>
          </w:tcPr>
          <w:p>
            <w:pPr>
              <w:spacing w:after="0"/>
              <w:rPr>
                <w:sz w:val="20"/>
                <w:szCs w:val="20"/>
                <w:color w:val="auto"/>
              </w:rPr>
            </w:pPr>
            <w:r>
              <w:rPr>
                <w:rFonts w:ascii="Arial" w:cs="Arial" w:eastAsia="Arial" w:hAnsi="Arial"/>
                <w:sz w:val="20"/>
                <w:szCs w:val="20"/>
                <w:color w:val="auto"/>
              </w:rPr>
              <w:t>Aggregate amount of</w:t>
            </w:r>
          </w:p>
        </w:tc>
        <w:tc>
          <w:tcPr>
            <w:tcW w:w="760" w:type="dxa"/>
            <w:vAlign w:val="bottom"/>
          </w:tcPr>
          <w:p>
            <w:pPr>
              <w:spacing w:after="0"/>
              <w:rPr>
                <w:sz w:val="24"/>
                <w:szCs w:val="24"/>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w w:val="97"/>
              </w:rPr>
              <w:t>L/C Issuing Commitments Held:</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38"/>
        </w:trPr>
        <w:tc>
          <w:tcPr>
            <w:tcW w:w="2760" w:type="dxa"/>
            <w:vAlign w:val="bottom"/>
          </w:tcPr>
          <w:p>
            <w:pPr>
              <w:spacing w:after="0"/>
              <w:rPr>
                <w:sz w:val="20"/>
                <w:szCs w:val="20"/>
                <w:color w:val="auto"/>
              </w:rPr>
            </w:pPr>
            <w:r>
              <w:rPr>
                <w:rFonts w:ascii="Arial" w:cs="Arial" w:eastAsia="Arial" w:hAnsi="Arial"/>
                <w:sz w:val="20"/>
                <w:szCs w:val="20"/>
                <w:color w:val="auto"/>
              </w:rPr>
              <w:t>Aggregate amount of</w:t>
            </w:r>
          </w:p>
        </w:tc>
        <w:tc>
          <w:tcPr>
            <w:tcW w:w="760" w:type="dxa"/>
            <w:vAlign w:val="bottom"/>
          </w:tcPr>
          <w:p>
            <w:pPr>
              <w:spacing w:after="0"/>
              <w:rPr>
                <w:sz w:val="24"/>
                <w:szCs w:val="24"/>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w w:val="94"/>
              </w:rPr>
              <w:t>L/C Tranche Commitments Held:</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ectPr>
          <w:pgSz w:w="11900" w:h="16838" w:orient="portrait"/>
          <w:cols w:equalWidth="0" w:num="1">
            <w:col w:w="9760"/>
          </w:cols>
          <w:pgMar w:left="1440" w:top="798" w:right="69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800"/>
          </w:cols>
          <w:pgMar w:left="1440" w:top="798" w:right="6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ectPr>
          <w:pgSz w:w="11900" w:h="16838" w:orient="portrait"/>
          <w:cols w:equalWidth="0" w:num="1">
            <w:col w:w="9760"/>
          </w:cols>
          <w:pgMar w:left="1440" w:top="798" w:right="699" w:bottom="1440" w:gutter="0" w:footer="0" w:header="0"/>
          <w:type w:val="continuous"/>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Aggregate amount of</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Commitment 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3940" w:space="640"/>
            <w:col w:w="5180"/>
          </w:cols>
          <w:pgMar w:left="1440" w:top="798" w:right="6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Total Extended Multicurrency</w:t>
      </w:r>
    </w:p>
    <w:p>
      <w:pPr>
        <w:spacing w:after="0" w:line="16" w:lineRule="exact"/>
        <w:rPr>
          <w:sz w:val="20"/>
          <w:szCs w:val="20"/>
          <w:color w:val="auto"/>
        </w:rPr>
      </w:pPr>
    </w:p>
    <w:p>
      <w:pPr>
        <w:ind w:left="2120"/>
        <w:spacing w:after="0"/>
        <w:tabs>
          <w:tab w:leader="none" w:pos="4040" w:val="left"/>
        </w:tabs>
        <w:rPr>
          <w:sz w:val="20"/>
          <w:szCs w:val="20"/>
          <w:color w:val="auto"/>
        </w:rPr>
      </w:pPr>
      <w:r>
        <w:rPr>
          <w:rFonts w:ascii="Arial" w:cs="Arial" w:eastAsia="Arial" w:hAnsi="Arial"/>
          <w:sz w:val="20"/>
          <w:szCs w:val="20"/>
          <w:color w:val="auto"/>
        </w:rPr>
        <w:t>Commitment:</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760"/>
          </w:cols>
          <w:pgMar w:left="1440" w:top="798" w:right="699" w:bottom="1440" w:gutter="0" w:footer="0" w:header="0"/>
          <w:type w:val="continuous"/>
        </w:sectPr>
      </w:pPr>
    </w:p>
    <w:bookmarkStart w:id="31" w:name="page32"/>
    <w:bookmarkEnd w:id="31"/>
    <w:p>
      <w:pPr>
        <w:ind w:left="2120"/>
        <w:spacing w:after="0"/>
        <w:rPr>
          <w:sz w:val="20"/>
          <w:szCs w:val="20"/>
          <w:color w:val="auto"/>
        </w:rPr>
      </w:pPr>
      <w:r>
        <w:rPr>
          <w:rFonts w:ascii="Arial" w:cs="Arial" w:eastAsia="Arial" w:hAnsi="Arial"/>
          <w:sz w:val="16"/>
          <w:szCs w:val="16"/>
          <w:color w:val="auto"/>
        </w:rPr>
        <w:t>Canadian Imperial Bank of Commerce, as Extending and Consenting Lender</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306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Dominic Sorresso</w:t>
      </w:r>
    </w:p>
    <w:p>
      <w:pPr>
        <w:ind w:left="21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32" w:name="page33"/>
    <w:bookmarkEnd w:id="32"/>
    <w:p>
      <w:pPr>
        <w:ind w:left="2120"/>
        <w:spacing w:after="0"/>
        <w:rPr>
          <w:sz w:val="20"/>
          <w:szCs w:val="20"/>
          <w:color w:val="auto"/>
        </w:rPr>
      </w:pPr>
      <w:r>
        <w:rPr>
          <w:rFonts w:ascii="Arial" w:cs="Arial" w:eastAsia="Arial" w:hAnsi="Arial"/>
          <w:sz w:val="18"/>
          <w:szCs w:val="18"/>
          <w:color w:val="auto"/>
        </w:rPr>
        <w:t>UNICREDIT BANK AG, NEW YORK BRANCH,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Betsy Briggs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055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Betsy Briggs</w:t>
      </w:r>
    </w:p>
    <w:p>
      <w:pPr>
        <w:ind w:left="2120"/>
        <w:spacing w:after="0"/>
        <w:rPr>
          <w:sz w:val="20"/>
          <w:szCs w:val="20"/>
          <w:color w:val="auto"/>
        </w:rPr>
      </w:pPr>
      <w:r>
        <w:rPr>
          <w:rFonts w:ascii="Arial" w:cs="Arial" w:eastAsia="Arial" w:hAnsi="Arial"/>
          <w:sz w:val="20"/>
          <w:szCs w:val="20"/>
          <w:color w:val="auto"/>
        </w:rPr>
        <w:t>Title: Associate Director</w:t>
      </w:r>
    </w:p>
    <w:p>
      <w:pPr>
        <w:spacing w:after="0" w:line="200" w:lineRule="exact"/>
        <w:rPr>
          <w:sz w:val="20"/>
          <w:szCs w:val="20"/>
          <w:color w:val="auto"/>
        </w:rPr>
      </w:pP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166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Peter Daugavietis</w:t>
      </w:r>
    </w:p>
    <w:p>
      <w:pPr>
        <w:ind w:left="2120"/>
        <w:spacing w:after="0"/>
        <w:rPr>
          <w:sz w:val="20"/>
          <w:szCs w:val="20"/>
          <w:color w:val="auto"/>
        </w:rPr>
      </w:pPr>
      <w:r>
        <w:rPr>
          <w:rFonts w:ascii="Arial" w:cs="Arial" w:eastAsia="Arial" w:hAnsi="Arial"/>
          <w:sz w:val="20"/>
          <w:szCs w:val="20"/>
          <w:color w:val="auto"/>
        </w:rPr>
        <w:t>Title: Associate Director</w:t>
      </w:r>
    </w:p>
    <w:p>
      <w:pPr>
        <w:sectPr>
          <w:pgSz w:w="11900" w:h="16838" w:orient="portrait"/>
          <w:cols w:equalWidth="0" w:num="1">
            <w:col w:w="9200"/>
          </w:cols>
          <w:pgMar w:left="1440" w:top="568" w:right="125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200"/>
          </w:cols>
          <w:pgMar w:left="1440" w:top="568" w:right="125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4080"/>
          </w:cols>
          <w:pgMar w:left="1440" w:top="568" w:right="125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4160"/>
          </w:cols>
          <w:pgMar w:left="1440" w:top="568" w:right="125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240"/>
          </w:cols>
          <w:pgMar w:left="1440" w:top="568" w:right="125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200"/>
          </w:cols>
          <w:pgMar w:left="1440" w:top="568" w:right="1259" w:bottom="1440" w:gutter="0" w:footer="0" w:header="0"/>
          <w:type w:val="continuous"/>
        </w:sectPr>
      </w:pPr>
    </w:p>
    <w:bookmarkStart w:id="33" w:name="page34"/>
    <w:bookmarkEnd w:id="33"/>
    <w:p>
      <w:pPr>
        <w:ind w:left="2120"/>
        <w:spacing w:after="0"/>
        <w:rPr>
          <w:sz w:val="20"/>
          <w:szCs w:val="20"/>
          <w:color w:val="auto"/>
        </w:rPr>
      </w:pPr>
      <w:r>
        <w:rPr>
          <w:rFonts w:ascii="Arial" w:cs="Arial" w:eastAsia="Arial" w:hAnsi="Arial"/>
          <w:sz w:val="18"/>
          <w:szCs w:val="18"/>
          <w:b w:val="1"/>
          <w:bCs w:val="1"/>
          <w:color w:val="auto"/>
        </w:rPr>
        <w:t>Bank of China, New York Branch</w:t>
      </w:r>
      <w:r>
        <w:rPr>
          <w:rFonts w:ascii="Arial" w:cs="Arial" w:eastAsia="Arial" w:hAnsi="Arial"/>
          <w:sz w:val="18"/>
          <w:szCs w:val="18"/>
          <w:color w:val="auto"/>
        </w:rPr>
        <w:t>, as Extending and Consenting Lender</w:t>
      </w:r>
    </w:p>
    <w:p>
      <w:pPr>
        <w:spacing w:after="0" w:line="25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90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Raymond Qiao</w:t>
      </w:r>
    </w:p>
    <w:p>
      <w:pPr>
        <w:ind w:left="2120"/>
        <w:spacing w:after="0"/>
        <w:rPr>
          <w:sz w:val="20"/>
          <w:szCs w:val="20"/>
          <w:color w:val="auto"/>
        </w:rPr>
      </w:pPr>
      <w:r>
        <w:rPr>
          <w:rFonts w:ascii="Arial" w:cs="Arial" w:eastAsia="Arial" w:hAnsi="Arial"/>
          <w:sz w:val="20"/>
          <w:szCs w:val="20"/>
          <w:color w:val="auto"/>
        </w:rPr>
        <w:t>Title: Executive Vice President</w:t>
      </w:r>
    </w:p>
    <w:p>
      <w:pPr>
        <w:sectPr>
          <w:pgSz w:w="11900" w:h="16838" w:orient="portrait"/>
          <w:cols w:equalWidth="0" w:num="1">
            <w:col w:w="9019"/>
          </w:cols>
          <w:pgMar w:left="1440" w:top="792"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2"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2"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2"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2"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2" w:right="1440" w:bottom="1440" w:gutter="0" w:footer="0" w:header="0"/>
          <w:type w:val="continuous"/>
        </w:sectPr>
      </w:pPr>
    </w:p>
    <w:bookmarkStart w:id="34" w:name="page35"/>
    <w:bookmarkEnd w:id="34"/>
    <w:p>
      <w:pPr>
        <w:ind w:left="2120"/>
        <w:spacing w:after="0"/>
        <w:rPr>
          <w:sz w:val="20"/>
          <w:szCs w:val="20"/>
          <w:color w:val="auto"/>
        </w:rPr>
      </w:pPr>
      <w:r>
        <w:rPr>
          <w:rFonts w:ascii="Arial" w:cs="Arial" w:eastAsia="Arial" w:hAnsi="Arial"/>
          <w:sz w:val="18"/>
          <w:szCs w:val="18"/>
          <w:color w:val="auto"/>
        </w:rPr>
        <w:t>DBS Bank Ltd.,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Terence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20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2047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Terence Yong</w:t>
      </w:r>
    </w:p>
    <w:p>
      <w:pPr>
        <w:ind w:left="212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56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56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56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56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56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568" w:right="1440" w:bottom="1440" w:gutter="0" w:footer="0" w:header="0"/>
          <w:type w:val="continuous"/>
        </w:sectPr>
      </w:pPr>
    </w:p>
    <w:bookmarkStart w:id="35" w:name="page36"/>
    <w:bookmarkEnd w:id="35"/>
    <w:p>
      <w:pPr>
        <w:ind w:left="2120"/>
        <w:spacing w:after="0"/>
        <w:rPr>
          <w:sz w:val="20"/>
          <w:szCs w:val="20"/>
          <w:color w:val="auto"/>
        </w:rPr>
      </w:pPr>
      <w:r>
        <w:rPr>
          <w:rFonts w:ascii="Arial" w:cs="Arial" w:eastAsia="Arial" w:hAnsi="Arial"/>
          <w:sz w:val="18"/>
          <w:szCs w:val="18"/>
          <w:color w:val="auto"/>
        </w:rPr>
        <w:t>U.S. BANK NATIONAL ASSOCIATION, as Extending and Consenting Lender</w:t>
      </w:r>
    </w:p>
    <w:p>
      <w:pPr>
        <w:spacing w:after="0" w:line="200" w:lineRule="exact"/>
        <w:rPr>
          <w:sz w:val="20"/>
          <w:szCs w:val="20"/>
          <w:color w:val="auto"/>
        </w:rPr>
      </w:pPr>
    </w:p>
    <w:p>
      <w:pPr>
        <w:spacing w:after="0" w:line="28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49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Jeffrey S. Johnson</w:t>
      </w:r>
    </w:p>
    <w:p>
      <w:pPr>
        <w:ind w:left="212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9019"/>
          </w:cols>
          <w:pgMar w:left="1440" w:top="798" w:right="1440" w:bottom="1440" w:gutter="0" w:footer="0" w:header="0"/>
        </w:sectPr>
      </w:pPr>
    </w:p>
    <w:bookmarkStart w:id="36" w:name="page37"/>
    <w:bookmarkEnd w:id="36"/>
    <w:p>
      <w:pPr>
        <w:ind w:left="2120"/>
        <w:spacing w:after="0"/>
        <w:rPr>
          <w:sz w:val="20"/>
          <w:szCs w:val="20"/>
          <w:color w:val="auto"/>
        </w:rPr>
      </w:pPr>
      <w:r>
        <w:rPr>
          <w:rFonts w:ascii="Arial" w:cs="Arial" w:eastAsia="Arial" w:hAnsi="Arial"/>
          <w:sz w:val="18"/>
          <w:szCs w:val="18"/>
          <w:color w:val="auto"/>
        </w:rPr>
        <w:t>Agricultural Bank of China, New York Branch,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Nelson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1798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Nelson Chen</w:t>
      </w:r>
    </w:p>
    <w:p>
      <w:pPr>
        <w:ind w:left="2120"/>
        <w:spacing w:after="0"/>
        <w:rPr>
          <w:sz w:val="20"/>
          <w:szCs w:val="20"/>
          <w:color w:val="auto"/>
        </w:rPr>
      </w:pPr>
      <w:r>
        <w:rPr>
          <w:rFonts w:ascii="Arial" w:cs="Arial" w:eastAsia="Arial" w:hAnsi="Arial"/>
          <w:sz w:val="20"/>
          <w:szCs w:val="20"/>
          <w:color w:val="auto"/>
        </w:rPr>
        <w:t>Title: Head of Corp Banking</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37" w:name="page38"/>
    <w:bookmarkEnd w:id="37"/>
    <w:p>
      <w:pPr>
        <w:ind w:left="2120"/>
        <w:spacing w:after="0"/>
        <w:rPr>
          <w:sz w:val="20"/>
          <w:szCs w:val="20"/>
          <w:color w:val="auto"/>
        </w:rPr>
      </w:pPr>
      <w:r>
        <w:rPr>
          <w:rFonts w:ascii="Arial" w:cs="Arial" w:eastAsia="Arial" w:hAnsi="Arial"/>
          <w:sz w:val="18"/>
          <w:szCs w:val="18"/>
          <w:color w:val="auto"/>
        </w:rPr>
        <w:t>BANCO SANTANDER, S.A., NEW YORK BRANCH,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Pablo Urgoiti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30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Pablo Urgoiti</w:t>
      </w:r>
    </w:p>
    <w:p>
      <w:pPr>
        <w:ind w:left="212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903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9034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Rita Walz-Cuccioli</w:t>
      </w:r>
    </w:p>
    <w:p>
      <w:pPr>
        <w:ind w:left="212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560"/>
          </w:cols>
          <w:pgMar w:left="1440" w:top="798" w:right="89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560"/>
          </w:cols>
          <w:pgMar w:left="1440" w:top="798" w:right="8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4440"/>
          </w:cols>
          <w:pgMar w:left="1440" w:top="798" w:right="8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4520"/>
          </w:cols>
          <w:pgMar w:left="1440" w:top="798" w:right="8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600"/>
          </w:cols>
          <w:pgMar w:left="1440" w:top="798" w:right="8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560"/>
          </w:cols>
          <w:pgMar w:left="1440" w:top="798" w:right="899" w:bottom="1440" w:gutter="0" w:footer="0" w:header="0"/>
          <w:type w:val="continuous"/>
        </w:sectPr>
      </w:pPr>
    </w:p>
    <w:bookmarkStart w:id="38" w:name="page39"/>
    <w:bookmarkEnd w:id="38"/>
    <w:p>
      <w:pPr>
        <w:ind w:left="2120"/>
        <w:spacing w:after="0"/>
        <w:rPr>
          <w:sz w:val="20"/>
          <w:szCs w:val="20"/>
          <w:color w:val="auto"/>
        </w:rPr>
      </w:pPr>
      <w:r>
        <w:rPr>
          <w:rFonts w:ascii="Arial" w:cs="Arial" w:eastAsia="Arial" w:hAnsi="Arial"/>
          <w:sz w:val="18"/>
          <w:szCs w:val="18"/>
          <w:color w:val="auto"/>
        </w:rPr>
        <w:t>BANK OF MONTREAL,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350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Chris Clark</w:t>
      </w:r>
    </w:p>
    <w:p>
      <w:pPr>
        <w:ind w:left="21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39" w:name="page40"/>
    <w:bookmarkEnd w:id="39"/>
    <w:p>
      <w:pPr>
        <w:ind w:left="2120"/>
        <w:spacing w:after="0"/>
        <w:rPr>
          <w:sz w:val="20"/>
          <w:szCs w:val="20"/>
          <w:color w:val="auto"/>
        </w:rPr>
      </w:pPr>
      <w:r>
        <w:rPr>
          <w:rFonts w:ascii="Arial" w:cs="Arial" w:eastAsia="Arial" w:hAnsi="Arial"/>
          <w:sz w:val="18"/>
          <w:szCs w:val="18"/>
          <w:color w:val="auto"/>
        </w:rPr>
        <w:t>MUFG Bank, Ltd..,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John Margetanski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21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John Margetanski</w:t>
      </w:r>
    </w:p>
    <w:p>
      <w:pPr>
        <w:ind w:left="212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sectPr>
      </w:pPr>
    </w:p>
    <w:bookmarkStart w:id="40" w:name="page41"/>
    <w:bookmarkEnd w:id="40"/>
    <w:p>
      <w:pPr>
        <w:ind w:left="2120"/>
        <w:spacing w:after="0"/>
        <w:rPr>
          <w:sz w:val="20"/>
          <w:szCs w:val="20"/>
          <w:color w:val="auto"/>
        </w:rPr>
      </w:pPr>
      <w:r>
        <w:rPr>
          <w:rFonts w:ascii="Arial" w:cs="Arial" w:eastAsia="Arial" w:hAnsi="Arial"/>
          <w:sz w:val="18"/>
          <w:szCs w:val="18"/>
          <w:color w:val="auto"/>
        </w:rPr>
        <w:t>PNC Bank, NATIONAL ASSOCIATION.,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Scott Neiderheide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5563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5638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Scott Neiderheide</w:t>
      </w:r>
    </w:p>
    <w:p>
      <w:pPr>
        <w:ind w:left="212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41" w:name="page42"/>
    <w:bookmarkEnd w:id="41"/>
    <w:p>
      <w:pPr>
        <w:ind w:left="2120"/>
        <w:spacing w:after="0"/>
        <w:rPr>
          <w:sz w:val="20"/>
          <w:szCs w:val="20"/>
          <w:color w:val="auto"/>
        </w:rPr>
      </w:pPr>
      <w:r>
        <w:rPr>
          <w:rFonts w:ascii="Arial" w:cs="Arial" w:eastAsia="Arial" w:hAnsi="Arial"/>
          <w:sz w:val="18"/>
          <w:szCs w:val="18"/>
          <w:color w:val="auto"/>
        </w:rPr>
        <w:t>ING Bank N.V., Dublin Branch,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979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Sean Hassett</w:t>
      </w:r>
    </w:p>
    <w:p>
      <w:pPr>
        <w:ind w:left="212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Cormac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549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9400" cy="889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Cormac Langford</w:t>
      </w:r>
    </w:p>
    <w:p>
      <w:pPr>
        <w:ind w:left="21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42" w:name="page43"/>
    <w:bookmarkEnd w:id="42"/>
    <w:p>
      <w:pPr>
        <w:ind w:left="2120"/>
        <w:spacing w:after="0"/>
        <w:rPr>
          <w:sz w:val="20"/>
          <w:szCs w:val="20"/>
          <w:color w:val="auto"/>
        </w:rPr>
      </w:pPr>
      <w:r>
        <w:rPr>
          <w:rFonts w:ascii="Arial" w:cs="Arial" w:eastAsia="Arial" w:hAnsi="Arial"/>
          <w:sz w:val="16"/>
          <w:szCs w:val="16"/>
          <w:color w:val="auto"/>
        </w:rPr>
        <w:t>State Street Bank &amp; Trust, as Extending and Consenting Lender</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 Andrew Piculell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935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C. Andrew Piculell</w:t>
      </w:r>
    </w:p>
    <w:p>
      <w:pPr>
        <w:ind w:left="212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43" w:name="page44"/>
    <w:bookmarkEnd w:id="43"/>
    <w:p>
      <w:pPr>
        <w:ind w:left="2120"/>
        <w:spacing w:after="0"/>
        <w:rPr>
          <w:sz w:val="20"/>
          <w:szCs w:val="20"/>
          <w:color w:val="auto"/>
        </w:rPr>
      </w:pPr>
      <w:r>
        <w:rPr>
          <w:rFonts w:ascii="Arial" w:cs="Arial" w:eastAsia="Arial" w:hAnsi="Arial"/>
          <w:sz w:val="18"/>
          <w:szCs w:val="18"/>
          <w:color w:val="auto"/>
        </w:rPr>
        <w:t>Wells Fargo Bank, National Association,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Emma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147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Emma Clifford</w:t>
      </w:r>
    </w:p>
    <w:p>
      <w:pPr>
        <w:ind w:left="2120"/>
        <w:spacing w:after="0"/>
        <w:rPr>
          <w:sz w:val="20"/>
          <w:szCs w:val="20"/>
          <w:color w:val="auto"/>
        </w:rPr>
      </w:pPr>
      <w:r>
        <w:rPr>
          <w:rFonts w:ascii="Arial" w:cs="Arial" w:eastAsia="Arial" w:hAnsi="Arial"/>
          <w:sz w:val="20"/>
          <w:szCs w:val="20"/>
          <w:color w:val="auto"/>
        </w:rPr>
        <w:t>Title: Director &amp; Portfolio Manager</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44" w:name="page45"/>
    <w:bookmarkEnd w:id="44"/>
    <w:p>
      <w:pPr>
        <w:ind w:left="2120"/>
        <w:spacing w:after="0"/>
        <w:rPr>
          <w:sz w:val="20"/>
          <w:szCs w:val="20"/>
          <w:color w:val="auto"/>
        </w:rPr>
      </w:pPr>
      <w:r>
        <w:rPr>
          <w:rFonts w:ascii="Arial" w:cs="Arial" w:eastAsia="Arial" w:hAnsi="Arial"/>
          <w:sz w:val="18"/>
          <w:szCs w:val="18"/>
          <w:color w:val="auto"/>
        </w:rPr>
        <w:t>Citizens Bank, N.A.,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Megan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516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Megan Livingston</w:t>
      </w:r>
    </w:p>
    <w:p>
      <w:pPr>
        <w:ind w:left="212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798" w:right="1440"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01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389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397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059"/>
          </w:cols>
          <w:pgMar w:left="1440" w:top="798" w:right="1440"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798" w:right="1440" w:bottom="1440" w:gutter="0" w:footer="0" w:header="0"/>
          <w:type w:val="continuous"/>
        </w:sectPr>
      </w:pPr>
    </w:p>
    <w:bookmarkStart w:id="45" w:name="page46"/>
    <w:bookmarkEnd w:id="45"/>
    <w:p>
      <w:pPr>
        <w:ind w:left="2120"/>
        <w:spacing w:after="0"/>
        <w:rPr>
          <w:sz w:val="20"/>
          <w:szCs w:val="20"/>
          <w:color w:val="auto"/>
        </w:rPr>
      </w:pPr>
      <w:r>
        <w:rPr>
          <w:rFonts w:ascii="Arial" w:cs="Arial" w:eastAsia="Arial" w:hAnsi="Arial"/>
          <w:sz w:val="18"/>
          <w:szCs w:val="18"/>
          <w:color w:val="auto"/>
        </w:rPr>
        <w:t>Fifth Third Bank, N.A., as Extending and Consenting Lender and as an Incremental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Mike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239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Mike Gifford</w:t>
      </w:r>
    </w:p>
    <w:p>
      <w:pPr>
        <w:ind w:left="2120"/>
        <w:spacing w:after="0"/>
        <w:rPr>
          <w:sz w:val="20"/>
          <w:szCs w:val="20"/>
          <w:color w:val="auto"/>
        </w:rPr>
      </w:pPr>
      <w:r>
        <w:rPr>
          <w:rFonts w:ascii="Arial" w:cs="Arial" w:eastAsia="Arial" w:hAnsi="Arial"/>
          <w:sz w:val="20"/>
          <w:szCs w:val="20"/>
          <w:color w:val="auto"/>
        </w:rPr>
        <w:t>Title: Director, Corporate Banking</w:t>
      </w:r>
    </w:p>
    <w:p>
      <w:pPr>
        <w:sectPr>
          <w:pgSz w:w="11900" w:h="16838" w:orient="portrait"/>
          <w:cols w:equalWidth="0" w:num="1">
            <w:col w:w="9360"/>
          </w:cols>
          <w:pgMar w:left="1440" w:top="798" w:right="109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360"/>
          </w:cols>
          <w:pgMar w:left="1440" w:top="798" w:right="10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4240"/>
          </w:cols>
          <w:pgMar w:left="1440" w:top="798" w:right="10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4320"/>
          </w:cols>
          <w:pgMar w:left="1440" w:top="798" w:right="10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400"/>
          </w:cols>
          <w:pgMar w:left="1440" w:top="798" w:right="10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ectPr>
          <w:pgSz w:w="11900" w:h="16838" w:orient="portrait"/>
          <w:cols w:equalWidth="0" w:num="1">
            <w:col w:w="9360"/>
          </w:cols>
          <w:pgMar w:left="1440" w:top="798" w:right="1099" w:bottom="1440" w:gutter="0" w:footer="0" w:header="0"/>
          <w:type w:val="continuous"/>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Aggregate amount of</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Commitment 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3940" w:space="640"/>
            <w:col w:w="4780"/>
          </w:cols>
          <w:pgMar w:left="1440" w:top="798" w:right="10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Total Extended Multicurrency</w:t>
      </w:r>
    </w:p>
    <w:p>
      <w:pPr>
        <w:spacing w:after="0" w:line="16" w:lineRule="exact"/>
        <w:rPr>
          <w:sz w:val="20"/>
          <w:szCs w:val="20"/>
          <w:color w:val="auto"/>
        </w:rPr>
      </w:pPr>
    </w:p>
    <w:p>
      <w:pPr>
        <w:ind w:left="2120"/>
        <w:spacing w:after="0"/>
        <w:tabs>
          <w:tab w:leader="none" w:pos="4040" w:val="left"/>
        </w:tabs>
        <w:rPr>
          <w:sz w:val="20"/>
          <w:szCs w:val="20"/>
          <w:color w:val="auto"/>
        </w:rPr>
      </w:pPr>
      <w:r>
        <w:rPr>
          <w:rFonts w:ascii="Arial" w:cs="Arial" w:eastAsia="Arial" w:hAnsi="Arial"/>
          <w:sz w:val="20"/>
          <w:szCs w:val="20"/>
          <w:color w:val="auto"/>
        </w:rPr>
        <w:t>Commitment:</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360"/>
          </w:cols>
          <w:pgMar w:left="1440" w:top="798" w:right="1099" w:bottom="1440" w:gutter="0" w:footer="0" w:header="0"/>
          <w:type w:val="continuous"/>
        </w:sectPr>
      </w:pPr>
    </w:p>
    <w:bookmarkStart w:id="46" w:name="page47"/>
    <w:bookmarkEnd w:id="46"/>
    <w:p>
      <w:pPr>
        <w:ind w:left="2120"/>
        <w:spacing w:after="0"/>
        <w:rPr>
          <w:sz w:val="20"/>
          <w:szCs w:val="20"/>
          <w:color w:val="auto"/>
        </w:rPr>
      </w:pPr>
      <w:r>
        <w:rPr>
          <w:rFonts w:ascii="Arial" w:cs="Arial" w:eastAsia="Arial" w:hAnsi="Arial"/>
          <w:sz w:val="18"/>
          <w:szCs w:val="18"/>
          <w:color w:val="auto"/>
        </w:rPr>
        <w:t>First Abu Dhabi Bank USA N.V.,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Husam Arabiat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416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Husam Arabiat</w:t>
      </w:r>
    </w:p>
    <w:p>
      <w:pPr>
        <w:ind w:left="2120"/>
        <w:spacing w:after="0"/>
        <w:rPr>
          <w:sz w:val="20"/>
          <w:szCs w:val="20"/>
          <w:color w:val="auto"/>
        </w:rPr>
      </w:pPr>
      <w:r>
        <w:rPr>
          <w:rFonts w:ascii="Arial" w:cs="Arial" w:eastAsia="Arial" w:hAnsi="Arial"/>
          <w:sz w:val="20"/>
          <w:szCs w:val="20"/>
          <w:color w:val="auto"/>
        </w:rPr>
        <w:t>Title: Country CEO - USA</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Pamela Sigda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398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Pamela Sigda</w:t>
      </w:r>
    </w:p>
    <w:p>
      <w:pPr>
        <w:ind w:left="2120"/>
        <w:spacing w:after="0"/>
        <w:rPr>
          <w:sz w:val="20"/>
          <w:szCs w:val="20"/>
          <w:color w:val="auto"/>
        </w:rPr>
      </w:pPr>
      <w:r>
        <w:rPr>
          <w:rFonts w:ascii="Arial" w:cs="Arial" w:eastAsia="Arial" w:hAnsi="Arial"/>
          <w:sz w:val="20"/>
          <w:szCs w:val="20"/>
          <w:color w:val="auto"/>
        </w:rPr>
        <w:t>Title: Country CFO - USA</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9019"/>
          </w:cols>
          <w:pgMar w:left="1440" w:top="798" w:right="1440" w:bottom="1440" w:gutter="0" w:footer="0" w:header="0"/>
        </w:sectPr>
      </w:pPr>
    </w:p>
    <w:bookmarkStart w:id="47" w:name="page48"/>
    <w:bookmarkEnd w:id="47"/>
    <w:p>
      <w:pPr>
        <w:ind w:left="2120"/>
        <w:spacing w:after="0"/>
        <w:rPr>
          <w:sz w:val="20"/>
          <w:szCs w:val="20"/>
          <w:color w:val="auto"/>
        </w:rPr>
      </w:pPr>
      <w:r>
        <w:rPr>
          <w:rFonts w:ascii="Arial" w:cs="Arial" w:eastAsia="Arial" w:hAnsi="Arial"/>
          <w:sz w:val="18"/>
          <w:szCs w:val="18"/>
          <w:color w:val="auto"/>
        </w:rPr>
        <w:t>United Overseas Bank Limited, New York Agency,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573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Eriberto De Guzman</w:t>
      </w:r>
    </w:p>
    <w:p>
      <w:pPr>
        <w:ind w:left="212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Brian 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997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Brian Ike</w:t>
      </w:r>
    </w:p>
    <w:p>
      <w:pPr>
        <w:ind w:left="2120"/>
        <w:spacing w:after="0"/>
        <w:rPr>
          <w:sz w:val="20"/>
          <w:szCs w:val="20"/>
          <w:color w:val="auto"/>
        </w:rPr>
      </w:pPr>
      <w:r>
        <w:rPr>
          <w:rFonts w:ascii="Arial" w:cs="Arial" w:eastAsia="Arial" w:hAnsi="Arial"/>
          <w:sz w:val="20"/>
          <w:szCs w:val="20"/>
          <w:color w:val="auto"/>
        </w:rPr>
        <w:t>Title: First Vice President</w:t>
      </w:r>
    </w:p>
    <w:p>
      <w:pPr>
        <w:sectPr>
          <w:pgSz w:w="11900" w:h="16838" w:orient="portrait"/>
          <w:cols w:equalWidth="0" w:num="1">
            <w:col w:w="9160"/>
          </w:cols>
          <w:pgMar w:left="1440" w:top="798" w:right="129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160"/>
          </w:cols>
          <w:pgMar w:left="1440" w:top="798" w:right="12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4040"/>
          </w:cols>
          <w:pgMar w:left="1440" w:top="798" w:right="12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4120"/>
          </w:cols>
          <w:pgMar w:left="1440" w:top="798" w:right="12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200"/>
          </w:cols>
          <w:pgMar w:left="1440" w:top="798" w:right="129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0" w:lineRule="exact"/>
        <w:rPr>
          <w:sz w:val="20"/>
          <w:szCs w:val="20"/>
          <w:color w:val="auto"/>
        </w:rPr>
      </w:pPr>
    </w:p>
    <w:p>
      <w:pPr>
        <w:spacing w:after="0" w:line="2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160"/>
          </w:cols>
          <w:pgMar w:left="1440" w:top="798" w:right="1299" w:bottom="1440" w:gutter="0" w:footer="0" w:header="0"/>
          <w:type w:val="continuous"/>
        </w:sectPr>
      </w:pPr>
    </w:p>
    <w:bookmarkStart w:id="48" w:name="page49"/>
    <w:bookmarkEnd w:id="48"/>
    <w:p>
      <w:pPr>
        <w:ind w:left="2120"/>
        <w:spacing w:after="0"/>
        <w:rPr>
          <w:sz w:val="20"/>
          <w:szCs w:val="20"/>
          <w:color w:val="auto"/>
        </w:rPr>
      </w:pPr>
      <w:r>
        <w:rPr>
          <w:rFonts w:ascii="Arial" w:cs="Arial" w:eastAsia="Arial" w:hAnsi="Arial"/>
          <w:sz w:val="18"/>
          <w:szCs w:val="18"/>
          <w:color w:val="auto"/>
        </w:rPr>
        <w:t>Bangkok Bank Public Company Limited, New York Branch, as Extending and Consenting Lender</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7100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0055"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color w:val="auto"/>
        </w:rPr>
        <w:t>Name: Thitipong Prasertsilp</w:t>
      </w:r>
    </w:p>
    <w:p>
      <w:pPr>
        <w:ind w:left="2120"/>
        <w:spacing w:after="0"/>
        <w:rPr>
          <w:sz w:val="20"/>
          <w:szCs w:val="20"/>
          <w:color w:val="auto"/>
        </w:rPr>
      </w:pPr>
      <w:r>
        <w:rPr>
          <w:rFonts w:ascii="Arial" w:cs="Arial" w:eastAsia="Arial" w:hAnsi="Arial"/>
          <w:sz w:val="20"/>
          <w:szCs w:val="20"/>
          <w:color w:val="auto"/>
        </w:rPr>
        <w:t>Title: Vice President and Branch Manager</w:t>
      </w:r>
    </w:p>
    <w:p>
      <w:pPr>
        <w:sectPr>
          <w:pgSz w:w="11900" w:h="16838" w:orient="portrait"/>
          <w:cols w:equalWidth="0" w:num="1">
            <w:col w:w="9920"/>
          </w:cols>
          <w:pgMar w:left="1440" w:top="798" w:right="539" w:bottom="1440" w:gutter="0" w:footer="0" w:header="0"/>
        </w:sect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Domestic Commitments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460"/>
            <w:col w:w="4920"/>
          </w:cols>
          <w:pgMar w:left="1440" w:top="798" w:right="53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Issuing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20" w:space="400"/>
            <w:col w:w="4800"/>
          </w:cols>
          <w:pgMar w:left="1440" w:top="798" w:right="53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L/C Tranche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780" w:space="260"/>
            <w:col w:w="4880"/>
          </w:cols>
          <w:pgMar w:left="1440" w:top="798" w:right="53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Brazilian Commitments Held: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20" w:space="440"/>
            <w:col w:w="4960"/>
          </w:cols>
          <w:pgMar w:left="1440" w:top="798" w:right="539" w:bottom="1440" w:gutter="0" w:footer="0" w:header="0"/>
          <w:type w:val="continuous"/>
        </w:sectPr>
      </w:pPr>
    </w:p>
    <w:p>
      <w:pPr>
        <w:spacing w:after="0" w:line="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Aggregate amount of</w:t>
      </w:r>
    </w:p>
    <w:p>
      <w:pPr>
        <w:spacing w:after="0" w:line="16" w:lineRule="exact"/>
        <w:rPr>
          <w:sz w:val="20"/>
          <w:szCs w:val="20"/>
          <w:color w:val="auto"/>
        </w:rPr>
      </w:pPr>
    </w:p>
    <w:p>
      <w:pPr>
        <w:ind w:left="2120"/>
        <w:spacing w:after="0"/>
        <w:tabs>
          <w:tab w:leader="none" w:pos="5140" w:val="left"/>
        </w:tabs>
        <w:rPr>
          <w:sz w:val="20"/>
          <w:szCs w:val="20"/>
          <w:color w:val="auto"/>
        </w:rPr>
      </w:pPr>
      <w:r>
        <w:rPr>
          <w:rFonts w:ascii="Arial" w:cs="Arial" w:eastAsia="Arial" w:hAnsi="Arial"/>
          <w:sz w:val="20"/>
          <w:szCs w:val="20"/>
          <w:color w:val="auto"/>
        </w:rPr>
        <w:t>Multicurrency Commitments Held:</w:t>
        <w:tab/>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920"/>
          </w:cols>
          <w:pgMar w:left="1440" w:top="798" w:right="539" w:bottom="1440" w:gutter="0" w:footer="0" w:header="0"/>
          <w:type w:val="continuous"/>
        </w:sectPr>
      </w:pPr>
    </w:p>
    <w:bookmarkStart w:id="49" w:name="page50"/>
    <w:bookmarkEnd w:id="49"/>
    <w:p>
      <w:pPr>
        <w:jc w:val="right"/>
        <w:ind w:right="20"/>
        <w:spacing w:after="0"/>
        <w:rPr>
          <w:sz w:val="20"/>
          <w:szCs w:val="20"/>
          <w:color w:val="auto"/>
        </w:rPr>
      </w:pPr>
      <w:r>
        <w:rPr>
          <w:rFonts w:ascii="Arial" w:cs="Arial" w:eastAsia="Arial" w:hAnsi="Arial"/>
          <w:sz w:val="20"/>
          <w:szCs w:val="20"/>
          <w:b w:val="1"/>
          <w:bCs w:val="1"/>
          <w:color w:val="auto"/>
        </w:rPr>
        <w:t>ANNEX A</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auto"/>
        </w:rPr>
        <w:t>TO AMENDMENT NO. 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A</w:t>
      </w:r>
    </w:p>
    <w:p>
      <w:pPr>
        <w:spacing w:after="0" w:line="38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00" w:type="dxa"/>
            <w:vAlign w:val="bottom"/>
            <w:tcBorders>
              <w:top w:val="single" w:sz="8" w:color="auto"/>
              <w:left w:val="single" w:sz="8" w:color="auto"/>
              <w:right w:val="single" w:sz="8" w:color="auto"/>
            </w:tcBorders>
            <w:gridSpan w:val="5"/>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S&amp;P / Moody’s / Fitch</w:t>
            </w:r>
          </w:p>
        </w:tc>
        <w:tc>
          <w:tcPr>
            <w:tcW w:w="300" w:type="dxa"/>
            <w:vAlign w:val="bottom"/>
            <w:tcBorders>
              <w:top w:val="single" w:sz="8" w:color="auto"/>
            </w:tcBorders>
            <w:shd w:val="clear" w:color="auto" w:fill="D9D9D9"/>
          </w:tcPr>
          <w:p>
            <w:pPr>
              <w:spacing w:after="0"/>
              <w:rPr>
                <w:sz w:val="19"/>
                <w:szCs w:val="19"/>
                <w:color w:val="auto"/>
              </w:rPr>
            </w:pPr>
          </w:p>
        </w:tc>
        <w:tc>
          <w:tcPr>
            <w:tcW w:w="1420" w:type="dxa"/>
            <w:vAlign w:val="bottom"/>
            <w:tcBorders>
              <w:top w:val="single" w:sz="8" w:color="auto"/>
            </w:tcBorders>
            <w:shd w:val="clear" w:color="auto" w:fill="D9D9D9"/>
          </w:tcPr>
          <w:p>
            <w:pPr>
              <w:spacing w:after="0"/>
              <w:rPr>
                <w:sz w:val="19"/>
                <w:szCs w:val="19"/>
                <w:color w:val="auto"/>
              </w:rPr>
            </w:pPr>
          </w:p>
        </w:tc>
        <w:tc>
          <w:tcPr>
            <w:tcW w:w="300" w:type="dxa"/>
            <w:vAlign w:val="bottom"/>
            <w:tcBorders>
              <w:top w:val="single" w:sz="8" w:color="auto"/>
              <w:right w:val="single" w:sz="8" w:color="auto"/>
            </w:tcBorders>
            <w:shd w:val="clear" w:color="auto" w:fill="D9D9D9"/>
          </w:tcPr>
          <w:p>
            <w:pPr>
              <w:spacing w:after="0"/>
              <w:rPr>
                <w:sz w:val="19"/>
                <w:szCs w:val="19"/>
                <w:color w:val="auto"/>
              </w:rPr>
            </w:pPr>
          </w:p>
        </w:tc>
        <w:tc>
          <w:tcPr>
            <w:tcW w:w="100" w:type="dxa"/>
            <w:vAlign w:val="bottom"/>
            <w:tcBorders>
              <w:top w:val="single" w:sz="8" w:color="auto"/>
            </w:tcBorders>
            <w:shd w:val="clear" w:color="auto" w:fill="D9D9D9"/>
          </w:tcPr>
          <w:p>
            <w:pPr>
              <w:spacing w:after="0"/>
              <w:rPr>
                <w:sz w:val="19"/>
                <w:szCs w:val="19"/>
                <w:color w:val="auto"/>
              </w:rPr>
            </w:pPr>
          </w:p>
        </w:tc>
        <w:tc>
          <w:tcPr>
            <w:tcW w:w="220" w:type="dxa"/>
            <w:vAlign w:val="bottom"/>
            <w:tcBorders>
              <w:top w:val="single" w:sz="8" w:color="auto"/>
            </w:tcBorders>
            <w:shd w:val="clear" w:color="auto" w:fill="D9D9D9"/>
          </w:tcPr>
          <w:p>
            <w:pPr>
              <w:spacing w:after="0"/>
              <w:rPr>
                <w:sz w:val="19"/>
                <w:szCs w:val="19"/>
                <w:color w:val="auto"/>
              </w:rPr>
            </w:pPr>
          </w:p>
        </w:tc>
        <w:tc>
          <w:tcPr>
            <w:tcW w:w="1920" w:type="dxa"/>
            <w:vAlign w:val="bottom"/>
            <w:tcBorders>
              <w:top w:val="single" w:sz="8" w:color="auto"/>
              <w:right w:val="single" w:sz="8" w:color="auto"/>
            </w:tcBorders>
            <w:gridSpan w:val="3"/>
            <w:vMerge w:val="restart"/>
            <w:shd w:val="clear" w:color="auto" w:fill="D9D9D9"/>
          </w:tcPr>
          <w:p>
            <w:pPr>
              <w:jc w:val="center"/>
              <w:ind w:right="320"/>
              <w:spacing w:after="0"/>
              <w:rPr>
                <w:sz w:val="20"/>
                <w:szCs w:val="20"/>
                <w:color w:val="auto"/>
              </w:rPr>
            </w:pPr>
            <w:r>
              <w:rPr>
                <w:rFonts w:ascii="Arial" w:cs="Arial" w:eastAsia="Arial" w:hAnsi="Arial"/>
                <w:sz w:val="20"/>
                <w:szCs w:val="20"/>
                <w:b w:val="1"/>
                <w:bCs w:val="1"/>
                <w:color w:val="auto"/>
                <w:w w:val="92"/>
              </w:rPr>
              <w:t>Applicable Margin</w:t>
            </w:r>
          </w:p>
        </w:tc>
        <w:tc>
          <w:tcPr>
            <w:tcW w:w="100" w:type="dxa"/>
            <w:vAlign w:val="bottom"/>
            <w:tcBorders>
              <w:top w:val="single" w:sz="8" w:color="auto"/>
            </w:tcBorders>
            <w:shd w:val="clear" w:color="auto" w:fill="D9D9D9"/>
          </w:tcPr>
          <w:p>
            <w:pPr>
              <w:spacing w:after="0"/>
              <w:rPr>
                <w:sz w:val="19"/>
                <w:szCs w:val="19"/>
                <w:color w:val="auto"/>
              </w:rPr>
            </w:pPr>
          </w:p>
        </w:tc>
        <w:tc>
          <w:tcPr>
            <w:tcW w:w="1700" w:type="dxa"/>
            <w:vAlign w:val="bottom"/>
            <w:tcBorders>
              <w:top w:val="single" w:sz="8" w:color="auto"/>
              <w:right w:val="single" w:sz="8" w:color="auto"/>
            </w:tcBorders>
            <w:gridSpan w:val="4"/>
            <w:vMerge w:val="restart"/>
            <w:shd w:val="clear" w:color="auto" w:fill="D9D9D9"/>
          </w:tcPr>
          <w:p>
            <w:pPr>
              <w:jc w:val="center"/>
              <w:ind w:right="100"/>
              <w:spacing w:after="0"/>
              <w:rPr>
                <w:sz w:val="20"/>
                <w:szCs w:val="20"/>
                <w:color w:val="auto"/>
              </w:rPr>
            </w:pPr>
            <w:r>
              <w:rPr>
                <w:rFonts w:ascii="Arial" w:cs="Arial" w:eastAsia="Arial" w:hAnsi="Arial"/>
                <w:sz w:val="20"/>
                <w:szCs w:val="20"/>
                <w:b w:val="1"/>
                <w:bCs w:val="1"/>
                <w:color w:val="auto"/>
                <w:w w:val="92"/>
              </w:rPr>
              <w:t>Applicable Margin</w:t>
            </w:r>
          </w:p>
        </w:tc>
        <w:tc>
          <w:tcPr>
            <w:tcW w:w="180" w:type="dxa"/>
            <w:vAlign w:val="bottom"/>
            <w:tcBorders>
              <w:top w:val="single" w:sz="8" w:color="auto"/>
            </w:tcBorders>
            <w:shd w:val="clear" w:color="auto" w:fill="D9D9D9"/>
          </w:tcPr>
          <w:p>
            <w:pPr>
              <w:spacing w:after="0"/>
              <w:rPr>
                <w:sz w:val="19"/>
                <w:szCs w:val="19"/>
                <w:color w:val="auto"/>
              </w:rPr>
            </w:pPr>
          </w:p>
        </w:tc>
        <w:tc>
          <w:tcPr>
            <w:tcW w:w="1620" w:type="dxa"/>
            <w:vAlign w:val="bottom"/>
            <w:tcBorders>
              <w:top w:val="single" w:sz="8" w:color="auto"/>
              <w:right w:val="single" w:sz="8" w:color="auto"/>
            </w:tcBorders>
            <w:gridSpan w:val="6"/>
            <w:shd w:val="clear" w:color="auto" w:fill="D9D9D9"/>
          </w:tcPr>
          <w:p>
            <w:pPr>
              <w:jc w:val="center"/>
              <w:ind w:right="180"/>
              <w:spacing w:after="0"/>
              <w:rPr>
                <w:sz w:val="20"/>
                <w:szCs w:val="20"/>
                <w:color w:val="auto"/>
              </w:rPr>
            </w:pPr>
            <w:r>
              <w:rPr>
                <w:rFonts w:ascii="Arial" w:cs="Arial" w:eastAsia="Arial" w:hAnsi="Arial"/>
                <w:sz w:val="20"/>
                <w:szCs w:val="20"/>
                <w:b w:val="1"/>
                <w:bCs w:val="1"/>
                <w:color w:val="auto"/>
                <w:w w:val="92"/>
              </w:rPr>
              <w:t>All-in Spread for</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left w:val="single" w:sz="8" w:color="auto"/>
              <w:right w:val="single" w:sz="8" w:color="auto"/>
            </w:tcBorders>
            <w:gridSpan w:val="5"/>
            <w:vMerge w:val="continue"/>
            <w:shd w:val="clear" w:color="auto" w:fill="D9D9D9"/>
          </w:tcPr>
          <w:p>
            <w:pPr>
              <w:spacing w:after="0"/>
              <w:rPr>
                <w:sz w:val="18"/>
                <w:szCs w:val="18"/>
                <w:color w:val="auto"/>
              </w:rPr>
            </w:pPr>
          </w:p>
        </w:tc>
        <w:tc>
          <w:tcPr>
            <w:tcW w:w="300" w:type="dxa"/>
            <w:vAlign w:val="bottom"/>
            <w:tcBorders>
              <w:top w:val="single" w:sz="8" w:color="D9D9D9"/>
            </w:tcBorders>
            <w:shd w:val="clear" w:color="auto" w:fill="D9D9D9"/>
          </w:tcPr>
          <w:p>
            <w:pPr>
              <w:spacing w:after="0"/>
              <w:rPr>
                <w:sz w:val="18"/>
                <w:szCs w:val="18"/>
                <w:color w:val="auto"/>
              </w:rPr>
            </w:pPr>
          </w:p>
        </w:tc>
        <w:tc>
          <w:tcPr>
            <w:tcW w:w="1720" w:type="dxa"/>
            <w:vAlign w:val="bottom"/>
            <w:tcBorders>
              <w:top w:val="single" w:sz="8" w:color="D9D9D9"/>
              <w:right w:val="single" w:sz="8" w:color="auto"/>
            </w:tcBorders>
            <w:gridSpan w:val="2"/>
            <w:vMerge w:val="restart"/>
            <w:shd w:val="clear" w:color="auto" w:fill="D9D9D9"/>
          </w:tcPr>
          <w:p>
            <w:pPr>
              <w:jc w:val="center"/>
              <w:ind w:right="300"/>
              <w:spacing w:after="0"/>
              <w:rPr>
                <w:sz w:val="20"/>
                <w:szCs w:val="20"/>
                <w:color w:val="auto"/>
              </w:rPr>
            </w:pPr>
            <w:r>
              <w:rPr>
                <w:rFonts w:ascii="Arial" w:cs="Arial" w:eastAsia="Arial" w:hAnsi="Arial"/>
                <w:sz w:val="20"/>
                <w:szCs w:val="20"/>
                <w:b w:val="1"/>
                <w:bCs w:val="1"/>
                <w:color w:val="auto"/>
                <w:w w:val="89"/>
              </w:rPr>
              <w:t>Facility Fee Rate</w:t>
            </w:r>
          </w:p>
        </w:tc>
        <w:tc>
          <w:tcPr>
            <w:tcW w:w="100" w:type="dxa"/>
            <w:vAlign w:val="bottom"/>
            <w:tcBorders>
              <w:top w:val="single" w:sz="8" w:color="D9D9D9"/>
            </w:tcBorders>
            <w:shd w:val="clear" w:color="auto" w:fill="D9D9D9"/>
          </w:tcPr>
          <w:p>
            <w:pPr>
              <w:spacing w:after="0"/>
              <w:rPr>
                <w:sz w:val="18"/>
                <w:szCs w:val="18"/>
                <w:color w:val="auto"/>
              </w:rPr>
            </w:pPr>
          </w:p>
        </w:tc>
        <w:tc>
          <w:tcPr>
            <w:tcW w:w="220" w:type="dxa"/>
            <w:vAlign w:val="bottom"/>
            <w:tcBorders>
              <w:top w:val="single" w:sz="8" w:color="D9D9D9"/>
            </w:tcBorders>
            <w:shd w:val="clear" w:color="auto" w:fill="D9D9D9"/>
          </w:tcPr>
          <w:p>
            <w:pPr>
              <w:spacing w:after="0"/>
              <w:rPr>
                <w:sz w:val="18"/>
                <w:szCs w:val="18"/>
                <w:color w:val="auto"/>
              </w:rPr>
            </w:pPr>
          </w:p>
        </w:tc>
        <w:tc>
          <w:tcPr>
            <w:tcW w:w="1920" w:type="dxa"/>
            <w:vAlign w:val="bottom"/>
            <w:tcBorders>
              <w:top w:val="single" w:sz="8" w:color="auto"/>
              <w:right w:val="single" w:sz="8" w:color="auto"/>
            </w:tcBorders>
            <w:gridSpan w:val="3"/>
            <w:vMerge w:val="continue"/>
            <w:shd w:val="clear" w:color="auto" w:fill="D9D9D9"/>
          </w:tcPr>
          <w:p>
            <w:pPr>
              <w:spacing w:after="0"/>
              <w:rPr>
                <w:sz w:val="18"/>
                <w:szCs w:val="18"/>
                <w:color w:val="auto"/>
              </w:rPr>
            </w:pPr>
          </w:p>
        </w:tc>
        <w:tc>
          <w:tcPr>
            <w:tcW w:w="100" w:type="dxa"/>
            <w:vAlign w:val="bottom"/>
            <w:tcBorders>
              <w:top w:val="single" w:sz="8" w:color="D9D9D9"/>
            </w:tcBorders>
            <w:shd w:val="clear" w:color="auto" w:fill="D9D9D9"/>
          </w:tcPr>
          <w:p>
            <w:pPr>
              <w:spacing w:after="0"/>
              <w:rPr>
                <w:sz w:val="18"/>
                <w:szCs w:val="18"/>
                <w:color w:val="auto"/>
              </w:rPr>
            </w:pPr>
          </w:p>
        </w:tc>
        <w:tc>
          <w:tcPr>
            <w:tcW w:w="1700" w:type="dxa"/>
            <w:vAlign w:val="bottom"/>
            <w:tcBorders>
              <w:top w:val="single" w:sz="8" w:color="auto"/>
              <w:right w:val="single" w:sz="8" w:color="auto"/>
            </w:tcBorders>
            <w:gridSpan w:val="4"/>
            <w:vMerge w:val="continue"/>
            <w:shd w:val="clear" w:color="auto" w:fill="D9D9D9"/>
          </w:tcPr>
          <w:p>
            <w:pPr>
              <w:spacing w:after="0"/>
              <w:rPr>
                <w:sz w:val="18"/>
                <w:szCs w:val="18"/>
                <w:color w:val="auto"/>
              </w:rPr>
            </w:pPr>
          </w:p>
        </w:tc>
        <w:tc>
          <w:tcPr>
            <w:tcW w:w="180" w:type="dxa"/>
            <w:vAlign w:val="bottom"/>
            <w:tcBorders>
              <w:top w:val="single" w:sz="8" w:color="D9D9D9"/>
            </w:tcBorders>
            <w:shd w:val="clear" w:color="auto" w:fill="D9D9D9"/>
          </w:tcPr>
          <w:p>
            <w:pPr>
              <w:spacing w:after="0"/>
              <w:rPr>
                <w:sz w:val="18"/>
                <w:szCs w:val="18"/>
                <w:color w:val="auto"/>
              </w:rPr>
            </w:pPr>
          </w:p>
        </w:tc>
        <w:tc>
          <w:tcPr>
            <w:tcW w:w="140" w:type="dxa"/>
            <w:vAlign w:val="bottom"/>
            <w:tcBorders>
              <w:top w:val="single" w:sz="8" w:color="auto"/>
            </w:tcBorders>
            <w:shd w:val="clear" w:color="auto" w:fill="D9D9D9"/>
          </w:tcPr>
          <w:p>
            <w:pPr>
              <w:spacing w:after="0"/>
              <w:rPr>
                <w:sz w:val="18"/>
                <w:szCs w:val="18"/>
                <w:color w:val="auto"/>
              </w:rPr>
            </w:pPr>
          </w:p>
        </w:tc>
        <w:tc>
          <w:tcPr>
            <w:tcW w:w="1300" w:type="dxa"/>
            <w:vAlign w:val="bottom"/>
            <w:tcBorders>
              <w:top w:val="single" w:sz="8" w:color="auto"/>
            </w:tcBorders>
            <w:gridSpan w:val="4"/>
            <w:shd w:val="clear" w:color="auto" w:fill="D9D9D9"/>
          </w:tcPr>
          <w:p>
            <w:pPr>
              <w:jc w:val="center"/>
              <w:ind w:right="120"/>
              <w:spacing w:after="0" w:line="209" w:lineRule="exact"/>
              <w:rPr>
                <w:sz w:val="20"/>
                <w:szCs w:val="20"/>
                <w:color w:val="auto"/>
              </w:rPr>
            </w:pPr>
            <w:r>
              <w:rPr>
                <w:rFonts w:ascii="Arial" w:cs="Arial" w:eastAsia="Arial" w:hAnsi="Arial"/>
                <w:sz w:val="20"/>
                <w:szCs w:val="20"/>
                <w:b w:val="1"/>
                <w:bCs w:val="1"/>
                <w:color w:val="auto"/>
                <w:w w:val="90"/>
              </w:rPr>
              <w:t>Eurocurrency</w:t>
            </w:r>
          </w:p>
        </w:tc>
        <w:tc>
          <w:tcPr>
            <w:tcW w:w="180" w:type="dxa"/>
            <w:vAlign w:val="bottom"/>
            <w:tcBorders>
              <w:top w:val="single" w:sz="8" w:color="D9D9D9"/>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left w:val="single" w:sz="8" w:color="auto"/>
            </w:tcBorders>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1720" w:type="dxa"/>
            <w:vAlign w:val="bottom"/>
            <w:tcBorders>
              <w:right w:val="single" w:sz="8" w:color="auto"/>
            </w:tcBorders>
            <w:gridSpan w:val="2"/>
            <w:vMerge w:val="continue"/>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8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Borders>
              <w:left w:val="single" w:sz="8" w:color="auto"/>
              <w:bottom w:val="single" w:sz="8" w:color="auto"/>
            </w:tcBorders>
            <w:shd w:val="clear" w:color="auto" w:fill="D9D9D9"/>
          </w:tcPr>
          <w:p>
            <w:pPr>
              <w:spacing w:after="0"/>
              <w:rPr>
                <w:sz w:val="24"/>
                <w:szCs w:val="24"/>
                <w:color w:val="auto"/>
              </w:rPr>
            </w:pPr>
          </w:p>
        </w:tc>
        <w:tc>
          <w:tcPr>
            <w:tcW w:w="1860" w:type="dxa"/>
            <w:vAlign w:val="bottom"/>
            <w:tcBorders>
              <w:bottom w:val="single" w:sz="8" w:color="auto"/>
            </w:tcBorders>
            <w:gridSpan w:val="3"/>
            <w:shd w:val="clear" w:color="auto" w:fill="D9D9D9"/>
          </w:tcPr>
          <w:p>
            <w:pPr>
              <w:jc w:val="center"/>
              <w:spacing w:after="0" w:line="209" w:lineRule="exact"/>
              <w:rPr>
                <w:sz w:val="20"/>
                <w:szCs w:val="20"/>
                <w:color w:val="auto"/>
              </w:rPr>
            </w:pPr>
            <w:r>
              <w:rPr>
                <w:rFonts w:ascii="Arial" w:cs="Arial" w:eastAsia="Arial" w:hAnsi="Arial"/>
                <w:sz w:val="20"/>
                <w:szCs w:val="20"/>
                <w:b w:val="1"/>
                <w:bCs w:val="1"/>
                <w:color w:val="auto"/>
                <w:w w:val="89"/>
              </w:rPr>
              <w:t>Company’s Rating</w:t>
            </w:r>
          </w:p>
        </w:tc>
        <w:tc>
          <w:tcPr>
            <w:tcW w:w="760" w:type="dxa"/>
            <w:vAlign w:val="bottom"/>
            <w:tcBorders>
              <w:bottom w:val="single" w:sz="8" w:color="auto"/>
              <w:right w:val="single" w:sz="8" w:color="auto"/>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spacing w:after="0"/>
              <w:rPr>
                <w:sz w:val="24"/>
                <w:szCs w:val="24"/>
                <w:color w:val="auto"/>
              </w:rPr>
            </w:pPr>
          </w:p>
        </w:tc>
        <w:tc>
          <w:tcPr>
            <w:tcW w:w="1720" w:type="dxa"/>
            <w:vAlign w:val="bottom"/>
            <w:tcBorders>
              <w:bottom w:val="single" w:sz="8" w:color="auto"/>
              <w:right w:val="single" w:sz="8" w:color="auto"/>
            </w:tcBorders>
            <w:gridSpan w:val="2"/>
            <w:vMerge w:val="continue"/>
            <w:shd w:val="clear" w:color="auto" w:fill="D9D9D9"/>
          </w:tcPr>
          <w:p>
            <w:pPr>
              <w:spacing w:after="0"/>
              <w:rPr>
                <w:sz w:val="24"/>
                <w:szCs w:val="24"/>
                <w:color w:val="auto"/>
              </w:rPr>
            </w:pPr>
          </w:p>
        </w:tc>
        <w:tc>
          <w:tcPr>
            <w:tcW w:w="2240" w:type="dxa"/>
            <w:vAlign w:val="bottom"/>
            <w:tcBorders>
              <w:bottom w:val="single" w:sz="8" w:color="auto"/>
              <w:right w:val="single" w:sz="8" w:color="auto"/>
            </w:tcBorders>
            <w:gridSpan w:val="5"/>
            <w:shd w:val="clear" w:color="auto" w:fill="D9D9D9"/>
          </w:tcPr>
          <w:p>
            <w:pPr>
              <w:jc w:val="center"/>
              <w:spacing w:after="0" w:line="209" w:lineRule="exact"/>
              <w:rPr>
                <w:sz w:val="20"/>
                <w:szCs w:val="20"/>
                <w:color w:val="auto"/>
              </w:rPr>
            </w:pPr>
            <w:r>
              <w:rPr>
                <w:rFonts w:ascii="Arial" w:cs="Arial" w:eastAsia="Arial" w:hAnsi="Arial"/>
                <w:sz w:val="20"/>
                <w:szCs w:val="20"/>
                <w:b w:val="1"/>
                <w:bCs w:val="1"/>
                <w:color w:val="auto"/>
                <w:w w:val="89"/>
              </w:rPr>
              <w:t>for Eurocurrency Loans</w:t>
            </w:r>
          </w:p>
        </w:tc>
        <w:tc>
          <w:tcPr>
            <w:tcW w:w="100" w:type="dxa"/>
            <w:vAlign w:val="bottom"/>
            <w:tcBorders>
              <w:bottom w:val="single" w:sz="8" w:color="auto"/>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540" w:type="dxa"/>
            <w:vAlign w:val="bottom"/>
            <w:tcBorders>
              <w:bottom w:val="single" w:sz="8" w:color="auto"/>
              <w:right w:val="single" w:sz="8" w:color="auto"/>
            </w:tcBorders>
            <w:gridSpan w:val="3"/>
            <w:shd w:val="clear" w:color="auto" w:fill="D9D9D9"/>
          </w:tcPr>
          <w:p>
            <w:pPr>
              <w:jc w:val="center"/>
              <w:ind w:right="260"/>
              <w:spacing w:after="0" w:line="209" w:lineRule="exact"/>
              <w:rPr>
                <w:sz w:val="20"/>
                <w:szCs w:val="20"/>
                <w:color w:val="auto"/>
              </w:rPr>
            </w:pPr>
            <w:r>
              <w:rPr>
                <w:rFonts w:ascii="Arial" w:cs="Arial" w:eastAsia="Arial" w:hAnsi="Arial"/>
                <w:sz w:val="20"/>
                <w:szCs w:val="20"/>
                <w:b w:val="1"/>
                <w:bCs w:val="1"/>
                <w:color w:val="auto"/>
                <w:w w:val="91"/>
              </w:rPr>
              <w:t>for ABR Loans</w:t>
            </w:r>
          </w:p>
        </w:tc>
        <w:tc>
          <w:tcPr>
            <w:tcW w:w="180" w:type="dxa"/>
            <w:vAlign w:val="bottom"/>
            <w:tcBorders>
              <w:bottom w:val="single" w:sz="8" w:color="auto"/>
            </w:tcBorders>
            <w:shd w:val="clear" w:color="auto" w:fill="D9D9D9"/>
          </w:tcPr>
          <w:p>
            <w:pPr>
              <w:spacing w:after="0"/>
              <w:rPr>
                <w:sz w:val="24"/>
                <w:szCs w:val="24"/>
                <w:color w:val="auto"/>
              </w:rPr>
            </w:pPr>
          </w:p>
        </w:tc>
        <w:tc>
          <w:tcPr>
            <w:tcW w:w="140" w:type="dxa"/>
            <w:vAlign w:val="bottom"/>
            <w:tcBorders>
              <w:bottom w:val="single" w:sz="8" w:color="auto"/>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spacing w:after="0"/>
              <w:rPr>
                <w:sz w:val="24"/>
                <w:szCs w:val="24"/>
                <w:color w:val="auto"/>
              </w:rPr>
            </w:pPr>
          </w:p>
        </w:tc>
        <w:tc>
          <w:tcPr>
            <w:tcW w:w="1160" w:type="dxa"/>
            <w:vAlign w:val="bottom"/>
            <w:tcBorders>
              <w:bottom w:val="single" w:sz="8" w:color="auto"/>
              <w:right w:val="single" w:sz="8" w:color="auto"/>
            </w:tcBorders>
            <w:gridSpan w:val="4"/>
            <w:shd w:val="clear" w:color="auto" w:fill="D9D9D9"/>
          </w:tcPr>
          <w:p>
            <w:pPr>
              <w:jc w:val="center"/>
              <w:ind w:right="640"/>
              <w:spacing w:after="0" w:line="209" w:lineRule="exact"/>
              <w:rPr>
                <w:sz w:val="20"/>
                <w:szCs w:val="20"/>
                <w:color w:val="auto"/>
              </w:rPr>
            </w:pPr>
            <w:r>
              <w:rPr>
                <w:rFonts w:ascii="Arial" w:cs="Arial" w:eastAsia="Arial" w:hAnsi="Arial"/>
                <w:sz w:val="20"/>
                <w:szCs w:val="20"/>
                <w:b w:val="1"/>
                <w:bCs w:val="1"/>
                <w:color w:val="auto"/>
                <w:w w:val="88"/>
              </w:rPr>
              <w:t>Loans</w:t>
            </w:r>
          </w:p>
        </w:tc>
        <w:tc>
          <w:tcPr>
            <w:tcW w:w="0" w:type="dxa"/>
            <w:vAlign w:val="bottom"/>
          </w:tcPr>
          <w:p>
            <w:pPr>
              <w:spacing w:after="0"/>
              <w:rPr>
                <w:sz w:val="1"/>
                <w:szCs w:val="1"/>
                <w:color w:val="auto"/>
              </w:rPr>
            </w:pPr>
          </w:p>
        </w:tc>
      </w:tr>
      <w:tr>
        <w:trPr>
          <w:trHeight w:val="268"/>
        </w:trPr>
        <w:tc>
          <w:tcPr>
            <w:tcW w:w="78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20"/>
                <w:szCs w:val="20"/>
                <w:color w:val="auto"/>
              </w:rPr>
              <w:t>≥ A/A2/A</w:t>
            </w:r>
          </w:p>
        </w:tc>
        <w:tc>
          <w:tcPr>
            <w:tcW w:w="1720" w:type="dxa"/>
            <w:vAlign w:val="bottom"/>
            <w:gridSpan w:val="2"/>
          </w:tcPr>
          <w:p>
            <w:pPr>
              <w:jc w:val="center"/>
              <w:ind w:left="221"/>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auto"/>
            </w:tcBorders>
          </w:tcPr>
          <w:p>
            <w:pPr>
              <w:spacing w:after="0"/>
              <w:rPr>
                <w:sz w:val="23"/>
                <w:szCs w:val="23"/>
                <w:color w:val="auto"/>
              </w:rPr>
            </w:pPr>
          </w:p>
        </w:tc>
        <w:tc>
          <w:tcPr>
            <w:tcW w:w="1920" w:type="dxa"/>
            <w:vAlign w:val="bottom"/>
            <w:gridSpan w:val="3"/>
          </w:tcPr>
          <w:p>
            <w:pPr>
              <w:jc w:val="center"/>
              <w:ind w:left="2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540" w:type="dxa"/>
            <w:vAlign w:val="bottom"/>
            <w:gridSpan w:val="3"/>
          </w:tcPr>
          <w:p>
            <w:pPr>
              <w:jc w:val="center"/>
              <w:ind w:left="1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160" w:type="dxa"/>
            <w:vAlign w:val="bottom"/>
            <w:gridSpan w:val="4"/>
          </w:tcPr>
          <w:p>
            <w:pPr>
              <w:jc w:val="center"/>
              <w:ind w:left="5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78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20"/>
                <w:szCs w:val="20"/>
                <w:color w:val="auto"/>
              </w:rPr>
              <w:t>A-/A3/A-</w:t>
            </w:r>
          </w:p>
        </w:tc>
        <w:tc>
          <w:tcPr>
            <w:tcW w:w="1720" w:type="dxa"/>
            <w:vAlign w:val="bottom"/>
            <w:gridSpan w:val="2"/>
          </w:tcPr>
          <w:p>
            <w:pPr>
              <w:jc w:val="center"/>
              <w:ind w:left="221"/>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auto"/>
            </w:tcBorders>
          </w:tcPr>
          <w:p>
            <w:pPr>
              <w:spacing w:after="0"/>
              <w:rPr>
                <w:sz w:val="23"/>
                <w:szCs w:val="23"/>
                <w:color w:val="auto"/>
              </w:rPr>
            </w:pPr>
          </w:p>
        </w:tc>
        <w:tc>
          <w:tcPr>
            <w:tcW w:w="1920" w:type="dxa"/>
            <w:vAlign w:val="bottom"/>
            <w:gridSpan w:val="3"/>
          </w:tcPr>
          <w:p>
            <w:pPr>
              <w:jc w:val="center"/>
              <w:ind w:left="2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540" w:type="dxa"/>
            <w:vAlign w:val="bottom"/>
            <w:gridSpan w:val="3"/>
          </w:tcPr>
          <w:p>
            <w:pPr>
              <w:jc w:val="center"/>
              <w:ind w:left="1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160" w:type="dxa"/>
            <w:vAlign w:val="bottom"/>
            <w:gridSpan w:val="4"/>
          </w:tcPr>
          <w:p>
            <w:pPr>
              <w:jc w:val="center"/>
              <w:ind w:left="5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78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tcBorders>
          </w:tcPr>
          <w:p>
            <w:pPr>
              <w:spacing w:after="0"/>
              <w:rPr>
                <w:sz w:val="23"/>
                <w:szCs w:val="23"/>
                <w:color w:val="auto"/>
              </w:rPr>
            </w:pPr>
          </w:p>
        </w:tc>
        <w:tc>
          <w:tcPr>
            <w:tcW w:w="2620" w:type="dxa"/>
            <w:vAlign w:val="bottom"/>
            <w:tcBorders>
              <w:right w:val="single" w:sz="8" w:color="auto"/>
            </w:tcBorders>
            <w:gridSpan w:val="4"/>
          </w:tcPr>
          <w:p>
            <w:pPr>
              <w:jc w:val="center"/>
              <w:ind w:right="740"/>
              <w:spacing w:after="0"/>
              <w:rPr>
                <w:sz w:val="20"/>
                <w:szCs w:val="20"/>
                <w:color w:val="auto"/>
              </w:rPr>
            </w:pPr>
            <w:r>
              <w:rPr>
                <w:rFonts w:ascii="Arial" w:cs="Arial" w:eastAsia="Arial" w:hAnsi="Arial"/>
                <w:sz w:val="20"/>
                <w:szCs w:val="20"/>
                <w:color w:val="auto"/>
                <w:w w:val="93"/>
              </w:rPr>
              <w:t>BBB+ / Baa1 / BBB+</w:t>
            </w:r>
          </w:p>
        </w:tc>
        <w:tc>
          <w:tcPr>
            <w:tcW w:w="1720" w:type="dxa"/>
            <w:vAlign w:val="bottom"/>
            <w:gridSpan w:val="2"/>
          </w:tcPr>
          <w:p>
            <w:pPr>
              <w:jc w:val="center"/>
              <w:ind w:left="221"/>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auto"/>
            </w:tcBorders>
          </w:tcPr>
          <w:p>
            <w:pPr>
              <w:spacing w:after="0"/>
              <w:rPr>
                <w:sz w:val="23"/>
                <w:szCs w:val="23"/>
                <w:color w:val="auto"/>
              </w:rPr>
            </w:pPr>
          </w:p>
        </w:tc>
        <w:tc>
          <w:tcPr>
            <w:tcW w:w="1920" w:type="dxa"/>
            <w:vAlign w:val="bottom"/>
            <w:gridSpan w:val="3"/>
          </w:tcPr>
          <w:p>
            <w:pPr>
              <w:jc w:val="center"/>
              <w:ind w:left="2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540" w:type="dxa"/>
            <w:vAlign w:val="bottom"/>
            <w:gridSpan w:val="3"/>
          </w:tcPr>
          <w:p>
            <w:pPr>
              <w:jc w:val="center"/>
              <w:ind w:left="1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160" w:type="dxa"/>
            <w:vAlign w:val="bottom"/>
            <w:gridSpan w:val="4"/>
          </w:tcPr>
          <w:p>
            <w:pPr>
              <w:jc w:val="center"/>
              <w:ind w:left="5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78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tcBorders>
              <w:right w:val="single" w:sz="8" w:color="auto"/>
            </w:tcBorders>
            <w:gridSpan w:val="3"/>
          </w:tcPr>
          <w:p>
            <w:pPr>
              <w:jc w:val="center"/>
              <w:ind w:right="900"/>
              <w:spacing w:after="0"/>
              <w:rPr>
                <w:sz w:val="20"/>
                <w:szCs w:val="20"/>
                <w:color w:val="auto"/>
              </w:rPr>
            </w:pPr>
            <w:r>
              <w:rPr>
                <w:rFonts w:ascii="Arial" w:cs="Arial" w:eastAsia="Arial" w:hAnsi="Arial"/>
                <w:sz w:val="20"/>
                <w:szCs w:val="20"/>
                <w:color w:val="auto"/>
                <w:w w:val="93"/>
              </w:rPr>
              <w:t>BBB / Baa2 / BBB</w:t>
            </w:r>
          </w:p>
        </w:tc>
        <w:tc>
          <w:tcPr>
            <w:tcW w:w="1720" w:type="dxa"/>
            <w:vAlign w:val="bottom"/>
            <w:gridSpan w:val="2"/>
          </w:tcPr>
          <w:p>
            <w:pPr>
              <w:jc w:val="center"/>
              <w:ind w:left="221"/>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auto"/>
            </w:tcBorders>
          </w:tcPr>
          <w:p>
            <w:pPr>
              <w:spacing w:after="0"/>
              <w:rPr>
                <w:sz w:val="23"/>
                <w:szCs w:val="23"/>
                <w:color w:val="auto"/>
              </w:rPr>
            </w:pPr>
          </w:p>
        </w:tc>
        <w:tc>
          <w:tcPr>
            <w:tcW w:w="1920" w:type="dxa"/>
            <w:vAlign w:val="bottom"/>
            <w:gridSpan w:val="3"/>
          </w:tcPr>
          <w:p>
            <w:pPr>
              <w:jc w:val="center"/>
              <w:ind w:left="2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540" w:type="dxa"/>
            <w:vAlign w:val="bottom"/>
            <w:gridSpan w:val="3"/>
          </w:tcPr>
          <w:p>
            <w:pPr>
              <w:jc w:val="center"/>
              <w:ind w:left="1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160" w:type="dxa"/>
            <w:vAlign w:val="bottom"/>
            <w:gridSpan w:val="4"/>
          </w:tcPr>
          <w:p>
            <w:pPr>
              <w:jc w:val="center"/>
              <w:ind w:left="5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78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tcBorders>
          </w:tcPr>
          <w:p>
            <w:pPr>
              <w:spacing w:after="0"/>
              <w:rPr>
                <w:sz w:val="23"/>
                <w:szCs w:val="23"/>
                <w:color w:val="auto"/>
              </w:rPr>
            </w:pPr>
          </w:p>
        </w:tc>
        <w:tc>
          <w:tcPr>
            <w:tcW w:w="2620" w:type="dxa"/>
            <w:vAlign w:val="bottom"/>
            <w:tcBorders>
              <w:right w:val="single" w:sz="8" w:color="auto"/>
            </w:tcBorders>
            <w:gridSpan w:val="4"/>
          </w:tcPr>
          <w:p>
            <w:pPr>
              <w:jc w:val="center"/>
              <w:ind w:right="740"/>
              <w:spacing w:after="0"/>
              <w:rPr>
                <w:sz w:val="20"/>
                <w:szCs w:val="20"/>
                <w:color w:val="auto"/>
              </w:rPr>
            </w:pPr>
            <w:r>
              <w:rPr>
                <w:rFonts w:ascii="Arial" w:cs="Arial" w:eastAsia="Arial" w:hAnsi="Arial"/>
                <w:sz w:val="20"/>
                <w:szCs w:val="20"/>
                <w:color w:val="auto"/>
                <w:w w:val="94"/>
              </w:rPr>
              <w:t>BBB- / Baa3 / BBB-</w:t>
            </w:r>
          </w:p>
        </w:tc>
        <w:tc>
          <w:tcPr>
            <w:tcW w:w="1720" w:type="dxa"/>
            <w:vAlign w:val="bottom"/>
            <w:gridSpan w:val="2"/>
          </w:tcPr>
          <w:p>
            <w:pPr>
              <w:jc w:val="center"/>
              <w:ind w:left="221"/>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auto"/>
            </w:tcBorders>
          </w:tcPr>
          <w:p>
            <w:pPr>
              <w:spacing w:after="0"/>
              <w:rPr>
                <w:sz w:val="23"/>
                <w:szCs w:val="23"/>
                <w:color w:val="auto"/>
              </w:rPr>
            </w:pPr>
          </w:p>
        </w:tc>
        <w:tc>
          <w:tcPr>
            <w:tcW w:w="1920" w:type="dxa"/>
            <w:vAlign w:val="bottom"/>
            <w:gridSpan w:val="3"/>
          </w:tcPr>
          <w:p>
            <w:pPr>
              <w:jc w:val="center"/>
              <w:ind w:left="2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540" w:type="dxa"/>
            <w:vAlign w:val="bottom"/>
            <w:gridSpan w:val="3"/>
          </w:tcPr>
          <w:p>
            <w:pPr>
              <w:jc w:val="center"/>
              <w:ind w:left="1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160" w:type="dxa"/>
            <w:vAlign w:val="bottom"/>
            <w:gridSpan w:val="4"/>
          </w:tcPr>
          <w:p>
            <w:pPr>
              <w:jc w:val="center"/>
              <w:ind w:left="5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78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78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Borders>
              <w:right w:val="single" w:sz="8" w:color="auto"/>
            </w:tcBorders>
            <w:gridSpan w:val="3"/>
          </w:tcPr>
          <w:p>
            <w:pPr>
              <w:jc w:val="center"/>
              <w:ind w:right="900"/>
              <w:spacing w:after="0"/>
              <w:rPr>
                <w:sz w:val="20"/>
                <w:szCs w:val="20"/>
                <w:color w:val="auto"/>
              </w:rPr>
            </w:pPr>
            <w:r>
              <w:rPr>
                <w:rFonts w:ascii="Arial" w:cs="Arial" w:eastAsia="Arial" w:hAnsi="Arial"/>
                <w:sz w:val="20"/>
                <w:szCs w:val="20"/>
                <w:color w:val="auto"/>
                <w:w w:val="94"/>
              </w:rPr>
              <w:t xml:space="preserve">BB+ / Ba1 </w:t>
            </w:r>
            <w:r>
              <w:rPr>
                <w:rFonts w:ascii="Arial" w:cs="Arial" w:eastAsia="Arial" w:hAnsi="Arial"/>
                <w:sz w:val="20"/>
                <w:szCs w:val="20"/>
                <w:b w:val="1"/>
                <w:bCs w:val="1"/>
                <w:color w:val="auto"/>
                <w:w w:val="94"/>
              </w:rPr>
              <w:t>/</w:t>
            </w:r>
            <w:r>
              <w:rPr>
                <w:rFonts w:ascii="Arial" w:cs="Arial" w:eastAsia="Arial" w:hAnsi="Arial"/>
                <w:sz w:val="20"/>
                <w:szCs w:val="20"/>
                <w:color w:val="auto"/>
                <w:w w:val="94"/>
              </w:rPr>
              <w:t xml:space="preserve"> BB+</w:t>
            </w:r>
          </w:p>
        </w:tc>
        <w:tc>
          <w:tcPr>
            <w:tcW w:w="1720" w:type="dxa"/>
            <w:vAlign w:val="bottom"/>
            <w:gridSpan w:val="2"/>
          </w:tcPr>
          <w:p>
            <w:pPr>
              <w:jc w:val="center"/>
              <w:ind w:left="221"/>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auto"/>
            </w:tcBorders>
          </w:tcPr>
          <w:p>
            <w:pPr>
              <w:spacing w:after="0"/>
              <w:rPr>
                <w:sz w:val="24"/>
                <w:szCs w:val="24"/>
                <w:color w:val="auto"/>
              </w:rPr>
            </w:pPr>
          </w:p>
        </w:tc>
        <w:tc>
          <w:tcPr>
            <w:tcW w:w="1920" w:type="dxa"/>
            <w:vAlign w:val="bottom"/>
            <w:gridSpan w:val="3"/>
          </w:tcPr>
          <w:p>
            <w:pPr>
              <w:jc w:val="center"/>
              <w:ind w:left="2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40" w:type="dxa"/>
            <w:vAlign w:val="bottom"/>
            <w:gridSpan w:val="3"/>
          </w:tcPr>
          <w:p>
            <w:pPr>
              <w:jc w:val="center"/>
              <w:ind w:left="1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gridSpan w:val="4"/>
          </w:tcPr>
          <w:p>
            <w:pPr>
              <w:jc w:val="center"/>
              <w:ind w:left="5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78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20"/>
                <w:szCs w:val="20"/>
                <w:color w:val="auto"/>
                <w:w w:val="95"/>
              </w:rPr>
              <w:t>≤ BB / Ba2 / BB</w:t>
            </w:r>
          </w:p>
        </w:tc>
        <w:tc>
          <w:tcPr>
            <w:tcW w:w="1720" w:type="dxa"/>
            <w:vAlign w:val="bottom"/>
            <w:gridSpan w:val="2"/>
          </w:tcPr>
          <w:p>
            <w:pPr>
              <w:jc w:val="center"/>
              <w:ind w:left="221"/>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auto"/>
            </w:tcBorders>
          </w:tcPr>
          <w:p>
            <w:pPr>
              <w:spacing w:after="0"/>
              <w:rPr>
                <w:sz w:val="23"/>
                <w:szCs w:val="23"/>
                <w:color w:val="auto"/>
              </w:rPr>
            </w:pPr>
          </w:p>
        </w:tc>
        <w:tc>
          <w:tcPr>
            <w:tcW w:w="1920" w:type="dxa"/>
            <w:vAlign w:val="bottom"/>
            <w:gridSpan w:val="3"/>
          </w:tcPr>
          <w:p>
            <w:pPr>
              <w:jc w:val="center"/>
              <w:ind w:left="2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540" w:type="dxa"/>
            <w:vAlign w:val="bottom"/>
            <w:gridSpan w:val="3"/>
          </w:tcPr>
          <w:p>
            <w:pPr>
              <w:jc w:val="center"/>
              <w:ind w:left="1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160" w:type="dxa"/>
            <w:vAlign w:val="bottom"/>
            <w:gridSpan w:val="4"/>
          </w:tcPr>
          <w:p>
            <w:pPr>
              <w:jc w:val="center"/>
              <w:ind w:left="5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78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3"/>
        </w:trPr>
        <w:tc>
          <w:tcPr>
            <w:tcW w:w="3400" w:type="dxa"/>
            <w:vAlign w:val="bottom"/>
            <w:gridSpan w:val="5"/>
          </w:tcPr>
          <w:p>
            <w:pPr>
              <w:spacing w:after="0"/>
              <w:rPr>
                <w:sz w:val="20"/>
                <w:szCs w:val="20"/>
                <w:color w:val="auto"/>
              </w:rPr>
            </w:pPr>
            <w:r>
              <w:rPr>
                <w:rFonts w:ascii="Arial" w:cs="Arial" w:eastAsia="Arial" w:hAnsi="Arial"/>
                <w:sz w:val="20"/>
                <w:szCs w:val="20"/>
                <w:b w:val="1"/>
                <w:bCs w:val="1"/>
                <w:color w:val="auto"/>
              </w:rPr>
              <w:t>PART B</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40575" cy="2168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216852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5"/>
            <w:vMerge w:val="restart"/>
            <w:shd w:val="clear" w:color="auto" w:fill="D9D9D9"/>
          </w:tcPr>
          <w:p>
            <w:pPr>
              <w:jc w:val="center"/>
              <w:ind w:right="280"/>
              <w:spacing w:after="0"/>
              <w:rPr>
                <w:sz w:val="20"/>
                <w:szCs w:val="20"/>
                <w:color w:val="auto"/>
              </w:rPr>
            </w:pPr>
            <w:r>
              <w:rPr>
                <w:rFonts w:ascii="Arial" w:cs="Arial" w:eastAsia="Arial" w:hAnsi="Arial"/>
                <w:sz w:val="20"/>
                <w:szCs w:val="20"/>
                <w:b w:val="1"/>
                <w:bCs w:val="1"/>
                <w:color w:val="auto"/>
                <w:w w:val="91"/>
              </w:rPr>
              <w:t>S&amp;P / Moody’s / Fitch</w:t>
            </w:r>
          </w:p>
        </w:tc>
        <w:tc>
          <w:tcPr>
            <w:tcW w:w="142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2020" w:type="dxa"/>
            <w:vAlign w:val="bottom"/>
            <w:gridSpan w:val="3"/>
            <w:vMerge w:val="restart"/>
            <w:shd w:val="clear" w:color="auto" w:fill="D9D9D9"/>
          </w:tcPr>
          <w:p>
            <w:pPr>
              <w:jc w:val="center"/>
              <w:ind w:right="420"/>
              <w:spacing w:after="0"/>
              <w:rPr>
                <w:sz w:val="20"/>
                <w:szCs w:val="20"/>
                <w:color w:val="auto"/>
              </w:rPr>
            </w:pPr>
            <w:r>
              <w:rPr>
                <w:rFonts w:ascii="Arial" w:cs="Arial" w:eastAsia="Arial" w:hAnsi="Arial"/>
                <w:sz w:val="20"/>
                <w:szCs w:val="20"/>
                <w:b w:val="1"/>
                <w:bCs w:val="1"/>
                <w:color w:val="auto"/>
                <w:w w:val="92"/>
              </w:rPr>
              <w:t>Applicable Margin</w:t>
            </w:r>
          </w:p>
        </w:tc>
        <w:tc>
          <w:tcPr>
            <w:tcW w:w="1740" w:type="dxa"/>
            <w:vAlign w:val="bottom"/>
            <w:gridSpan w:val="4"/>
            <w:vMerge w:val="restart"/>
            <w:shd w:val="clear" w:color="auto" w:fill="D9D9D9"/>
          </w:tcPr>
          <w:p>
            <w:pPr>
              <w:jc w:val="center"/>
              <w:ind w:right="140"/>
              <w:spacing w:after="0"/>
              <w:rPr>
                <w:sz w:val="20"/>
                <w:szCs w:val="20"/>
                <w:color w:val="auto"/>
              </w:rPr>
            </w:pPr>
            <w:r>
              <w:rPr>
                <w:rFonts w:ascii="Arial" w:cs="Arial" w:eastAsia="Arial" w:hAnsi="Arial"/>
                <w:sz w:val="20"/>
                <w:szCs w:val="20"/>
                <w:b w:val="1"/>
                <w:bCs w:val="1"/>
                <w:color w:val="auto"/>
                <w:w w:val="92"/>
              </w:rPr>
              <w:t>Applicable Margin</w:t>
            </w:r>
          </w:p>
        </w:tc>
        <w:tc>
          <w:tcPr>
            <w:tcW w:w="140" w:type="dxa"/>
            <w:vAlign w:val="bottom"/>
            <w:shd w:val="clear" w:color="auto" w:fill="D9D9D9"/>
          </w:tcPr>
          <w:p>
            <w:pPr>
              <w:spacing w:after="0"/>
              <w:rPr>
                <w:sz w:val="19"/>
                <w:szCs w:val="19"/>
                <w:color w:val="auto"/>
              </w:rPr>
            </w:pPr>
          </w:p>
        </w:tc>
        <w:tc>
          <w:tcPr>
            <w:tcW w:w="1600" w:type="dxa"/>
            <w:vAlign w:val="bottom"/>
            <w:gridSpan w:val="6"/>
            <w:shd w:val="clear" w:color="auto" w:fill="D9D9D9"/>
          </w:tcPr>
          <w:p>
            <w:pPr>
              <w:jc w:val="center"/>
              <w:ind w:right="160"/>
              <w:spacing w:after="0"/>
              <w:rPr>
                <w:sz w:val="20"/>
                <w:szCs w:val="20"/>
                <w:color w:val="auto"/>
              </w:rPr>
            </w:pPr>
            <w:r>
              <w:rPr>
                <w:rFonts w:ascii="Arial" w:cs="Arial" w:eastAsia="Arial" w:hAnsi="Arial"/>
                <w:sz w:val="20"/>
                <w:szCs w:val="20"/>
                <w:b w:val="1"/>
                <w:bCs w:val="1"/>
                <w:color w:val="auto"/>
                <w:w w:val="92"/>
              </w:rPr>
              <w:t>All-in Spread for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D9D9D9"/>
            </w:tcBorders>
            <w:gridSpan w:val="5"/>
            <w:vMerge w:val="continue"/>
            <w:shd w:val="clear" w:color="auto" w:fill="D9D9D9"/>
          </w:tcPr>
          <w:p>
            <w:pPr>
              <w:spacing w:after="0"/>
              <w:rPr>
                <w:sz w:val="18"/>
                <w:szCs w:val="18"/>
                <w:color w:val="auto"/>
              </w:rPr>
            </w:pPr>
          </w:p>
        </w:tc>
        <w:tc>
          <w:tcPr>
            <w:tcW w:w="1620" w:type="dxa"/>
            <w:vAlign w:val="bottom"/>
            <w:tcBorders>
              <w:top w:val="single" w:sz="8" w:color="D9D9D9"/>
            </w:tcBorders>
            <w:gridSpan w:val="2"/>
            <w:vMerge w:val="restart"/>
            <w:shd w:val="clear" w:color="auto" w:fill="D9D9D9"/>
          </w:tcPr>
          <w:p>
            <w:pPr>
              <w:jc w:val="center"/>
              <w:ind w:right="200"/>
              <w:spacing w:after="0"/>
              <w:rPr>
                <w:sz w:val="20"/>
                <w:szCs w:val="20"/>
                <w:color w:val="auto"/>
              </w:rPr>
            </w:pPr>
            <w:r>
              <w:rPr>
                <w:rFonts w:ascii="Arial" w:cs="Arial" w:eastAsia="Arial" w:hAnsi="Arial"/>
                <w:sz w:val="20"/>
                <w:szCs w:val="20"/>
                <w:b w:val="1"/>
                <w:bCs w:val="1"/>
                <w:color w:val="auto"/>
                <w:w w:val="89"/>
              </w:rPr>
              <w:t>Facility Fee Rate</w:t>
            </w:r>
          </w:p>
        </w:tc>
        <w:tc>
          <w:tcPr>
            <w:tcW w:w="200" w:type="dxa"/>
            <w:vAlign w:val="bottom"/>
            <w:tcBorders>
              <w:top w:val="single" w:sz="8" w:color="D9D9D9"/>
            </w:tcBorders>
            <w:shd w:val="clear" w:color="auto" w:fill="D9D9D9"/>
          </w:tcPr>
          <w:p>
            <w:pPr>
              <w:spacing w:after="0"/>
              <w:rPr>
                <w:sz w:val="18"/>
                <w:szCs w:val="18"/>
                <w:color w:val="auto"/>
              </w:rPr>
            </w:pPr>
          </w:p>
        </w:tc>
        <w:tc>
          <w:tcPr>
            <w:tcW w:w="220" w:type="dxa"/>
            <w:vAlign w:val="bottom"/>
            <w:tcBorders>
              <w:top w:val="single" w:sz="8" w:color="D9D9D9"/>
            </w:tcBorders>
            <w:shd w:val="clear" w:color="auto" w:fill="D9D9D9"/>
          </w:tcPr>
          <w:p>
            <w:pPr>
              <w:spacing w:after="0"/>
              <w:rPr>
                <w:sz w:val="18"/>
                <w:szCs w:val="18"/>
                <w:color w:val="auto"/>
              </w:rPr>
            </w:pPr>
          </w:p>
        </w:tc>
        <w:tc>
          <w:tcPr>
            <w:tcW w:w="2020" w:type="dxa"/>
            <w:vAlign w:val="bottom"/>
            <w:tcBorders>
              <w:top w:val="single" w:sz="8" w:color="D9D9D9"/>
            </w:tcBorders>
            <w:gridSpan w:val="3"/>
            <w:vMerge w:val="continue"/>
            <w:shd w:val="clear" w:color="auto" w:fill="D9D9D9"/>
          </w:tcPr>
          <w:p>
            <w:pPr>
              <w:spacing w:after="0"/>
              <w:rPr>
                <w:sz w:val="18"/>
                <w:szCs w:val="18"/>
                <w:color w:val="auto"/>
              </w:rPr>
            </w:pPr>
          </w:p>
        </w:tc>
        <w:tc>
          <w:tcPr>
            <w:tcW w:w="1740" w:type="dxa"/>
            <w:vAlign w:val="bottom"/>
            <w:tcBorders>
              <w:top w:val="single" w:sz="8" w:color="D9D9D9"/>
            </w:tcBorders>
            <w:gridSpan w:val="4"/>
            <w:vMerge w:val="continue"/>
            <w:shd w:val="clear" w:color="auto" w:fill="D9D9D9"/>
          </w:tcPr>
          <w:p>
            <w:pPr>
              <w:spacing w:after="0"/>
              <w:rPr>
                <w:sz w:val="18"/>
                <w:szCs w:val="18"/>
                <w:color w:val="auto"/>
              </w:rPr>
            </w:pPr>
          </w:p>
        </w:tc>
        <w:tc>
          <w:tcPr>
            <w:tcW w:w="140" w:type="dxa"/>
            <w:vAlign w:val="bottom"/>
            <w:tcBorders>
              <w:top w:val="single" w:sz="8" w:color="D9D9D9"/>
            </w:tcBorders>
            <w:shd w:val="clear" w:color="auto" w:fill="D9D9D9"/>
          </w:tcPr>
          <w:p>
            <w:pPr>
              <w:spacing w:after="0"/>
              <w:rPr>
                <w:sz w:val="18"/>
                <w:szCs w:val="18"/>
                <w:color w:val="auto"/>
              </w:rPr>
            </w:pPr>
          </w:p>
        </w:tc>
        <w:tc>
          <w:tcPr>
            <w:tcW w:w="140" w:type="dxa"/>
            <w:vAlign w:val="bottom"/>
            <w:tcBorders>
              <w:top w:val="single" w:sz="8" w:color="auto"/>
            </w:tcBorders>
            <w:shd w:val="clear" w:color="auto" w:fill="D9D9D9"/>
          </w:tcPr>
          <w:p>
            <w:pPr>
              <w:spacing w:after="0"/>
              <w:rPr>
                <w:sz w:val="18"/>
                <w:szCs w:val="18"/>
                <w:color w:val="auto"/>
              </w:rPr>
            </w:pPr>
          </w:p>
        </w:tc>
        <w:tc>
          <w:tcPr>
            <w:tcW w:w="1300" w:type="dxa"/>
            <w:vAlign w:val="bottom"/>
            <w:tcBorders>
              <w:top w:val="single" w:sz="8" w:color="auto"/>
            </w:tcBorders>
            <w:gridSpan w:val="4"/>
            <w:shd w:val="clear" w:color="auto" w:fill="D9D9D9"/>
          </w:tcPr>
          <w:p>
            <w:pPr>
              <w:jc w:val="center"/>
              <w:ind w:right="120"/>
              <w:spacing w:after="0" w:line="209" w:lineRule="exact"/>
              <w:rPr>
                <w:sz w:val="20"/>
                <w:szCs w:val="20"/>
                <w:color w:val="auto"/>
              </w:rPr>
            </w:pPr>
            <w:r>
              <w:rPr>
                <w:rFonts w:ascii="Arial" w:cs="Arial" w:eastAsia="Arial" w:hAnsi="Arial"/>
                <w:sz w:val="20"/>
                <w:szCs w:val="20"/>
                <w:b w:val="1"/>
                <w:bCs w:val="1"/>
                <w:color w:val="auto"/>
                <w:w w:val="90"/>
              </w:rPr>
              <w:t>Eurocurrency</w:t>
            </w:r>
          </w:p>
        </w:tc>
        <w:tc>
          <w:tcPr>
            <w:tcW w:w="160" w:type="dxa"/>
            <w:vAlign w:val="bottom"/>
            <w:tcBorders>
              <w:top w:val="single" w:sz="8" w:color="D9D9D9"/>
            </w:tcBorders>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D9D9D9"/>
          </w:tcPr>
          <w:p>
            <w:pPr>
              <w:spacing w:after="0" w:line="20" w:lineRule="exact"/>
              <w:rPr>
                <w:sz w:val="1"/>
                <w:szCs w:val="1"/>
                <w:color w:val="auto"/>
              </w:rPr>
            </w:pPr>
          </w:p>
        </w:tc>
        <w:tc>
          <w:tcPr>
            <w:tcW w:w="1620" w:type="dxa"/>
            <w:vAlign w:val="bottom"/>
            <w:gridSpan w:val="2"/>
            <w:vMerge w:val="continue"/>
            <w:shd w:val="clear" w:color="auto" w:fill="D9D9D9"/>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Borders>
              <w:bottom w:val="single" w:sz="8" w:color="auto"/>
            </w:tcBorders>
            <w:shd w:val="clear" w:color="auto" w:fill="D9D9D9"/>
          </w:tcPr>
          <w:p>
            <w:pPr>
              <w:spacing w:after="0"/>
              <w:rPr>
                <w:sz w:val="24"/>
                <w:szCs w:val="24"/>
                <w:color w:val="auto"/>
              </w:rPr>
            </w:pPr>
          </w:p>
        </w:tc>
        <w:tc>
          <w:tcPr>
            <w:tcW w:w="1860" w:type="dxa"/>
            <w:vAlign w:val="bottom"/>
            <w:tcBorders>
              <w:bottom w:val="single" w:sz="8" w:color="auto"/>
            </w:tcBorders>
            <w:gridSpan w:val="3"/>
            <w:shd w:val="clear" w:color="auto" w:fill="D9D9D9"/>
          </w:tcPr>
          <w:p>
            <w:pPr>
              <w:jc w:val="center"/>
              <w:spacing w:after="0" w:line="209" w:lineRule="exact"/>
              <w:rPr>
                <w:sz w:val="20"/>
                <w:szCs w:val="20"/>
                <w:color w:val="auto"/>
              </w:rPr>
            </w:pPr>
            <w:r>
              <w:rPr>
                <w:rFonts w:ascii="Arial" w:cs="Arial" w:eastAsia="Arial" w:hAnsi="Arial"/>
                <w:sz w:val="20"/>
                <w:szCs w:val="20"/>
                <w:b w:val="1"/>
                <w:bCs w:val="1"/>
                <w:color w:val="auto"/>
                <w:w w:val="89"/>
              </w:rPr>
              <w:t>Company’s Rating</w:t>
            </w:r>
          </w:p>
        </w:tc>
        <w:tc>
          <w:tcPr>
            <w:tcW w:w="1060" w:type="dxa"/>
            <w:vAlign w:val="bottom"/>
            <w:tcBorders>
              <w:bottom w:val="single" w:sz="8" w:color="auto"/>
            </w:tcBorders>
            <w:shd w:val="clear" w:color="auto" w:fill="D9D9D9"/>
          </w:tcPr>
          <w:p>
            <w:pPr>
              <w:spacing w:after="0"/>
              <w:rPr>
                <w:sz w:val="24"/>
                <w:szCs w:val="24"/>
                <w:color w:val="auto"/>
              </w:rPr>
            </w:pPr>
          </w:p>
        </w:tc>
        <w:tc>
          <w:tcPr>
            <w:tcW w:w="1620" w:type="dxa"/>
            <w:vAlign w:val="bottom"/>
            <w:tcBorders>
              <w:bottom w:val="single" w:sz="8" w:color="auto"/>
            </w:tcBorders>
            <w:gridSpan w:val="2"/>
            <w:vMerge w:val="continue"/>
            <w:shd w:val="clear" w:color="auto" w:fill="D9D9D9"/>
          </w:tcPr>
          <w:p>
            <w:pPr>
              <w:spacing w:after="0"/>
              <w:rPr>
                <w:sz w:val="24"/>
                <w:szCs w:val="24"/>
                <w:color w:val="auto"/>
              </w:rPr>
            </w:pPr>
          </w:p>
        </w:tc>
        <w:tc>
          <w:tcPr>
            <w:tcW w:w="2440" w:type="dxa"/>
            <w:vAlign w:val="bottom"/>
            <w:tcBorders>
              <w:bottom w:val="single" w:sz="8" w:color="auto"/>
            </w:tcBorders>
            <w:gridSpan w:val="5"/>
            <w:shd w:val="clear" w:color="auto" w:fill="D9D9D9"/>
          </w:tcPr>
          <w:p>
            <w:pPr>
              <w:jc w:val="center"/>
              <w:spacing w:after="0" w:line="209" w:lineRule="exact"/>
              <w:rPr>
                <w:sz w:val="20"/>
                <w:szCs w:val="20"/>
                <w:color w:val="auto"/>
              </w:rPr>
            </w:pPr>
            <w:r>
              <w:rPr>
                <w:rFonts w:ascii="Arial" w:cs="Arial" w:eastAsia="Arial" w:hAnsi="Arial"/>
                <w:sz w:val="20"/>
                <w:szCs w:val="20"/>
                <w:b w:val="1"/>
                <w:bCs w:val="1"/>
                <w:color w:val="auto"/>
                <w:w w:val="89"/>
              </w:rPr>
              <w:t>for Eurocurrency Loans</w:t>
            </w:r>
          </w:p>
        </w:tc>
        <w:tc>
          <w:tcPr>
            <w:tcW w:w="160" w:type="dxa"/>
            <w:vAlign w:val="bottom"/>
            <w:tcBorders>
              <w:bottom w:val="single" w:sz="8" w:color="auto"/>
            </w:tcBorders>
            <w:shd w:val="clear" w:color="auto" w:fill="D9D9D9"/>
          </w:tcPr>
          <w:p>
            <w:pPr>
              <w:spacing w:after="0"/>
              <w:rPr>
                <w:sz w:val="24"/>
                <w:szCs w:val="24"/>
                <w:color w:val="auto"/>
              </w:rPr>
            </w:pPr>
          </w:p>
        </w:tc>
        <w:tc>
          <w:tcPr>
            <w:tcW w:w="1580" w:type="dxa"/>
            <w:vAlign w:val="bottom"/>
            <w:tcBorders>
              <w:bottom w:val="single" w:sz="8" w:color="auto"/>
            </w:tcBorders>
            <w:gridSpan w:val="3"/>
            <w:shd w:val="clear" w:color="auto" w:fill="D9D9D9"/>
          </w:tcPr>
          <w:p>
            <w:pPr>
              <w:jc w:val="center"/>
              <w:ind w:right="300"/>
              <w:spacing w:after="0" w:line="209" w:lineRule="exact"/>
              <w:rPr>
                <w:sz w:val="20"/>
                <w:szCs w:val="20"/>
                <w:color w:val="auto"/>
              </w:rPr>
            </w:pPr>
            <w:r>
              <w:rPr>
                <w:rFonts w:ascii="Arial" w:cs="Arial" w:eastAsia="Arial" w:hAnsi="Arial"/>
                <w:sz w:val="20"/>
                <w:szCs w:val="20"/>
                <w:b w:val="1"/>
                <w:bCs w:val="1"/>
                <w:color w:val="auto"/>
                <w:w w:val="91"/>
              </w:rPr>
              <w:t>for ABR Loans</w:t>
            </w:r>
          </w:p>
        </w:tc>
        <w:tc>
          <w:tcPr>
            <w:tcW w:w="140" w:type="dxa"/>
            <w:vAlign w:val="bottom"/>
            <w:tcBorders>
              <w:bottom w:val="single" w:sz="8" w:color="auto"/>
            </w:tcBorders>
            <w:shd w:val="clear" w:color="auto" w:fill="D9D9D9"/>
          </w:tcPr>
          <w:p>
            <w:pPr>
              <w:spacing w:after="0"/>
              <w:rPr>
                <w:sz w:val="24"/>
                <w:szCs w:val="24"/>
                <w:color w:val="auto"/>
              </w:rPr>
            </w:pPr>
          </w:p>
        </w:tc>
        <w:tc>
          <w:tcPr>
            <w:tcW w:w="140" w:type="dxa"/>
            <w:vAlign w:val="bottom"/>
            <w:tcBorders>
              <w:bottom w:val="single" w:sz="8" w:color="auto"/>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spacing w:after="0"/>
              <w:rPr>
                <w:sz w:val="24"/>
                <w:szCs w:val="24"/>
                <w:color w:val="auto"/>
              </w:rPr>
            </w:pPr>
          </w:p>
        </w:tc>
        <w:tc>
          <w:tcPr>
            <w:tcW w:w="1140" w:type="dxa"/>
            <w:vAlign w:val="bottom"/>
            <w:tcBorders>
              <w:bottom w:val="single" w:sz="8" w:color="auto"/>
            </w:tcBorders>
            <w:gridSpan w:val="4"/>
            <w:shd w:val="clear" w:color="auto" w:fill="D9D9D9"/>
          </w:tcPr>
          <w:p>
            <w:pPr>
              <w:jc w:val="center"/>
              <w:ind w:right="620"/>
              <w:spacing w:after="0" w:line="209" w:lineRule="exact"/>
              <w:rPr>
                <w:sz w:val="20"/>
                <w:szCs w:val="20"/>
                <w:color w:val="auto"/>
              </w:rPr>
            </w:pPr>
            <w:r>
              <w:rPr>
                <w:rFonts w:ascii="Arial" w:cs="Arial" w:eastAsia="Arial" w:hAnsi="Arial"/>
                <w:sz w:val="20"/>
                <w:szCs w:val="20"/>
                <w:b w:val="1"/>
                <w:bCs w:val="1"/>
                <w:color w:val="auto"/>
                <w:w w:val="88"/>
              </w:rPr>
              <w:t>Loans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gridSpan w:val="3"/>
          </w:tcPr>
          <w:p>
            <w:pPr>
              <w:jc w:val="center"/>
              <w:ind w:right="1180"/>
              <w:spacing w:after="0"/>
              <w:rPr>
                <w:sz w:val="20"/>
                <w:szCs w:val="20"/>
                <w:color w:val="auto"/>
              </w:rPr>
            </w:pPr>
            <w:r>
              <w:rPr>
                <w:rFonts w:ascii="Arial" w:cs="Arial" w:eastAsia="Arial" w:hAnsi="Arial"/>
                <w:sz w:val="20"/>
                <w:szCs w:val="20"/>
                <w:color w:val="auto"/>
              </w:rPr>
              <w:t>≥ A/A2/A</w:t>
            </w:r>
          </w:p>
        </w:tc>
        <w:tc>
          <w:tcPr>
            <w:tcW w:w="1420" w:type="dxa"/>
            <w:vAlign w:val="bottom"/>
          </w:tcPr>
          <w:p>
            <w:pPr>
              <w:jc w:val="cente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2020" w:type="dxa"/>
            <w:vAlign w:val="bottom"/>
            <w:gridSpan w:val="3"/>
          </w:tcPr>
          <w:p>
            <w:pPr>
              <w:jc w:val="center"/>
              <w:ind w:left="3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center"/>
              <w:ind w:left="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4"/>
          </w:tcPr>
          <w:p>
            <w:pPr>
              <w:jc w:val="center"/>
              <w:ind w:left="50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gridSpan w:val="3"/>
          </w:tcPr>
          <w:p>
            <w:pPr>
              <w:jc w:val="center"/>
              <w:ind w:right="1180"/>
              <w:spacing w:after="0"/>
              <w:rPr>
                <w:sz w:val="20"/>
                <w:szCs w:val="20"/>
                <w:color w:val="auto"/>
              </w:rPr>
            </w:pPr>
            <w:r>
              <w:rPr>
                <w:rFonts w:ascii="Arial" w:cs="Arial" w:eastAsia="Arial" w:hAnsi="Arial"/>
                <w:sz w:val="20"/>
                <w:szCs w:val="20"/>
                <w:color w:val="auto"/>
              </w:rPr>
              <w:t>A-/A3/A-</w:t>
            </w:r>
          </w:p>
        </w:tc>
        <w:tc>
          <w:tcPr>
            <w:tcW w:w="1420" w:type="dxa"/>
            <w:vAlign w:val="bottom"/>
          </w:tcPr>
          <w:p>
            <w:pPr>
              <w:jc w:val="cente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2020" w:type="dxa"/>
            <w:vAlign w:val="bottom"/>
            <w:gridSpan w:val="3"/>
          </w:tcPr>
          <w:p>
            <w:pPr>
              <w:jc w:val="center"/>
              <w:ind w:left="3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center"/>
              <w:ind w:left="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4"/>
          </w:tcPr>
          <w:p>
            <w:pPr>
              <w:jc w:val="center"/>
              <w:ind w:left="50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780" w:type="dxa"/>
            <w:vAlign w:val="bottom"/>
          </w:tcPr>
          <w:p>
            <w:pPr>
              <w:spacing w:after="0"/>
              <w:rPr>
                <w:sz w:val="22"/>
                <w:szCs w:val="22"/>
                <w:color w:val="auto"/>
              </w:rPr>
            </w:pPr>
          </w:p>
        </w:tc>
        <w:tc>
          <w:tcPr>
            <w:tcW w:w="2920" w:type="dxa"/>
            <w:vAlign w:val="bottom"/>
            <w:gridSpan w:val="4"/>
          </w:tcPr>
          <w:p>
            <w:pPr>
              <w:jc w:val="center"/>
              <w:ind w:right="1040"/>
              <w:spacing w:after="0"/>
              <w:rPr>
                <w:sz w:val="20"/>
                <w:szCs w:val="20"/>
                <w:color w:val="auto"/>
              </w:rPr>
            </w:pPr>
            <w:r>
              <w:rPr>
                <w:rFonts w:ascii="Arial" w:cs="Arial" w:eastAsia="Arial" w:hAnsi="Arial"/>
                <w:sz w:val="20"/>
                <w:szCs w:val="20"/>
                <w:color w:val="auto"/>
                <w:w w:val="93"/>
              </w:rPr>
              <w:t>BBB+ / Baa1 / BBB+</w:t>
            </w:r>
          </w:p>
        </w:tc>
        <w:tc>
          <w:tcPr>
            <w:tcW w:w="1420" w:type="dxa"/>
            <w:vAlign w:val="bottom"/>
          </w:tcPr>
          <w:p>
            <w:pPr>
              <w:jc w:val="cente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2020" w:type="dxa"/>
            <w:vAlign w:val="bottom"/>
            <w:gridSpan w:val="3"/>
          </w:tcPr>
          <w:p>
            <w:pPr>
              <w:jc w:val="center"/>
              <w:ind w:left="3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center"/>
              <w:ind w:left="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4"/>
          </w:tcPr>
          <w:p>
            <w:pPr>
              <w:jc w:val="center"/>
              <w:ind w:left="50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20"/>
                <w:szCs w:val="20"/>
                <w:color w:val="auto"/>
                <w:w w:val="93"/>
              </w:rPr>
              <w:t>BBB / Baa2 / BBB</w:t>
            </w:r>
          </w:p>
        </w:tc>
        <w:tc>
          <w:tcPr>
            <w:tcW w:w="1420" w:type="dxa"/>
            <w:vAlign w:val="bottom"/>
          </w:tcPr>
          <w:p>
            <w:pPr>
              <w:jc w:val="cente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2020" w:type="dxa"/>
            <w:vAlign w:val="bottom"/>
            <w:gridSpan w:val="3"/>
          </w:tcPr>
          <w:p>
            <w:pPr>
              <w:jc w:val="center"/>
              <w:ind w:left="3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center"/>
              <w:ind w:left="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4"/>
          </w:tcPr>
          <w:p>
            <w:pPr>
              <w:jc w:val="center"/>
              <w:ind w:left="50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780" w:type="dxa"/>
            <w:vAlign w:val="bottom"/>
          </w:tcPr>
          <w:p>
            <w:pPr>
              <w:spacing w:after="0"/>
              <w:rPr>
                <w:sz w:val="22"/>
                <w:szCs w:val="22"/>
                <w:color w:val="auto"/>
              </w:rPr>
            </w:pPr>
          </w:p>
        </w:tc>
        <w:tc>
          <w:tcPr>
            <w:tcW w:w="2920" w:type="dxa"/>
            <w:vAlign w:val="bottom"/>
            <w:gridSpan w:val="4"/>
          </w:tcPr>
          <w:p>
            <w:pPr>
              <w:jc w:val="center"/>
              <w:ind w:right="1040"/>
              <w:spacing w:after="0"/>
              <w:rPr>
                <w:sz w:val="20"/>
                <w:szCs w:val="20"/>
                <w:color w:val="auto"/>
              </w:rPr>
            </w:pPr>
            <w:r>
              <w:rPr>
                <w:rFonts w:ascii="Arial" w:cs="Arial" w:eastAsia="Arial" w:hAnsi="Arial"/>
                <w:sz w:val="20"/>
                <w:szCs w:val="20"/>
                <w:color w:val="auto"/>
                <w:w w:val="94"/>
              </w:rPr>
              <w:t>BBB- / Baa3 / BBB-</w:t>
            </w:r>
          </w:p>
        </w:tc>
        <w:tc>
          <w:tcPr>
            <w:tcW w:w="1420" w:type="dxa"/>
            <w:vAlign w:val="bottom"/>
          </w:tcPr>
          <w:p>
            <w:pPr>
              <w:jc w:val="cente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2020" w:type="dxa"/>
            <w:vAlign w:val="bottom"/>
            <w:gridSpan w:val="3"/>
          </w:tcPr>
          <w:p>
            <w:pPr>
              <w:jc w:val="center"/>
              <w:ind w:left="3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center"/>
              <w:ind w:left="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4"/>
          </w:tcPr>
          <w:p>
            <w:pPr>
              <w:jc w:val="center"/>
              <w:ind w:left="50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20"/>
                <w:szCs w:val="20"/>
                <w:color w:val="auto"/>
                <w:w w:val="94"/>
              </w:rPr>
              <w:t xml:space="preserve">BB+ / Ba1 </w:t>
            </w:r>
            <w:r>
              <w:rPr>
                <w:rFonts w:ascii="Arial" w:cs="Arial" w:eastAsia="Arial" w:hAnsi="Arial"/>
                <w:sz w:val="20"/>
                <w:szCs w:val="20"/>
                <w:b w:val="1"/>
                <w:bCs w:val="1"/>
                <w:color w:val="auto"/>
                <w:w w:val="94"/>
              </w:rPr>
              <w:t>/</w:t>
            </w:r>
            <w:r>
              <w:rPr>
                <w:rFonts w:ascii="Arial" w:cs="Arial" w:eastAsia="Arial" w:hAnsi="Arial"/>
                <w:sz w:val="20"/>
                <w:szCs w:val="20"/>
                <w:color w:val="auto"/>
                <w:w w:val="94"/>
              </w:rPr>
              <w:t xml:space="preserve"> BB+</w:t>
            </w:r>
          </w:p>
        </w:tc>
        <w:tc>
          <w:tcPr>
            <w:tcW w:w="1420" w:type="dxa"/>
            <w:vAlign w:val="bottom"/>
          </w:tcPr>
          <w:p>
            <w:pPr>
              <w:jc w:val="cente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020" w:type="dxa"/>
            <w:vAlign w:val="bottom"/>
            <w:gridSpan w:val="3"/>
          </w:tcPr>
          <w:p>
            <w:pPr>
              <w:jc w:val="center"/>
              <w:ind w:left="3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left="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tcPr>
          <w:p>
            <w:pPr>
              <w:jc w:val="center"/>
              <w:ind w:left="50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7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gridSpan w:val="3"/>
          </w:tcPr>
          <w:p>
            <w:pPr>
              <w:jc w:val="center"/>
              <w:ind w:right="1180"/>
              <w:spacing w:after="0"/>
              <w:rPr>
                <w:sz w:val="20"/>
                <w:szCs w:val="20"/>
                <w:color w:val="auto"/>
              </w:rPr>
            </w:pPr>
            <w:r>
              <w:rPr>
                <w:rFonts w:ascii="Arial" w:cs="Arial" w:eastAsia="Arial" w:hAnsi="Arial"/>
                <w:sz w:val="20"/>
                <w:szCs w:val="20"/>
                <w:color w:val="auto"/>
                <w:w w:val="95"/>
              </w:rPr>
              <w:t>≤ BB / Ba2 / BB</w:t>
            </w:r>
          </w:p>
        </w:tc>
        <w:tc>
          <w:tcPr>
            <w:tcW w:w="1420" w:type="dxa"/>
            <w:vAlign w:val="bottom"/>
          </w:tcPr>
          <w:p>
            <w:pPr>
              <w:jc w:val="cente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2020" w:type="dxa"/>
            <w:vAlign w:val="bottom"/>
            <w:gridSpan w:val="3"/>
          </w:tcPr>
          <w:p>
            <w:pPr>
              <w:jc w:val="center"/>
              <w:ind w:left="3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center"/>
              <w:ind w:left="8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4"/>
          </w:tcPr>
          <w:p>
            <w:pPr>
              <w:jc w:val="center"/>
              <w:ind w:left="50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Changes in the Applicable Margin and Facility Fee Rate shall become effective on the date on which S&amp;P, Moody’s and/or Fitch changes the rating it has issued with respect to the Company’s Applicable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w:t>
      </w:r>
    </w:p>
    <w:p>
      <w:pPr>
        <w:sectPr>
          <w:pgSz w:w="11900" w:h="16838" w:orient="portrait"/>
          <w:cols w:equalWidth="0" w:num="1">
            <w:col w:w="11260"/>
          </w:cols>
          <w:pgMar w:left="320" w:top="576"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A</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TO AMENDMENT NO. 1</w:t>
      </w:r>
    </w:p>
    <w:p>
      <w:pPr>
        <w:spacing w:after="0" w:line="200" w:lineRule="exact"/>
        <w:rPr>
          <w:sz w:val="20"/>
          <w:szCs w:val="20"/>
          <w:color w:val="auto"/>
        </w:rPr>
      </w:pPr>
    </w:p>
    <w:p>
      <w:pPr>
        <w:spacing w:after="0" w:line="224"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120"/>
          </w:cols>
          <w:pgMar w:left="1440" w:top="57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u w:val="single" w:color="auto"/>
          <w:color w:val="0000FF"/>
        </w:rPr>
        <w:t>EXHIBIT A</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0000"/>
          <w:strike w:val="1"/>
        </w:rPr>
        <w:t>EXECUTION VERSION</w:t>
      </w:r>
    </w:p>
    <w:p>
      <w:pPr>
        <w:jc w:val="right"/>
        <w:spacing w:after="0"/>
        <w:rPr>
          <w:sz w:val="20"/>
          <w:szCs w:val="20"/>
          <w:color w:val="auto"/>
        </w:rPr>
      </w:pPr>
      <w:r>
        <w:rPr>
          <w:rFonts w:ascii="Arial" w:cs="Arial" w:eastAsia="Arial" w:hAnsi="Arial"/>
          <w:sz w:val="20"/>
          <w:szCs w:val="20"/>
          <w:b w:val="1"/>
          <w:bCs w:val="1"/>
          <w:u w:val="single" w:color="auto"/>
          <w:color w:val="0000FF"/>
        </w:rPr>
        <w:t>CONFORMED THROUGH AMENDMENT NO.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AMENDED AND RESTATED 3-YEAR REVOLVING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GENERAL MOTORS COMPANY,</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GENERAL MOTORS FINANCIAL COMPANY, INC.,</w:t>
      </w:r>
    </w:p>
    <w:p>
      <w:pPr>
        <w:jc w:val="center"/>
        <w:ind w:right="40"/>
        <w:spacing w:after="0"/>
        <w:rPr>
          <w:sz w:val="20"/>
          <w:szCs w:val="20"/>
          <w:color w:val="auto"/>
        </w:rPr>
      </w:pPr>
      <w:r>
        <w:rPr>
          <w:rFonts w:ascii="Arial" w:cs="Arial" w:eastAsia="Arial" w:hAnsi="Arial"/>
          <w:sz w:val="20"/>
          <w:szCs w:val="20"/>
          <w:color w:val="auto"/>
        </w:rPr>
        <w:t>GENERAL MOTORS DO BRASIL LTDA.,</w:t>
      </w:r>
    </w:p>
    <w:p>
      <w:pPr>
        <w:jc w:val="center"/>
        <w:ind w:right="40"/>
        <w:spacing w:after="0"/>
        <w:rPr>
          <w:sz w:val="20"/>
          <w:szCs w:val="20"/>
          <w:color w:val="auto"/>
        </w:rPr>
      </w:pPr>
      <w:r>
        <w:rPr>
          <w:rFonts w:ascii="Arial" w:cs="Arial" w:eastAsia="Arial" w:hAnsi="Arial"/>
          <w:sz w:val="20"/>
          <w:szCs w:val="20"/>
          <w:color w:val="FF0000"/>
          <w:strike w:val="1"/>
        </w:rPr>
        <w:t>GM GLOBAL TREASURY CENTRE LIMITED,</w:t>
      </w:r>
    </w:p>
    <w:p>
      <w:pPr>
        <w:spacing w:after="0" w:line="213"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THE SUBSIDIARY BORROWERS FROM TIME TO TIME PARTIES HERETO,</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THE SEVERAL LENDERS FROM TIME TO TIME PARTIES HERETO,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20" w:type="dxa"/>
            <w:vAlign w:val="bottom"/>
          </w:tcPr>
          <w:p>
            <w:pPr>
              <w:spacing w:after="0"/>
              <w:rPr>
                <w:sz w:val="21"/>
                <w:szCs w:val="21"/>
                <w:color w:val="auto"/>
              </w:rPr>
            </w:pPr>
          </w:p>
        </w:tc>
        <w:tc>
          <w:tcPr>
            <w:tcW w:w="5520" w:type="dxa"/>
            <w:vAlign w:val="bottom"/>
            <w:gridSpan w:val="2"/>
          </w:tcPr>
          <w:p>
            <w:pPr>
              <w:ind w:left="1640"/>
              <w:spacing w:after="0"/>
              <w:rPr>
                <w:sz w:val="20"/>
                <w:szCs w:val="20"/>
                <w:color w:val="auto"/>
              </w:rPr>
            </w:pPr>
            <w:r>
              <w:rPr>
                <w:rFonts w:ascii="Arial" w:cs="Arial" w:eastAsia="Arial" w:hAnsi="Arial"/>
                <w:sz w:val="20"/>
                <w:szCs w:val="20"/>
                <w:color w:val="auto"/>
              </w:rPr>
              <w:t>Dated as of April 18, 2018</w:t>
            </w:r>
          </w:p>
        </w:tc>
        <w:tc>
          <w:tcPr>
            <w:tcW w:w="2800" w:type="dxa"/>
            <w:vAlign w:val="bottom"/>
          </w:tcPr>
          <w:p>
            <w:pPr>
              <w:spacing w:after="0"/>
              <w:rPr>
                <w:sz w:val="21"/>
                <w:szCs w:val="21"/>
                <w:color w:val="auto"/>
              </w:rPr>
            </w:pPr>
          </w:p>
        </w:tc>
      </w:tr>
      <w:tr>
        <w:trPr>
          <w:trHeight w:val="816"/>
        </w:trPr>
        <w:tc>
          <w:tcPr>
            <w:tcW w:w="5660" w:type="dxa"/>
            <w:vAlign w:val="bottom"/>
            <w:gridSpan w:val="2"/>
          </w:tcPr>
          <w:p>
            <w:pPr>
              <w:jc w:val="center"/>
              <w:spacing w:after="0"/>
              <w:rPr>
                <w:sz w:val="20"/>
                <w:szCs w:val="20"/>
                <w:color w:val="auto"/>
              </w:rPr>
            </w:pPr>
            <w:r>
              <w:rPr>
                <w:rFonts w:ascii="Arial" w:cs="Arial" w:eastAsia="Arial" w:hAnsi="Arial"/>
                <w:sz w:val="20"/>
                <w:szCs w:val="20"/>
                <w:color w:val="auto"/>
                <w:w w:val="95"/>
              </w:rPr>
              <w:t>JPMORGAN CHASE BANK, N.A.,</w:t>
            </w:r>
          </w:p>
        </w:tc>
        <w:tc>
          <w:tcPr>
            <w:tcW w:w="5580" w:type="dxa"/>
            <w:vAlign w:val="bottom"/>
            <w:gridSpan w:val="2"/>
          </w:tcPr>
          <w:p>
            <w:pPr>
              <w:jc w:val="center"/>
              <w:spacing w:after="0"/>
              <w:rPr>
                <w:sz w:val="20"/>
                <w:szCs w:val="20"/>
                <w:color w:val="auto"/>
              </w:rPr>
            </w:pPr>
            <w:r>
              <w:rPr>
                <w:rFonts w:ascii="Arial" w:cs="Arial" w:eastAsia="Arial" w:hAnsi="Arial"/>
                <w:sz w:val="20"/>
                <w:szCs w:val="20"/>
                <w:color w:val="auto"/>
                <w:w w:val="98"/>
              </w:rPr>
              <w:t>CITIBANK, N.A.,</w:t>
            </w:r>
          </w:p>
        </w:tc>
      </w:tr>
      <w:tr>
        <w:trPr>
          <w:trHeight w:val="230"/>
        </w:trPr>
        <w:tc>
          <w:tcPr>
            <w:tcW w:w="5660" w:type="dxa"/>
            <w:vAlign w:val="bottom"/>
            <w:gridSpan w:val="2"/>
          </w:tcPr>
          <w:p>
            <w:pPr>
              <w:jc w:val="center"/>
              <w:spacing w:after="0"/>
              <w:rPr>
                <w:sz w:val="20"/>
                <w:szCs w:val="20"/>
                <w:color w:val="auto"/>
              </w:rPr>
            </w:pPr>
            <w:r>
              <w:rPr>
                <w:rFonts w:ascii="Arial" w:cs="Arial" w:eastAsia="Arial" w:hAnsi="Arial"/>
                <w:sz w:val="20"/>
                <w:szCs w:val="20"/>
                <w:i w:val="1"/>
                <w:iCs w:val="1"/>
                <w:color w:val="auto"/>
                <w:w w:val="91"/>
              </w:rPr>
              <w:t>as Administrative Agent, Global Coordinator, Joint Lead Arranger</w:t>
            </w:r>
          </w:p>
        </w:tc>
        <w:tc>
          <w:tcPr>
            <w:tcW w:w="5580" w:type="dxa"/>
            <w:vAlign w:val="bottom"/>
            <w:gridSpan w:val="2"/>
          </w:tcPr>
          <w:p>
            <w:pPr>
              <w:jc w:val="center"/>
              <w:spacing w:after="0"/>
              <w:rPr>
                <w:sz w:val="20"/>
                <w:szCs w:val="20"/>
                <w:color w:val="auto"/>
              </w:rPr>
            </w:pPr>
            <w:r>
              <w:rPr>
                <w:rFonts w:ascii="Arial" w:cs="Arial" w:eastAsia="Arial" w:hAnsi="Arial"/>
                <w:sz w:val="20"/>
                <w:szCs w:val="20"/>
                <w:i w:val="1"/>
                <w:iCs w:val="1"/>
                <w:color w:val="auto"/>
                <w:w w:val="88"/>
              </w:rPr>
              <w:t>as Syndication Agent</w:t>
            </w:r>
          </w:p>
        </w:tc>
      </w:tr>
      <w:tr>
        <w:trPr>
          <w:trHeight w:val="250"/>
        </w:trPr>
        <w:tc>
          <w:tcPr>
            <w:tcW w:w="5660" w:type="dxa"/>
            <w:vAlign w:val="bottom"/>
            <w:gridSpan w:val="2"/>
          </w:tcPr>
          <w:p>
            <w:pPr>
              <w:jc w:val="center"/>
              <w:spacing w:after="0"/>
              <w:rPr>
                <w:sz w:val="20"/>
                <w:szCs w:val="20"/>
                <w:color w:val="auto"/>
              </w:rPr>
            </w:pPr>
            <w:r>
              <w:rPr>
                <w:rFonts w:ascii="Arial" w:cs="Arial" w:eastAsia="Arial" w:hAnsi="Arial"/>
                <w:sz w:val="20"/>
                <w:szCs w:val="20"/>
                <w:i w:val="1"/>
                <w:iCs w:val="1"/>
                <w:color w:val="auto"/>
                <w:w w:val="91"/>
              </w:rPr>
              <w:t>and Joint Bookrunner</w:t>
            </w:r>
          </w:p>
        </w:tc>
        <w:tc>
          <w:tcPr>
            <w:tcW w:w="278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263"/>
        </w:trPr>
        <w:tc>
          <w:tcPr>
            <w:tcW w:w="29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5580" w:type="dxa"/>
            <w:vAlign w:val="bottom"/>
            <w:gridSpan w:val="2"/>
          </w:tcPr>
          <w:p>
            <w:pPr>
              <w:jc w:val="center"/>
              <w:spacing w:after="0"/>
              <w:rPr>
                <w:sz w:val="20"/>
                <w:szCs w:val="20"/>
                <w:color w:val="auto"/>
              </w:rPr>
            </w:pPr>
            <w:r>
              <w:rPr>
                <w:rFonts w:ascii="Arial" w:cs="Arial" w:eastAsia="Arial" w:hAnsi="Arial"/>
                <w:sz w:val="20"/>
                <w:szCs w:val="20"/>
                <w:color w:val="auto"/>
                <w:w w:val="96"/>
              </w:rPr>
              <w:t>CITIGROUP GLOBAL MARKETS INC.,</w:t>
            </w:r>
          </w:p>
        </w:tc>
      </w:tr>
      <w:tr>
        <w:trPr>
          <w:trHeight w:val="250"/>
        </w:trPr>
        <w:tc>
          <w:tcPr>
            <w:tcW w:w="29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5580" w:type="dxa"/>
            <w:vAlign w:val="bottom"/>
            <w:gridSpan w:val="2"/>
          </w:tcPr>
          <w:p>
            <w:pPr>
              <w:jc w:val="center"/>
              <w:spacing w:after="0"/>
              <w:rPr>
                <w:sz w:val="20"/>
                <w:szCs w:val="20"/>
                <w:color w:val="auto"/>
              </w:rPr>
            </w:pPr>
            <w:r>
              <w:rPr>
                <w:rFonts w:ascii="Arial" w:cs="Arial" w:eastAsia="Arial" w:hAnsi="Arial"/>
                <w:sz w:val="20"/>
                <w:szCs w:val="20"/>
                <w:i w:val="1"/>
                <w:iCs w:val="1"/>
                <w:color w:val="auto"/>
                <w:w w:val="91"/>
              </w:rPr>
              <w:t>as Global Coordinator, Joint Lead Arranger and Joint Bookrunner</w:t>
            </w:r>
          </w:p>
        </w:tc>
      </w:tr>
      <w:tr>
        <w:trPr>
          <w:trHeight w:val="239"/>
        </w:trPr>
        <w:tc>
          <w:tcPr>
            <w:tcW w:w="29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355"/>
        </w:trPr>
        <w:tc>
          <w:tcPr>
            <w:tcW w:w="2920" w:type="dxa"/>
            <w:vAlign w:val="bottom"/>
          </w:tcPr>
          <w:p>
            <w:pPr>
              <w:jc w:val="center"/>
              <w:spacing w:after="0"/>
              <w:rPr>
                <w:sz w:val="20"/>
                <w:szCs w:val="20"/>
                <w:color w:val="auto"/>
              </w:rPr>
            </w:pPr>
            <w:r>
              <w:rPr>
                <w:rFonts w:ascii="Arial" w:cs="Arial" w:eastAsia="Arial" w:hAnsi="Arial"/>
                <w:sz w:val="20"/>
                <w:szCs w:val="20"/>
                <w:color w:val="auto"/>
                <w:w w:val="99"/>
              </w:rPr>
              <w:t>INDUSTRIAL AND</w:t>
            </w:r>
          </w:p>
        </w:tc>
        <w:tc>
          <w:tcPr>
            <w:tcW w:w="2740" w:type="dxa"/>
            <w:vAlign w:val="bottom"/>
          </w:tcPr>
          <w:p>
            <w:pPr>
              <w:jc w:val="center"/>
              <w:spacing w:after="0"/>
              <w:rPr>
                <w:sz w:val="20"/>
                <w:szCs w:val="20"/>
                <w:color w:val="auto"/>
              </w:rPr>
            </w:pPr>
            <w:r>
              <w:rPr>
                <w:rFonts w:ascii="Arial" w:cs="Arial" w:eastAsia="Arial" w:hAnsi="Arial"/>
                <w:sz w:val="20"/>
                <w:szCs w:val="20"/>
                <w:color w:val="auto"/>
                <w:w w:val="94"/>
              </w:rPr>
              <w:t>LLOYDS BANK PLC</w:t>
            </w:r>
            <w:r>
              <w:rPr>
                <w:rFonts w:ascii="Arial" w:cs="Arial" w:eastAsia="Arial" w:hAnsi="Arial"/>
                <w:sz w:val="25"/>
                <w:szCs w:val="25"/>
                <w:color w:val="auto"/>
                <w:w w:val="94"/>
                <w:vertAlign w:val="superscript"/>
              </w:rPr>
              <w:t>1,2</w:t>
            </w:r>
          </w:p>
        </w:tc>
        <w:tc>
          <w:tcPr>
            <w:tcW w:w="2780" w:type="dxa"/>
            <w:vAlign w:val="bottom"/>
          </w:tcPr>
          <w:p>
            <w:pPr>
              <w:jc w:val="center"/>
              <w:spacing w:after="0"/>
              <w:rPr>
                <w:sz w:val="20"/>
                <w:szCs w:val="20"/>
                <w:color w:val="auto"/>
              </w:rPr>
            </w:pPr>
            <w:r>
              <w:rPr>
                <w:rFonts w:ascii="Arial" w:cs="Arial" w:eastAsia="Arial" w:hAnsi="Arial"/>
                <w:sz w:val="20"/>
                <w:szCs w:val="20"/>
                <w:color w:val="auto"/>
                <w:w w:val="97"/>
              </w:rPr>
              <w:t>THE TORONTO DOMINION</w:t>
            </w:r>
          </w:p>
        </w:tc>
        <w:tc>
          <w:tcPr>
            <w:tcW w:w="2800" w:type="dxa"/>
            <w:vAlign w:val="bottom"/>
          </w:tcPr>
          <w:p>
            <w:pPr>
              <w:jc w:val="center"/>
              <w:spacing w:after="0"/>
              <w:rPr>
                <w:sz w:val="20"/>
                <w:szCs w:val="20"/>
                <w:color w:val="auto"/>
              </w:rPr>
            </w:pPr>
            <w:r>
              <w:rPr>
                <w:rFonts w:ascii="Arial" w:cs="Arial" w:eastAsia="Arial" w:hAnsi="Arial"/>
                <w:sz w:val="20"/>
                <w:szCs w:val="20"/>
                <w:color w:val="auto"/>
                <w:w w:val="94"/>
              </w:rPr>
              <w:t>BANCO DO BRASIL S.A.</w:t>
            </w:r>
            <w:r>
              <w:rPr>
                <w:rFonts w:ascii="Arial" w:cs="Arial" w:eastAsia="Arial" w:hAnsi="Arial"/>
                <w:sz w:val="25"/>
                <w:szCs w:val="25"/>
                <w:color w:val="auto"/>
                <w:w w:val="94"/>
                <w:vertAlign w:val="superscript"/>
              </w:rPr>
              <w:t>3</w:t>
            </w:r>
          </w:p>
        </w:tc>
      </w:tr>
      <w:tr>
        <w:trPr>
          <w:trHeight w:val="230"/>
        </w:trPr>
        <w:tc>
          <w:tcPr>
            <w:tcW w:w="2920" w:type="dxa"/>
            <w:vAlign w:val="bottom"/>
          </w:tcPr>
          <w:p>
            <w:pPr>
              <w:jc w:val="center"/>
              <w:spacing w:after="0"/>
              <w:rPr>
                <w:sz w:val="20"/>
                <w:szCs w:val="20"/>
                <w:color w:val="auto"/>
              </w:rPr>
            </w:pPr>
            <w:r>
              <w:rPr>
                <w:rFonts w:ascii="Arial" w:cs="Arial" w:eastAsia="Arial" w:hAnsi="Arial"/>
                <w:sz w:val="20"/>
                <w:szCs w:val="20"/>
                <w:color w:val="auto"/>
                <w:w w:val="98"/>
              </w:rPr>
              <w:t>COMMERCIAL BANK OF</w:t>
            </w:r>
          </w:p>
        </w:tc>
        <w:tc>
          <w:tcPr>
            <w:tcW w:w="274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8"/>
              </w:rPr>
              <w:t>BANK, NEW YORK</w:t>
            </w:r>
          </w:p>
        </w:tc>
        <w:tc>
          <w:tcPr>
            <w:tcW w:w="2800" w:type="dxa"/>
            <w:vAlign w:val="bottom"/>
          </w:tcPr>
          <w:p>
            <w:pPr>
              <w:jc w:val="center"/>
              <w:spacing w:after="0"/>
              <w:rPr>
                <w:sz w:val="20"/>
                <w:szCs w:val="20"/>
                <w:color w:val="auto"/>
              </w:rPr>
            </w:pPr>
            <w:r>
              <w:rPr>
                <w:rFonts w:ascii="Arial" w:cs="Arial" w:eastAsia="Arial" w:hAnsi="Arial"/>
                <w:sz w:val="20"/>
                <w:szCs w:val="20"/>
                <w:color w:val="auto"/>
                <w:w w:val="94"/>
              </w:rPr>
              <w:t>BANCO BRADESCO S.A.</w:t>
            </w:r>
          </w:p>
        </w:tc>
      </w:tr>
      <w:tr>
        <w:trPr>
          <w:trHeight w:val="230"/>
        </w:trPr>
        <w:tc>
          <w:tcPr>
            <w:tcW w:w="2920" w:type="dxa"/>
            <w:vAlign w:val="bottom"/>
          </w:tcPr>
          <w:p>
            <w:pPr>
              <w:jc w:val="center"/>
              <w:spacing w:after="0"/>
              <w:rPr>
                <w:sz w:val="20"/>
                <w:szCs w:val="20"/>
                <w:color w:val="auto"/>
              </w:rPr>
            </w:pPr>
            <w:r>
              <w:rPr>
                <w:rFonts w:ascii="Arial" w:cs="Arial" w:eastAsia="Arial" w:hAnsi="Arial"/>
                <w:sz w:val="20"/>
                <w:szCs w:val="20"/>
                <w:color w:val="auto"/>
                <w:w w:val="99"/>
              </w:rPr>
              <w:t>CHINA LIMITED NEW</w:t>
            </w:r>
          </w:p>
        </w:tc>
        <w:tc>
          <w:tcPr>
            <w:tcW w:w="2740" w:type="dxa"/>
            <w:vAlign w:val="bottom"/>
          </w:tcPr>
          <w:p>
            <w:pPr>
              <w:spacing w:after="0"/>
              <w:rPr>
                <w:sz w:val="19"/>
                <w:szCs w:val="19"/>
                <w:color w:val="auto"/>
              </w:rPr>
            </w:pPr>
          </w:p>
        </w:tc>
        <w:tc>
          <w:tcPr>
            <w:tcW w:w="2780" w:type="dxa"/>
            <w:vAlign w:val="bottom"/>
          </w:tcPr>
          <w:p>
            <w:pPr>
              <w:jc w:val="center"/>
              <w:spacing w:after="0" w:line="229" w:lineRule="exact"/>
              <w:rPr>
                <w:sz w:val="20"/>
                <w:szCs w:val="20"/>
                <w:color w:val="auto"/>
              </w:rPr>
            </w:pPr>
            <w:r>
              <w:rPr>
                <w:rFonts w:ascii="Arial" w:cs="Arial" w:eastAsia="Arial" w:hAnsi="Arial"/>
                <w:sz w:val="20"/>
                <w:szCs w:val="20"/>
                <w:color w:val="auto"/>
                <w:w w:val="91"/>
              </w:rPr>
              <w:t>BRANCH</w:t>
            </w:r>
            <w:r>
              <w:rPr>
                <w:rFonts w:ascii="Arial" w:cs="Arial" w:eastAsia="Arial" w:hAnsi="Arial"/>
                <w:sz w:val="25"/>
                <w:szCs w:val="25"/>
                <w:color w:val="auto"/>
                <w:w w:val="91"/>
                <w:vertAlign w:val="superscript"/>
              </w:rPr>
              <w:t>1,2</w:t>
            </w:r>
          </w:p>
        </w:tc>
        <w:tc>
          <w:tcPr>
            <w:tcW w:w="2800" w:type="dxa"/>
            <w:vAlign w:val="bottom"/>
          </w:tcPr>
          <w:p>
            <w:pPr>
              <w:spacing w:after="0"/>
              <w:rPr>
                <w:sz w:val="19"/>
                <w:szCs w:val="19"/>
                <w:color w:val="auto"/>
              </w:rPr>
            </w:pPr>
          </w:p>
        </w:tc>
      </w:tr>
      <w:tr>
        <w:trPr>
          <w:trHeight w:val="331"/>
        </w:trPr>
        <w:tc>
          <w:tcPr>
            <w:tcW w:w="2920" w:type="dxa"/>
            <w:vAlign w:val="bottom"/>
          </w:tcPr>
          <w:p>
            <w:pPr>
              <w:jc w:val="center"/>
              <w:spacing w:after="0"/>
              <w:rPr>
                <w:sz w:val="20"/>
                <w:szCs w:val="20"/>
                <w:color w:val="auto"/>
              </w:rPr>
            </w:pPr>
            <w:r>
              <w:rPr>
                <w:rFonts w:ascii="Arial" w:cs="Arial" w:eastAsia="Arial" w:hAnsi="Arial"/>
                <w:sz w:val="20"/>
                <w:szCs w:val="20"/>
                <w:color w:val="auto"/>
                <w:w w:val="92"/>
              </w:rPr>
              <w:t>YORK BRANCH</w:t>
            </w:r>
            <w:r>
              <w:rPr>
                <w:rFonts w:ascii="Arial" w:cs="Arial" w:eastAsia="Arial" w:hAnsi="Arial"/>
                <w:sz w:val="25"/>
                <w:szCs w:val="25"/>
                <w:color w:val="auto"/>
                <w:w w:val="92"/>
                <w:vertAlign w:val="superscript"/>
              </w:rPr>
              <w:t>1,2</w:t>
            </w:r>
          </w:p>
        </w:tc>
        <w:tc>
          <w:tcPr>
            <w:tcW w:w="2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1"/>
        </w:trPr>
        <w:tc>
          <w:tcPr>
            <w:tcW w:w="2920" w:type="dxa"/>
            <w:vAlign w:val="bottom"/>
          </w:tcPr>
          <w:p>
            <w:pPr>
              <w:jc w:val="center"/>
              <w:spacing w:after="0"/>
              <w:rPr>
                <w:sz w:val="20"/>
                <w:szCs w:val="20"/>
                <w:color w:val="auto"/>
              </w:rPr>
            </w:pPr>
            <w:r>
              <w:rPr>
                <w:rFonts w:ascii="Arial" w:cs="Arial" w:eastAsia="Arial" w:hAnsi="Arial"/>
                <w:sz w:val="20"/>
                <w:szCs w:val="20"/>
                <w:i w:val="1"/>
                <w:iCs w:val="1"/>
                <w:color w:val="auto"/>
                <w:w w:val="91"/>
              </w:rPr>
              <w:t>as Asian Pacific Regional</w:t>
            </w:r>
          </w:p>
        </w:tc>
        <w:tc>
          <w:tcPr>
            <w:tcW w:w="2740" w:type="dxa"/>
            <w:vAlign w:val="bottom"/>
          </w:tcPr>
          <w:p>
            <w:pPr>
              <w:jc w:val="center"/>
              <w:ind w:right="1"/>
              <w:spacing w:after="0"/>
              <w:rPr>
                <w:sz w:val="20"/>
                <w:szCs w:val="20"/>
                <w:color w:val="auto"/>
              </w:rPr>
            </w:pPr>
            <w:r>
              <w:rPr>
                <w:rFonts w:ascii="Arial" w:cs="Arial" w:eastAsia="Arial" w:hAnsi="Arial"/>
                <w:sz w:val="20"/>
                <w:szCs w:val="20"/>
                <w:i w:val="1"/>
                <w:iCs w:val="1"/>
                <w:color w:val="auto"/>
                <w:w w:val="88"/>
              </w:rPr>
              <w:t>as European Regional</w:t>
            </w:r>
          </w:p>
        </w:tc>
        <w:tc>
          <w:tcPr>
            <w:tcW w:w="2780" w:type="dxa"/>
            <w:vAlign w:val="bottom"/>
          </w:tcPr>
          <w:p>
            <w:pPr>
              <w:jc w:val="center"/>
              <w:spacing w:after="0"/>
              <w:rPr>
                <w:sz w:val="20"/>
                <w:szCs w:val="20"/>
                <w:color w:val="auto"/>
              </w:rPr>
            </w:pPr>
            <w:r>
              <w:rPr>
                <w:rFonts w:ascii="Arial" w:cs="Arial" w:eastAsia="Arial" w:hAnsi="Arial"/>
                <w:sz w:val="20"/>
                <w:szCs w:val="20"/>
                <w:i w:val="1"/>
                <w:iCs w:val="1"/>
                <w:color w:val="auto"/>
                <w:w w:val="91"/>
              </w:rPr>
              <w:t>as North American Regional</w:t>
            </w:r>
          </w:p>
        </w:tc>
        <w:tc>
          <w:tcPr>
            <w:tcW w:w="2800" w:type="dxa"/>
            <w:vAlign w:val="bottom"/>
          </w:tcPr>
          <w:p>
            <w:pPr>
              <w:jc w:val="center"/>
              <w:spacing w:after="0"/>
              <w:rPr>
                <w:sz w:val="20"/>
                <w:szCs w:val="20"/>
                <w:color w:val="auto"/>
              </w:rPr>
            </w:pPr>
            <w:r>
              <w:rPr>
                <w:rFonts w:ascii="Arial" w:cs="Arial" w:eastAsia="Arial" w:hAnsi="Arial"/>
                <w:sz w:val="20"/>
                <w:szCs w:val="20"/>
                <w:i w:val="1"/>
                <w:iCs w:val="1"/>
                <w:color w:val="auto"/>
                <w:w w:val="91"/>
              </w:rPr>
              <w:t>as Co-Latin American Regional</w:t>
            </w:r>
          </w:p>
        </w:tc>
      </w:tr>
      <w:tr>
        <w:trPr>
          <w:trHeight w:val="250"/>
        </w:trPr>
        <w:tc>
          <w:tcPr>
            <w:tcW w:w="2920" w:type="dxa"/>
            <w:vAlign w:val="bottom"/>
          </w:tcPr>
          <w:p>
            <w:pPr>
              <w:jc w:val="center"/>
              <w:spacing w:after="0"/>
              <w:rPr>
                <w:sz w:val="20"/>
                <w:szCs w:val="20"/>
                <w:color w:val="auto"/>
              </w:rPr>
            </w:pPr>
            <w:r>
              <w:rPr>
                <w:rFonts w:ascii="Arial" w:cs="Arial" w:eastAsia="Arial" w:hAnsi="Arial"/>
                <w:sz w:val="20"/>
                <w:szCs w:val="20"/>
                <w:i w:val="1"/>
                <w:iCs w:val="1"/>
                <w:color w:val="auto"/>
                <w:w w:val="93"/>
              </w:rPr>
              <w:t>Coordinator</w:t>
            </w:r>
          </w:p>
        </w:tc>
        <w:tc>
          <w:tcPr>
            <w:tcW w:w="2740" w:type="dxa"/>
            <w:vAlign w:val="bottom"/>
          </w:tcPr>
          <w:p>
            <w:pPr>
              <w:jc w:val="center"/>
              <w:ind w:right="21"/>
              <w:spacing w:after="0"/>
              <w:rPr>
                <w:sz w:val="20"/>
                <w:szCs w:val="20"/>
                <w:color w:val="auto"/>
              </w:rPr>
            </w:pPr>
            <w:r>
              <w:rPr>
                <w:rFonts w:ascii="Arial" w:cs="Arial" w:eastAsia="Arial" w:hAnsi="Arial"/>
                <w:sz w:val="20"/>
                <w:szCs w:val="20"/>
                <w:i w:val="1"/>
                <w:iCs w:val="1"/>
                <w:color w:val="auto"/>
                <w:w w:val="93"/>
              </w:rPr>
              <w:t>Coordinator</w:t>
            </w:r>
          </w:p>
        </w:tc>
        <w:tc>
          <w:tcPr>
            <w:tcW w:w="2780" w:type="dxa"/>
            <w:vAlign w:val="bottom"/>
          </w:tcPr>
          <w:p>
            <w:pPr>
              <w:jc w:val="center"/>
              <w:spacing w:after="0"/>
              <w:rPr>
                <w:sz w:val="20"/>
                <w:szCs w:val="20"/>
                <w:color w:val="auto"/>
              </w:rPr>
            </w:pPr>
            <w:r>
              <w:rPr>
                <w:rFonts w:ascii="Arial" w:cs="Arial" w:eastAsia="Arial" w:hAnsi="Arial"/>
                <w:sz w:val="20"/>
                <w:szCs w:val="20"/>
                <w:i w:val="1"/>
                <w:iCs w:val="1"/>
                <w:color w:val="auto"/>
                <w:w w:val="93"/>
              </w:rPr>
              <w:t>Coordinator</w:t>
            </w:r>
          </w:p>
        </w:tc>
        <w:tc>
          <w:tcPr>
            <w:tcW w:w="2800" w:type="dxa"/>
            <w:vAlign w:val="bottom"/>
          </w:tcPr>
          <w:p>
            <w:pPr>
              <w:jc w:val="center"/>
              <w:spacing w:after="0"/>
              <w:rPr>
                <w:sz w:val="20"/>
                <w:szCs w:val="20"/>
                <w:color w:val="auto"/>
              </w:rPr>
            </w:pPr>
            <w:r>
              <w:rPr>
                <w:rFonts w:ascii="Arial" w:cs="Arial" w:eastAsia="Arial" w:hAnsi="Arial"/>
                <w:sz w:val="20"/>
                <w:szCs w:val="20"/>
                <w:i w:val="1"/>
                <w:iCs w:val="1"/>
                <w:color w:val="auto"/>
                <w:w w:val="92"/>
              </w:rPr>
              <w:t>Coordinators</w:t>
            </w:r>
          </w:p>
        </w:tc>
      </w:tr>
    </w:tbl>
    <w:p>
      <w:pPr>
        <w:sectPr>
          <w:pgSz w:w="11900" w:h="16838" w:orient="portrait"/>
          <w:cols w:equalWidth="0" w:num="1">
            <w:col w:w="11240"/>
          </w:cols>
          <w:pgMar w:left="320" w:top="118"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40" w:type="dxa"/>
            <w:vAlign w:val="bottom"/>
          </w:tcPr>
          <w:p>
            <w:pPr>
              <w:jc w:val="center"/>
              <w:ind w:right="10"/>
              <w:spacing w:after="0"/>
              <w:rPr>
                <w:sz w:val="20"/>
                <w:szCs w:val="20"/>
                <w:color w:val="auto"/>
              </w:rPr>
            </w:pPr>
            <w:r>
              <w:rPr>
                <w:rFonts w:ascii="Arial" w:cs="Arial" w:eastAsia="Arial" w:hAnsi="Arial"/>
                <w:sz w:val="18"/>
                <w:szCs w:val="18"/>
                <w:color w:val="auto"/>
                <w:w w:val="99"/>
              </w:rPr>
              <w:t>BARCLAYS BANK</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9"/>
              </w:rPr>
              <w:t>BANCO BILBAO</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tcPr>
          <w:p>
            <w:pPr>
              <w:jc w:val="center"/>
              <w:ind w:right="730"/>
              <w:spacing w:after="0"/>
              <w:rPr>
                <w:sz w:val="20"/>
                <w:szCs w:val="20"/>
                <w:color w:val="auto"/>
              </w:rPr>
            </w:pPr>
            <w:r>
              <w:rPr>
                <w:rFonts w:ascii="Arial" w:cs="Arial" w:eastAsia="Arial" w:hAnsi="Arial"/>
                <w:sz w:val="18"/>
                <w:szCs w:val="18"/>
                <w:color w:val="auto"/>
                <w:w w:val="90"/>
              </w:rPr>
              <w:t>BNP PARIBAS</w:t>
            </w:r>
            <w:r>
              <w:rPr>
                <w:rFonts w:ascii="Arial" w:cs="Arial" w:eastAsia="Arial" w:hAnsi="Arial"/>
                <w:sz w:val="25"/>
                <w:szCs w:val="25"/>
                <w:color w:val="auto"/>
                <w:w w:val="90"/>
                <w:vertAlign w:val="superscript"/>
              </w:rPr>
              <w:t>1,2</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COMMERZBANK</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8"/>
              </w:rPr>
              <w:t>CREDIT AGRICOLE</w:t>
            </w:r>
          </w:p>
        </w:tc>
      </w:tr>
      <w:tr>
        <w:trPr>
          <w:trHeight w:val="216"/>
        </w:trPr>
        <w:tc>
          <w:tcPr>
            <w:tcW w:w="1640" w:type="dxa"/>
            <w:vAlign w:val="bottom"/>
          </w:tcPr>
          <w:p>
            <w:pPr>
              <w:jc w:val="center"/>
              <w:ind w:right="10"/>
              <w:spacing w:after="0" w:line="216" w:lineRule="exact"/>
              <w:rPr>
                <w:sz w:val="20"/>
                <w:szCs w:val="20"/>
                <w:color w:val="auto"/>
              </w:rPr>
            </w:pPr>
            <w:r>
              <w:rPr>
                <w:rFonts w:ascii="Arial" w:cs="Arial" w:eastAsia="Arial" w:hAnsi="Arial"/>
                <w:sz w:val="18"/>
                <w:szCs w:val="18"/>
                <w:color w:val="auto"/>
                <w:w w:val="85"/>
              </w:rPr>
              <w:t>PLC</w:t>
            </w:r>
            <w:r>
              <w:rPr>
                <w:rFonts w:ascii="Arial" w:cs="Arial" w:eastAsia="Arial" w:hAnsi="Arial"/>
                <w:sz w:val="25"/>
                <w:szCs w:val="25"/>
                <w:color w:val="auto"/>
                <w:w w:val="85"/>
                <w:vertAlign w:val="superscript"/>
              </w:rPr>
              <w:t>1,2</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rPr>
              <w:t>VIZCAYA</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18"/>
                <w:szCs w:val="18"/>
                <w:color w:val="auto"/>
                <w:w w:val="94"/>
              </w:rPr>
              <w:t>CAPITAL MARKETS</w:t>
            </w:r>
            <w:r>
              <w:rPr>
                <w:rFonts w:ascii="Arial" w:cs="Arial" w:eastAsia="Arial" w:hAnsi="Arial"/>
                <w:sz w:val="25"/>
                <w:szCs w:val="25"/>
                <w:color w:val="auto"/>
                <w:w w:val="94"/>
                <w:vertAlign w:val="superscript"/>
              </w:rPr>
              <w:t>1,2</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5"/>
              </w:rPr>
              <w:t>CORPORATE AND</w:t>
            </w:r>
          </w:p>
        </w:tc>
      </w:tr>
      <w:tr>
        <w:trPr>
          <w:trHeight w:val="216"/>
        </w:trPr>
        <w:tc>
          <w:tcPr>
            <w:tcW w:w="1640" w:type="dxa"/>
            <w:vAlign w:val="bottom"/>
          </w:tcPr>
          <w:p>
            <w:pPr>
              <w:spacing w:after="0"/>
              <w:rPr>
                <w:sz w:val="18"/>
                <w:szCs w:val="18"/>
                <w:color w:val="auto"/>
              </w:rPr>
            </w:pPr>
          </w:p>
        </w:tc>
        <w:tc>
          <w:tcPr>
            <w:tcW w:w="1920" w:type="dxa"/>
            <w:vAlign w:val="bottom"/>
            <w:gridSpan w:val="2"/>
          </w:tcPr>
          <w:p>
            <w:pPr>
              <w:jc w:val="center"/>
              <w:ind w:left="210"/>
              <w:spacing w:after="0"/>
              <w:rPr>
                <w:sz w:val="20"/>
                <w:szCs w:val="20"/>
                <w:color w:val="auto"/>
              </w:rPr>
            </w:pPr>
            <w:r>
              <w:rPr>
                <w:rFonts w:ascii="Arial" w:cs="Arial" w:eastAsia="Arial" w:hAnsi="Arial"/>
                <w:sz w:val="18"/>
                <w:szCs w:val="18"/>
                <w:color w:val="auto"/>
                <w:w w:val="98"/>
              </w:rPr>
              <w:t>ARGENTARIA, S.A.</w:t>
            </w:r>
          </w:p>
        </w:tc>
        <w:tc>
          <w:tcPr>
            <w:tcW w:w="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8"/>
              </w:rPr>
              <w:t>INVESTMENT</w:t>
            </w:r>
          </w:p>
        </w:tc>
      </w:tr>
      <w:tr>
        <w:trPr>
          <w:trHeight w:val="216"/>
        </w:trPr>
        <w:tc>
          <w:tcPr>
            <w:tcW w:w="1640" w:type="dxa"/>
            <w:vAlign w:val="bottom"/>
          </w:tcPr>
          <w:p>
            <w:pPr>
              <w:spacing w:after="0"/>
              <w:rPr>
                <w:sz w:val="18"/>
                <w:szCs w:val="18"/>
                <w:color w:val="auto"/>
              </w:rPr>
            </w:pP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9"/>
              </w:rPr>
              <w:t>NEW YORK</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20" w:type="dxa"/>
            <w:vAlign w:val="bottom"/>
          </w:tcPr>
          <w:p>
            <w:pPr>
              <w:jc w:val="center"/>
              <w:ind w:left="110"/>
              <w:spacing w:after="0" w:line="216" w:lineRule="exact"/>
              <w:rPr>
                <w:sz w:val="20"/>
                <w:szCs w:val="20"/>
                <w:color w:val="auto"/>
              </w:rPr>
            </w:pPr>
            <w:r>
              <w:rPr>
                <w:rFonts w:ascii="Arial" w:cs="Arial" w:eastAsia="Arial" w:hAnsi="Arial"/>
                <w:sz w:val="18"/>
                <w:szCs w:val="18"/>
                <w:color w:val="auto"/>
                <w:w w:val="90"/>
              </w:rPr>
              <w:t xml:space="preserve">BANK </w:t>
            </w:r>
            <w:r>
              <w:rPr>
                <w:rFonts w:ascii="Arial" w:cs="Arial" w:eastAsia="Arial" w:hAnsi="Arial"/>
                <w:sz w:val="25"/>
                <w:szCs w:val="25"/>
                <w:color w:val="auto"/>
                <w:w w:val="90"/>
                <w:vertAlign w:val="superscript"/>
              </w:rPr>
              <w:t>1,2</w:t>
            </w:r>
          </w:p>
        </w:tc>
      </w:tr>
      <w:tr>
        <w:trPr>
          <w:trHeight w:val="270"/>
        </w:trPr>
        <w:tc>
          <w:tcPr>
            <w:tcW w:w="1640" w:type="dxa"/>
            <w:vAlign w:val="bottom"/>
          </w:tcPr>
          <w:p>
            <w:pPr>
              <w:spacing w:after="0"/>
              <w:rPr>
                <w:sz w:val="23"/>
                <w:szCs w:val="23"/>
                <w:color w:val="auto"/>
              </w:rPr>
            </w:pPr>
          </w:p>
        </w:tc>
        <w:tc>
          <w:tcPr>
            <w:tcW w:w="1820" w:type="dxa"/>
            <w:vAlign w:val="bottom"/>
          </w:tcPr>
          <w:p>
            <w:pPr>
              <w:jc w:val="center"/>
              <w:ind w:left="310"/>
              <w:spacing w:after="0" w:line="270" w:lineRule="exact"/>
              <w:rPr>
                <w:sz w:val="20"/>
                <w:szCs w:val="20"/>
                <w:color w:val="auto"/>
              </w:rPr>
            </w:pPr>
            <w:r>
              <w:rPr>
                <w:rFonts w:ascii="Arial" w:cs="Arial" w:eastAsia="Arial" w:hAnsi="Arial"/>
                <w:sz w:val="18"/>
                <w:szCs w:val="18"/>
                <w:color w:val="auto"/>
                <w:w w:val="90"/>
              </w:rPr>
              <w:t>BRANCH</w:t>
            </w:r>
            <w:r>
              <w:rPr>
                <w:rFonts w:ascii="Arial" w:cs="Arial" w:eastAsia="Arial" w:hAnsi="Arial"/>
                <w:sz w:val="25"/>
                <w:szCs w:val="25"/>
                <w:color w:val="auto"/>
                <w:w w:val="90"/>
                <w:vertAlign w:val="superscript"/>
              </w:rPr>
              <w:t>1,2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16"/>
        </w:trPr>
        <w:tc>
          <w:tcPr>
            <w:tcW w:w="1640" w:type="dxa"/>
            <w:vAlign w:val="bottom"/>
          </w:tcPr>
          <w:p>
            <w:pPr>
              <w:jc w:val="center"/>
              <w:ind w:right="10"/>
              <w:spacing w:after="0"/>
              <w:rPr>
                <w:sz w:val="20"/>
                <w:szCs w:val="20"/>
                <w:color w:val="auto"/>
              </w:rPr>
            </w:pPr>
            <w:r>
              <w:rPr>
                <w:rFonts w:ascii="Arial" w:cs="Arial" w:eastAsia="Arial" w:hAnsi="Arial"/>
                <w:sz w:val="18"/>
                <w:szCs w:val="18"/>
                <w:color w:val="auto"/>
                <w:w w:val="97"/>
              </w:rPr>
              <w:t>DEUTSCHE BANK</w:t>
            </w:r>
          </w:p>
        </w:tc>
        <w:tc>
          <w:tcPr>
            <w:tcW w:w="1920" w:type="dxa"/>
            <w:vAlign w:val="bottom"/>
            <w:gridSpan w:val="2"/>
          </w:tcPr>
          <w:p>
            <w:pPr>
              <w:jc w:val="center"/>
              <w:ind w:left="210"/>
              <w:spacing w:after="0"/>
              <w:rPr>
                <w:sz w:val="20"/>
                <w:szCs w:val="20"/>
                <w:color w:val="auto"/>
              </w:rPr>
            </w:pPr>
            <w:r>
              <w:rPr>
                <w:rFonts w:ascii="Arial" w:cs="Arial" w:eastAsia="Arial" w:hAnsi="Arial"/>
                <w:sz w:val="18"/>
                <w:szCs w:val="18"/>
                <w:color w:val="auto"/>
                <w:w w:val="97"/>
              </w:rPr>
              <w:t>GOLDMAN SACHS</w:t>
            </w:r>
          </w:p>
        </w:tc>
        <w:tc>
          <w:tcPr>
            <w:tcW w:w="3380" w:type="dxa"/>
            <w:vAlign w:val="bottom"/>
            <w:gridSpan w:val="2"/>
          </w:tcPr>
          <w:p>
            <w:pPr>
              <w:jc w:val="center"/>
              <w:ind w:left="102"/>
              <w:spacing w:after="0"/>
              <w:rPr>
                <w:sz w:val="20"/>
                <w:szCs w:val="20"/>
                <w:color w:val="auto"/>
              </w:rPr>
            </w:pPr>
            <w:r>
              <w:rPr>
                <w:rFonts w:ascii="Arial" w:cs="Arial" w:eastAsia="Arial" w:hAnsi="Arial"/>
                <w:sz w:val="18"/>
                <w:szCs w:val="18"/>
                <w:color w:val="auto"/>
                <w:w w:val="94"/>
              </w:rPr>
              <w:t>INTESA SANPAOLO S.P.A. - NEW</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BANK OF AMERICA,</w:t>
            </w:r>
          </w:p>
        </w:tc>
        <w:tc>
          <w:tcPr>
            <w:tcW w:w="1820" w:type="dxa"/>
            <w:vAlign w:val="bottom"/>
          </w:tcPr>
          <w:p>
            <w:pPr>
              <w:jc w:val="center"/>
              <w:ind w:left="90"/>
              <w:spacing w:after="0"/>
              <w:rPr>
                <w:sz w:val="20"/>
                <w:szCs w:val="20"/>
                <w:color w:val="auto"/>
              </w:rPr>
            </w:pPr>
            <w:r>
              <w:rPr>
                <w:rFonts w:ascii="Arial" w:cs="Arial" w:eastAsia="Arial" w:hAnsi="Arial"/>
                <w:sz w:val="18"/>
                <w:szCs w:val="18"/>
                <w:color w:val="auto"/>
              </w:rPr>
              <w:t>MIZUHO BANK,</w:t>
            </w:r>
          </w:p>
        </w:tc>
      </w:tr>
      <w:tr>
        <w:trPr>
          <w:trHeight w:val="216"/>
        </w:trPr>
        <w:tc>
          <w:tcPr>
            <w:tcW w:w="1640" w:type="dxa"/>
            <w:vAlign w:val="bottom"/>
          </w:tcPr>
          <w:p>
            <w:pPr>
              <w:jc w:val="center"/>
              <w:ind w:right="10"/>
              <w:spacing w:after="0"/>
              <w:rPr>
                <w:sz w:val="20"/>
                <w:szCs w:val="20"/>
                <w:color w:val="auto"/>
              </w:rPr>
            </w:pPr>
            <w:r>
              <w:rPr>
                <w:rFonts w:ascii="Arial" w:cs="Arial" w:eastAsia="Arial" w:hAnsi="Arial"/>
                <w:sz w:val="18"/>
                <w:szCs w:val="18"/>
                <w:color w:val="auto"/>
                <w:w w:val="94"/>
              </w:rPr>
              <w:t>SECURITIES</w:t>
            </w:r>
          </w:p>
        </w:tc>
        <w:tc>
          <w:tcPr>
            <w:tcW w:w="1820" w:type="dxa"/>
            <w:vAlign w:val="bottom"/>
          </w:tcPr>
          <w:p>
            <w:pPr>
              <w:jc w:val="center"/>
              <w:ind w:left="310"/>
              <w:spacing w:after="0" w:line="216" w:lineRule="exact"/>
              <w:rPr>
                <w:sz w:val="20"/>
                <w:szCs w:val="20"/>
                <w:color w:val="auto"/>
              </w:rPr>
            </w:pPr>
            <w:r>
              <w:rPr>
                <w:rFonts w:ascii="Arial" w:cs="Arial" w:eastAsia="Arial" w:hAnsi="Arial"/>
                <w:sz w:val="18"/>
                <w:szCs w:val="18"/>
                <w:color w:val="auto"/>
                <w:w w:val="92"/>
              </w:rPr>
              <w:t>BANK USA</w:t>
            </w:r>
            <w:r>
              <w:rPr>
                <w:rFonts w:ascii="Arial" w:cs="Arial" w:eastAsia="Arial" w:hAnsi="Arial"/>
                <w:sz w:val="25"/>
                <w:szCs w:val="25"/>
                <w:color w:val="auto"/>
                <w:w w:val="92"/>
                <w:vertAlign w:val="superscript"/>
              </w:rPr>
              <w:t>1,2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0" w:type="dxa"/>
            <w:vAlign w:val="bottom"/>
          </w:tcPr>
          <w:p>
            <w:pPr>
              <w:jc w:val="center"/>
              <w:ind w:right="730"/>
              <w:spacing w:after="0" w:line="216" w:lineRule="exact"/>
              <w:rPr>
                <w:sz w:val="20"/>
                <w:szCs w:val="20"/>
                <w:color w:val="auto"/>
              </w:rPr>
            </w:pPr>
            <w:r>
              <w:rPr>
                <w:rFonts w:ascii="Arial" w:cs="Arial" w:eastAsia="Arial" w:hAnsi="Arial"/>
                <w:sz w:val="18"/>
                <w:szCs w:val="18"/>
                <w:color w:val="auto"/>
                <w:w w:val="94"/>
              </w:rPr>
              <w:t>YORK BRANCH</w:t>
            </w:r>
            <w:r>
              <w:rPr>
                <w:rFonts w:ascii="Arial" w:cs="Arial" w:eastAsia="Arial" w:hAnsi="Arial"/>
                <w:sz w:val="25"/>
                <w:szCs w:val="25"/>
                <w:color w:val="auto"/>
                <w:w w:val="94"/>
                <w:vertAlign w:val="superscript"/>
              </w:rPr>
              <w:t>1,2</w:t>
            </w:r>
          </w:p>
        </w:tc>
        <w:tc>
          <w:tcPr>
            <w:tcW w:w="2200" w:type="dxa"/>
            <w:vAlign w:val="bottom"/>
          </w:tcPr>
          <w:p>
            <w:pPr>
              <w:jc w:val="center"/>
              <w:spacing w:after="0" w:line="216" w:lineRule="exact"/>
              <w:rPr>
                <w:sz w:val="20"/>
                <w:szCs w:val="20"/>
                <w:color w:val="auto"/>
              </w:rPr>
            </w:pPr>
            <w:r>
              <w:rPr>
                <w:rFonts w:ascii="Arial" w:cs="Arial" w:eastAsia="Arial" w:hAnsi="Arial"/>
                <w:sz w:val="18"/>
                <w:szCs w:val="18"/>
                <w:color w:val="auto"/>
                <w:w w:val="90"/>
              </w:rPr>
              <w:t>N.A.</w:t>
            </w:r>
            <w:r>
              <w:rPr>
                <w:rFonts w:ascii="Arial" w:cs="Arial" w:eastAsia="Arial" w:hAnsi="Arial"/>
                <w:sz w:val="25"/>
                <w:szCs w:val="25"/>
                <w:color w:val="auto"/>
                <w:w w:val="90"/>
                <w:vertAlign w:val="superscript"/>
              </w:rPr>
              <w:t>1</w:t>
            </w:r>
          </w:p>
        </w:tc>
        <w:tc>
          <w:tcPr>
            <w:tcW w:w="1820" w:type="dxa"/>
            <w:vAlign w:val="bottom"/>
          </w:tcPr>
          <w:p>
            <w:pPr>
              <w:jc w:val="center"/>
              <w:ind w:left="110"/>
              <w:spacing w:after="0" w:line="216" w:lineRule="exact"/>
              <w:rPr>
                <w:sz w:val="20"/>
                <w:szCs w:val="20"/>
                <w:color w:val="auto"/>
              </w:rPr>
            </w:pPr>
            <w:r>
              <w:rPr>
                <w:rFonts w:ascii="Arial" w:cs="Arial" w:eastAsia="Arial" w:hAnsi="Arial"/>
                <w:sz w:val="18"/>
                <w:szCs w:val="18"/>
                <w:color w:val="auto"/>
                <w:w w:val="86"/>
              </w:rPr>
              <w:t>LTD.</w:t>
            </w:r>
            <w:r>
              <w:rPr>
                <w:rFonts w:ascii="Arial" w:cs="Arial" w:eastAsia="Arial" w:hAnsi="Arial"/>
                <w:sz w:val="25"/>
                <w:szCs w:val="25"/>
                <w:color w:val="auto"/>
                <w:w w:val="86"/>
                <w:vertAlign w:val="superscript"/>
              </w:rPr>
              <w:t>1,2</w:t>
            </w:r>
          </w:p>
        </w:tc>
      </w:tr>
      <w:tr>
        <w:trPr>
          <w:trHeight w:val="329"/>
        </w:trPr>
        <w:tc>
          <w:tcPr>
            <w:tcW w:w="1640" w:type="dxa"/>
            <w:vAlign w:val="bottom"/>
          </w:tcPr>
          <w:p>
            <w:pPr>
              <w:jc w:val="center"/>
              <w:ind w:right="10"/>
              <w:spacing w:after="0"/>
              <w:rPr>
                <w:sz w:val="20"/>
                <w:szCs w:val="20"/>
                <w:color w:val="auto"/>
              </w:rPr>
            </w:pPr>
            <w:r>
              <w:rPr>
                <w:rFonts w:ascii="Arial" w:cs="Arial" w:eastAsia="Arial" w:hAnsi="Arial"/>
                <w:sz w:val="18"/>
                <w:szCs w:val="18"/>
                <w:color w:val="auto"/>
                <w:w w:val="84"/>
              </w:rPr>
              <w:t>INC.</w:t>
            </w:r>
            <w:r>
              <w:rPr>
                <w:rFonts w:ascii="Arial" w:cs="Arial" w:eastAsia="Arial" w:hAnsi="Arial"/>
                <w:sz w:val="25"/>
                <w:szCs w:val="25"/>
                <w:color w:val="auto"/>
                <w:w w:val="84"/>
                <w:vertAlign w:val="superscript"/>
              </w:rPr>
              <w:t>1,2</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i w:val="1"/>
                <w:iCs w:val="1"/>
                <w:color w:val="auto"/>
                <w:w w:val="90"/>
              </w:rPr>
              <w:t>as Co-Syndication Agent</w:t>
            </w:r>
          </w:p>
        </w:tc>
        <w:tc>
          <w:tcPr>
            <w:tcW w:w="1820" w:type="dxa"/>
            <w:vAlign w:val="bottom"/>
          </w:tcPr>
          <w:p>
            <w:pPr>
              <w:spacing w:after="0"/>
              <w:rPr>
                <w:sz w:val="24"/>
                <w:szCs w:val="24"/>
                <w:color w:val="auto"/>
              </w:rPr>
            </w:pPr>
          </w:p>
        </w:tc>
      </w:tr>
      <w:tr>
        <w:trPr>
          <w:trHeight w:val="373"/>
        </w:trPr>
        <w:tc>
          <w:tcPr>
            <w:tcW w:w="1640" w:type="dxa"/>
            <w:vAlign w:val="bottom"/>
          </w:tcPr>
          <w:p>
            <w:pPr>
              <w:jc w:val="center"/>
              <w:ind w:right="110"/>
              <w:spacing w:after="0"/>
              <w:rPr>
                <w:sz w:val="20"/>
                <w:szCs w:val="20"/>
                <w:color w:val="auto"/>
              </w:rPr>
            </w:pPr>
            <w:r>
              <w:rPr>
                <w:rFonts w:ascii="Arial" w:cs="Arial" w:eastAsia="Arial" w:hAnsi="Arial"/>
                <w:sz w:val="18"/>
                <w:szCs w:val="18"/>
                <w:color w:val="auto"/>
                <w:w w:val="98"/>
              </w:rPr>
              <w:t>MORGAN</w:t>
            </w:r>
          </w:p>
        </w:tc>
        <w:tc>
          <w:tcPr>
            <w:tcW w:w="1820" w:type="dxa"/>
            <w:vAlign w:val="bottom"/>
          </w:tcPr>
          <w:p>
            <w:pPr>
              <w:jc w:val="center"/>
              <w:ind w:right="310"/>
              <w:spacing w:after="0"/>
              <w:rPr>
                <w:sz w:val="20"/>
                <w:szCs w:val="20"/>
                <w:color w:val="auto"/>
              </w:rPr>
            </w:pPr>
            <w:r>
              <w:rPr>
                <w:rFonts w:ascii="Arial" w:cs="Arial" w:eastAsia="Arial" w:hAnsi="Arial"/>
                <w:sz w:val="18"/>
                <w:szCs w:val="18"/>
                <w:color w:val="auto"/>
                <w:w w:val="96"/>
              </w:rPr>
              <w:t>RBC CAPITAL</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THE ROYAL</w:t>
            </w:r>
          </w:p>
        </w:tc>
        <w:tc>
          <w:tcPr>
            <w:tcW w:w="2400" w:type="dxa"/>
            <w:vAlign w:val="bottom"/>
          </w:tcPr>
          <w:p>
            <w:pPr>
              <w:jc w:val="center"/>
              <w:ind w:left="330"/>
              <w:spacing w:after="0"/>
              <w:rPr>
                <w:sz w:val="20"/>
                <w:szCs w:val="20"/>
                <w:color w:val="auto"/>
              </w:rPr>
            </w:pPr>
            <w:r>
              <w:rPr>
                <w:rFonts w:ascii="Arial" w:cs="Arial" w:eastAsia="Arial" w:hAnsi="Arial"/>
                <w:sz w:val="18"/>
                <w:szCs w:val="18"/>
                <w:color w:val="auto"/>
              </w:rPr>
              <w:t>SUMITOMO MITSUI</w:t>
            </w:r>
          </w:p>
        </w:tc>
        <w:tc>
          <w:tcPr>
            <w:tcW w:w="2200" w:type="dxa"/>
            <w:vAlign w:val="bottom"/>
          </w:tcPr>
          <w:p>
            <w:pPr>
              <w:jc w:val="center"/>
              <w:ind w:left="90"/>
              <w:spacing w:after="0"/>
              <w:rPr>
                <w:sz w:val="20"/>
                <w:szCs w:val="20"/>
                <w:color w:val="auto"/>
              </w:rPr>
            </w:pPr>
            <w:r>
              <w:rPr>
                <w:rFonts w:ascii="Arial" w:cs="Arial" w:eastAsia="Arial" w:hAnsi="Arial"/>
                <w:sz w:val="18"/>
                <w:szCs w:val="18"/>
                <w:color w:val="auto"/>
                <w:w w:val="93"/>
              </w:rPr>
              <w:t>SOCIÉTÉ</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8"/>
              </w:rPr>
              <w:t>THE BANK OF</w:t>
            </w:r>
          </w:p>
        </w:tc>
      </w:tr>
      <w:tr>
        <w:trPr>
          <w:trHeight w:val="216"/>
        </w:trPr>
        <w:tc>
          <w:tcPr>
            <w:tcW w:w="1640" w:type="dxa"/>
            <w:vAlign w:val="bottom"/>
          </w:tcPr>
          <w:p>
            <w:pPr>
              <w:jc w:val="center"/>
              <w:ind w:right="130"/>
              <w:spacing w:after="0"/>
              <w:rPr>
                <w:sz w:val="20"/>
                <w:szCs w:val="20"/>
                <w:color w:val="auto"/>
              </w:rPr>
            </w:pPr>
            <w:r>
              <w:rPr>
                <w:rFonts w:ascii="Arial" w:cs="Arial" w:eastAsia="Arial" w:hAnsi="Arial"/>
                <w:sz w:val="18"/>
                <w:szCs w:val="18"/>
                <w:color w:val="auto"/>
                <w:w w:val="99"/>
              </w:rPr>
              <w:t>STANLEY</w:t>
            </w:r>
          </w:p>
        </w:tc>
        <w:tc>
          <w:tcPr>
            <w:tcW w:w="1820" w:type="dxa"/>
            <w:vAlign w:val="bottom"/>
          </w:tcPr>
          <w:p>
            <w:pPr>
              <w:jc w:val="center"/>
              <w:ind w:right="290"/>
              <w:spacing w:after="0" w:line="216" w:lineRule="exact"/>
              <w:rPr>
                <w:sz w:val="20"/>
                <w:szCs w:val="20"/>
                <w:color w:val="auto"/>
              </w:rPr>
            </w:pPr>
            <w:r>
              <w:rPr>
                <w:rFonts w:ascii="Arial" w:cs="Arial" w:eastAsia="Arial" w:hAnsi="Arial"/>
                <w:sz w:val="18"/>
                <w:szCs w:val="18"/>
                <w:color w:val="auto"/>
                <w:w w:val="95"/>
              </w:rPr>
              <w:t>MARKETS</w:t>
            </w:r>
            <w:r>
              <w:rPr>
                <w:rFonts w:ascii="Arial" w:cs="Arial" w:eastAsia="Arial" w:hAnsi="Arial"/>
                <w:sz w:val="25"/>
                <w:szCs w:val="25"/>
                <w:color w:val="auto"/>
                <w:w w:val="95"/>
                <w:vertAlign w:val="superscript"/>
              </w:rPr>
              <w:t>1</w:t>
            </w:r>
          </w:p>
        </w:tc>
        <w:tc>
          <w:tcPr>
            <w:tcW w:w="100" w:type="dxa"/>
            <w:vAlign w:val="bottom"/>
          </w:tcPr>
          <w:p>
            <w:pPr>
              <w:spacing w:after="0"/>
              <w:rPr>
                <w:sz w:val="18"/>
                <w:szCs w:val="18"/>
                <w:color w:val="auto"/>
              </w:rPr>
            </w:pPr>
          </w:p>
        </w:tc>
        <w:tc>
          <w:tcPr>
            <w:tcW w:w="980" w:type="dxa"/>
            <w:vAlign w:val="bottom"/>
          </w:tcPr>
          <w:p>
            <w:pPr>
              <w:jc w:val="center"/>
              <w:ind w:right="42"/>
              <w:spacing w:after="0"/>
              <w:rPr>
                <w:sz w:val="20"/>
                <w:szCs w:val="20"/>
                <w:color w:val="auto"/>
              </w:rPr>
            </w:pPr>
            <w:r>
              <w:rPr>
                <w:rFonts w:ascii="Arial" w:cs="Arial" w:eastAsia="Arial" w:hAnsi="Arial"/>
                <w:sz w:val="18"/>
                <w:szCs w:val="18"/>
                <w:color w:val="auto"/>
                <w:w w:val="98"/>
              </w:rPr>
              <w:t>BANK OF</w:t>
            </w:r>
          </w:p>
        </w:tc>
        <w:tc>
          <w:tcPr>
            <w:tcW w:w="2400" w:type="dxa"/>
            <w:vAlign w:val="bottom"/>
          </w:tcPr>
          <w:p>
            <w:pPr>
              <w:jc w:val="center"/>
              <w:ind w:left="330"/>
              <w:spacing w:after="0"/>
              <w:rPr>
                <w:sz w:val="20"/>
                <w:szCs w:val="20"/>
                <w:color w:val="auto"/>
              </w:rPr>
            </w:pPr>
            <w:r>
              <w:rPr>
                <w:rFonts w:ascii="Arial" w:cs="Arial" w:eastAsia="Arial" w:hAnsi="Arial"/>
                <w:sz w:val="18"/>
                <w:szCs w:val="18"/>
                <w:color w:val="auto"/>
              </w:rPr>
              <w:t>BANKING</w:t>
            </w:r>
          </w:p>
        </w:tc>
        <w:tc>
          <w:tcPr>
            <w:tcW w:w="2200" w:type="dxa"/>
            <w:vAlign w:val="bottom"/>
          </w:tcPr>
          <w:p>
            <w:pPr>
              <w:jc w:val="center"/>
              <w:ind w:left="90"/>
              <w:spacing w:after="0" w:line="216" w:lineRule="exact"/>
              <w:rPr>
                <w:sz w:val="20"/>
                <w:szCs w:val="20"/>
                <w:color w:val="auto"/>
              </w:rPr>
            </w:pPr>
            <w:r>
              <w:rPr>
                <w:rFonts w:ascii="Arial" w:cs="Arial" w:eastAsia="Arial" w:hAnsi="Arial"/>
                <w:sz w:val="18"/>
                <w:szCs w:val="18"/>
                <w:color w:val="auto"/>
                <w:w w:val="90"/>
              </w:rPr>
              <w:t>GÉNÉRALE</w:t>
            </w:r>
            <w:r>
              <w:rPr>
                <w:rFonts w:ascii="Arial" w:cs="Arial" w:eastAsia="Arial" w:hAnsi="Arial"/>
                <w:sz w:val="25"/>
                <w:szCs w:val="25"/>
                <w:color w:val="auto"/>
                <w:w w:val="90"/>
                <w:vertAlign w:val="superscript"/>
              </w:rPr>
              <w:t>1,2</w:t>
            </w:r>
          </w:p>
        </w:tc>
        <w:tc>
          <w:tcPr>
            <w:tcW w:w="1820" w:type="dxa"/>
            <w:vAlign w:val="bottom"/>
          </w:tcPr>
          <w:p>
            <w:pPr>
              <w:jc w:val="center"/>
              <w:ind w:left="110"/>
              <w:spacing w:after="0" w:line="216" w:lineRule="exact"/>
              <w:rPr>
                <w:sz w:val="20"/>
                <w:szCs w:val="20"/>
                <w:color w:val="auto"/>
              </w:rPr>
            </w:pPr>
            <w:r>
              <w:rPr>
                <w:rFonts w:ascii="Arial" w:cs="Arial" w:eastAsia="Arial" w:hAnsi="Arial"/>
                <w:sz w:val="18"/>
                <w:szCs w:val="18"/>
                <w:color w:val="auto"/>
                <w:w w:val="91"/>
              </w:rPr>
              <w:t>NOVA SCOTIA</w:t>
            </w:r>
            <w:r>
              <w:rPr>
                <w:rFonts w:ascii="Arial" w:cs="Arial" w:eastAsia="Arial" w:hAnsi="Arial"/>
                <w:sz w:val="25"/>
                <w:szCs w:val="25"/>
                <w:color w:val="auto"/>
                <w:w w:val="91"/>
                <w:vertAlign w:val="superscript"/>
              </w:rPr>
              <w:t>1,2</w:t>
            </w:r>
          </w:p>
        </w:tc>
      </w:tr>
      <w:tr>
        <w:trPr>
          <w:trHeight w:val="216"/>
        </w:trPr>
        <w:tc>
          <w:tcPr>
            <w:tcW w:w="1640" w:type="dxa"/>
            <w:vAlign w:val="bottom"/>
          </w:tcPr>
          <w:p>
            <w:pPr>
              <w:jc w:val="center"/>
              <w:ind w:right="130"/>
              <w:spacing w:after="0"/>
              <w:rPr>
                <w:sz w:val="20"/>
                <w:szCs w:val="20"/>
                <w:color w:val="auto"/>
              </w:rPr>
            </w:pPr>
            <w:r>
              <w:rPr>
                <w:rFonts w:ascii="Arial" w:cs="Arial" w:eastAsia="Arial" w:hAnsi="Arial"/>
                <w:sz w:val="18"/>
                <w:szCs w:val="18"/>
                <w:color w:val="auto"/>
                <w:w w:val="95"/>
              </w:rPr>
              <w:t>SENIOR</w:t>
            </w:r>
          </w:p>
        </w:tc>
        <w:tc>
          <w:tcPr>
            <w:tcW w:w="1820" w:type="dxa"/>
            <w:vAlign w:val="bottom"/>
          </w:tcPr>
          <w:p>
            <w:pPr>
              <w:jc w:val="center"/>
              <w:ind w:right="310"/>
              <w:spacing w:after="0"/>
              <w:rPr>
                <w:sz w:val="20"/>
                <w:szCs w:val="20"/>
                <w:color w:val="auto"/>
              </w:rPr>
            </w:pPr>
            <w:r>
              <w:rPr>
                <w:rFonts w:ascii="Arial" w:cs="Arial" w:eastAsia="Arial" w:hAnsi="Arial"/>
                <w:sz w:val="18"/>
                <w:szCs w:val="18"/>
                <w:color w:val="auto"/>
                <w:w w:val="99"/>
              </w:rPr>
              <w:t>ROYAL BANK</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SCOTLAND</w:t>
            </w:r>
          </w:p>
        </w:tc>
        <w:tc>
          <w:tcPr>
            <w:tcW w:w="2400" w:type="dxa"/>
            <w:vAlign w:val="bottom"/>
          </w:tcPr>
          <w:p>
            <w:pPr>
              <w:jc w:val="center"/>
              <w:ind w:left="330"/>
              <w:spacing w:after="0" w:line="216" w:lineRule="exact"/>
              <w:rPr>
                <w:sz w:val="20"/>
                <w:szCs w:val="20"/>
                <w:color w:val="auto"/>
              </w:rPr>
            </w:pPr>
            <w:r>
              <w:rPr>
                <w:rFonts w:ascii="Arial" w:cs="Arial" w:eastAsia="Arial" w:hAnsi="Arial"/>
                <w:sz w:val="18"/>
                <w:szCs w:val="18"/>
                <w:color w:val="auto"/>
                <w:w w:val="90"/>
              </w:rPr>
              <w:t>CORPORATION</w:t>
            </w:r>
            <w:r>
              <w:rPr>
                <w:rFonts w:ascii="Arial" w:cs="Arial" w:eastAsia="Arial" w:hAnsi="Arial"/>
                <w:sz w:val="25"/>
                <w:szCs w:val="25"/>
                <w:color w:val="auto"/>
                <w:w w:val="90"/>
                <w:vertAlign w:val="superscript"/>
              </w:rPr>
              <w:t>1,2</w:t>
            </w:r>
          </w:p>
        </w:tc>
        <w:tc>
          <w:tcPr>
            <w:tcW w:w="2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640" w:type="dxa"/>
            <w:vAlign w:val="bottom"/>
          </w:tcPr>
          <w:p>
            <w:pPr>
              <w:jc w:val="center"/>
              <w:ind w:right="130"/>
              <w:spacing w:after="0" w:line="216" w:lineRule="exact"/>
              <w:rPr>
                <w:sz w:val="20"/>
                <w:szCs w:val="20"/>
                <w:color w:val="auto"/>
              </w:rPr>
            </w:pPr>
            <w:r>
              <w:rPr>
                <w:rFonts w:ascii="Arial" w:cs="Arial" w:eastAsia="Arial" w:hAnsi="Arial"/>
                <w:sz w:val="18"/>
                <w:szCs w:val="18"/>
                <w:color w:val="auto"/>
                <w:w w:val="93"/>
              </w:rPr>
              <w:t>FUNDING, INC.</w:t>
            </w:r>
            <w:r>
              <w:rPr>
                <w:rFonts w:ascii="Arial" w:cs="Arial" w:eastAsia="Arial" w:hAnsi="Arial"/>
                <w:sz w:val="25"/>
                <w:szCs w:val="25"/>
                <w:color w:val="auto"/>
                <w:w w:val="93"/>
                <w:vertAlign w:val="superscript"/>
              </w:rPr>
              <w:t>1,2</w:t>
            </w:r>
          </w:p>
        </w:tc>
        <w:tc>
          <w:tcPr>
            <w:tcW w:w="1820" w:type="dxa"/>
            <w:vAlign w:val="bottom"/>
          </w:tcPr>
          <w:p>
            <w:pPr>
              <w:jc w:val="center"/>
              <w:ind w:right="310"/>
              <w:spacing w:after="0"/>
              <w:rPr>
                <w:sz w:val="20"/>
                <w:szCs w:val="20"/>
                <w:color w:val="auto"/>
              </w:rPr>
            </w:pPr>
            <w:r>
              <w:rPr>
                <w:rFonts w:ascii="Arial" w:cs="Arial" w:eastAsia="Arial" w:hAnsi="Arial"/>
                <w:sz w:val="18"/>
                <w:szCs w:val="18"/>
                <w:color w:val="auto"/>
                <w:w w:val="87"/>
              </w:rPr>
              <w:t>OF</w:t>
            </w:r>
          </w:p>
        </w:tc>
        <w:tc>
          <w:tcPr>
            <w:tcW w:w="100" w:type="dxa"/>
            <w:vAlign w:val="bottom"/>
          </w:tcPr>
          <w:p>
            <w:pPr>
              <w:spacing w:after="0"/>
              <w:rPr>
                <w:sz w:val="18"/>
                <w:szCs w:val="18"/>
                <w:color w:val="auto"/>
              </w:rPr>
            </w:pPr>
          </w:p>
        </w:tc>
        <w:tc>
          <w:tcPr>
            <w:tcW w:w="980" w:type="dxa"/>
            <w:vAlign w:val="bottom"/>
          </w:tcPr>
          <w:p>
            <w:pPr>
              <w:jc w:val="center"/>
              <w:ind w:right="42"/>
              <w:spacing w:after="0" w:line="216" w:lineRule="exact"/>
              <w:rPr>
                <w:sz w:val="20"/>
                <w:szCs w:val="20"/>
                <w:color w:val="auto"/>
              </w:rPr>
            </w:pPr>
            <w:r>
              <w:rPr>
                <w:rFonts w:ascii="Arial" w:cs="Arial" w:eastAsia="Arial" w:hAnsi="Arial"/>
                <w:sz w:val="25"/>
                <w:szCs w:val="25"/>
                <w:color w:val="auto"/>
                <w:vertAlign w:val="subscript"/>
              </w:rPr>
              <w:t>PLC</w:t>
            </w:r>
            <w:r>
              <w:rPr>
                <w:rFonts w:ascii="Arial" w:cs="Arial" w:eastAsia="Arial" w:hAnsi="Arial"/>
                <w:sz w:val="11"/>
                <w:szCs w:val="11"/>
                <w:color w:val="auto"/>
              </w:rPr>
              <w:t>1,2</w:t>
            </w: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80"/>
        </w:trPr>
        <w:tc>
          <w:tcPr>
            <w:tcW w:w="1640" w:type="dxa"/>
            <w:vAlign w:val="bottom"/>
          </w:tcPr>
          <w:p>
            <w:pPr>
              <w:spacing w:after="0"/>
              <w:rPr>
                <w:sz w:val="24"/>
                <w:szCs w:val="24"/>
                <w:color w:val="auto"/>
              </w:rPr>
            </w:pPr>
          </w:p>
        </w:tc>
        <w:tc>
          <w:tcPr>
            <w:tcW w:w="1820" w:type="dxa"/>
            <w:vAlign w:val="bottom"/>
          </w:tcPr>
          <w:p>
            <w:pPr>
              <w:jc w:val="center"/>
              <w:ind w:right="310"/>
              <w:spacing w:after="0" w:line="280" w:lineRule="exact"/>
              <w:rPr>
                <w:sz w:val="20"/>
                <w:szCs w:val="20"/>
                <w:color w:val="auto"/>
              </w:rPr>
            </w:pPr>
            <w:r>
              <w:rPr>
                <w:rFonts w:ascii="Arial" w:cs="Arial" w:eastAsia="Arial" w:hAnsi="Arial"/>
                <w:sz w:val="18"/>
                <w:szCs w:val="18"/>
                <w:color w:val="auto"/>
                <w:w w:val="97"/>
              </w:rPr>
              <w:t>CANADA</w:t>
            </w:r>
            <w:r>
              <w:rPr>
                <w:rFonts w:ascii="Arial" w:cs="Arial" w:eastAsia="Arial" w:hAnsi="Arial"/>
                <w:sz w:val="25"/>
                <w:szCs w:val="25"/>
                <w:color w:val="auto"/>
                <w:w w:val="97"/>
                <w:vertAlign w:val="superscript"/>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jc w:val="center"/>
        <w:spacing w:after="0" w:line="228" w:lineRule="auto"/>
        <w:rPr>
          <w:sz w:val="20"/>
          <w:szCs w:val="20"/>
          <w:color w:val="auto"/>
        </w:rPr>
      </w:pPr>
      <w:r>
        <w:rPr>
          <w:rFonts w:ascii="Arial" w:cs="Arial" w:eastAsia="Arial" w:hAnsi="Arial"/>
          <w:sz w:val="20"/>
          <w:szCs w:val="20"/>
          <w:i w:val="1"/>
          <w:iCs w:val="1"/>
          <w:color w:val="auto"/>
        </w:rPr>
        <w:t xml:space="preserve">As Joint Bookrunners and Joint Lead Arrangers when noted ( </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 as Documentation Agents when noted ( </w:t>
      </w:r>
      <w:r>
        <w:rPr>
          <w:rFonts w:ascii="Arial" w:cs="Arial" w:eastAsia="Arial" w:hAnsi="Arial"/>
          <w:sz w:val="25"/>
          <w:szCs w:val="25"/>
          <w:i w:val="1"/>
          <w:iCs w:val="1"/>
          <w:color w:val="auto"/>
          <w:vertAlign w:val="superscript"/>
        </w:rPr>
        <w:t>2</w:t>
      </w:r>
      <w:r>
        <w:rPr>
          <w:rFonts w:ascii="Arial" w:cs="Arial" w:eastAsia="Arial" w:hAnsi="Arial"/>
          <w:sz w:val="20"/>
          <w:szCs w:val="20"/>
          <w:i w:val="1"/>
          <w:iCs w:val="1"/>
          <w:color w:val="auto"/>
        </w:rPr>
        <w:t xml:space="preserve"> ), and as Brazilian Administrative Agent when noted ( </w:t>
      </w:r>
      <w:r>
        <w:rPr>
          <w:rFonts w:ascii="Arial" w:cs="Arial" w:eastAsia="Arial" w:hAnsi="Arial"/>
          <w:sz w:val="25"/>
          <w:szCs w:val="25"/>
          <w:i w:val="1"/>
          <w:iCs w:val="1"/>
          <w:color w:val="auto"/>
          <w:vertAlign w:val="superscript"/>
        </w:rPr>
        <w:t>3</w:t>
      </w:r>
      <w:r>
        <w:rPr>
          <w:rFonts w:ascii="Arial" w:cs="Arial" w:eastAsia="Arial" w:hAnsi="Arial"/>
          <w:sz w:val="20"/>
          <w:szCs w:val="20"/>
          <w:i w:val="1"/>
          <w:iCs w:val="1"/>
          <w:color w:val="auto"/>
        </w:rPr>
        <w:t xml:space="preserve"> )</w:t>
      </w: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0960"/>
          </w:cols>
          <w:pgMar w:left="500" w:top="661" w:right="439" w:bottom="1440" w:gutter="0" w:footer="0" w:header="0"/>
        </w:sectPr>
      </w:pPr>
    </w:p>
    <w:bookmarkStart w:id="53" w:name="page54"/>
    <w:bookmarkEnd w:id="53"/>
    <w:tbl>
      <w:tblPr>
        <w:tblLayout w:type="fixed"/>
        <w:tblInd w:w="320" w:type="dxa"/>
        <w:tblCellMar>
          <w:top w:w="0" w:type="dxa"/>
          <w:left w:w="0" w:type="dxa"/>
          <w:bottom w:w="0" w:type="dxa"/>
          <w:right w:w="0" w:type="dxa"/>
        </w:tblCellMar>
      </w:tblPr>
      <w:tr>
        <w:trPr>
          <w:trHeight w:val="256"/>
        </w:trPr>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40" w:type="dxa"/>
            <w:vAlign w:val="bottom"/>
            <w:gridSpan w:val="23"/>
          </w:tcPr>
          <w:p>
            <w:pPr>
              <w:ind w:left="200"/>
              <w:spacing w:after="0"/>
              <w:rPr>
                <w:sz w:val="20"/>
                <w:szCs w:val="20"/>
                <w:color w:val="auto"/>
              </w:rPr>
            </w:pPr>
            <w:r>
              <w:rPr>
                <w:rFonts w:ascii="Arial" w:cs="Arial" w:eastAsia="Arial" w:hAnsi="Arial"/>
                <w:sz w:val="20"/>
                <w:szCs w:val="20"/>
                <w:b w:val="1"/>
                <w:bCs w:val="1"/>
                <w:color w:val="auto"/>
              </w:rPr>
              <w:t>Table of Contents</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608"/>
        </w:trPr>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gridSpan w:val="3"/>
          </w:tcPr>
          <w:p>
            <w:pPr>
              <w:ind w:left="780"/>
              <w:spacing w:after="0"/>
              <w:rPr>
                <w:sz w:val="20"/>
                <w:szCs w:val="20"/>
                <w:color w:val="auto"/>
              </w:rPr>
            </w:pPr>
            <w:r>
              <w:rPr>
                <w:rFonts w:ascii="Arial" w:cs="Arial" w:eastAsia="Arial" w:hAnsi="Arial"/>
                <w:sz w:val="20"/>
                <w:szCs w:val="20"/>
                <w:b w:val="1"/>
                <w:bCs w:val="1"/>
                <w:color w:val="auto"/>
                <w:w w:val="79"/>
              </w:rPr>
              <w:t>Page</w:t>
            </w:r>
          </w:p>
        </w:tc>
      </w:tr>
      <w:tr>
        <w:trPr>
          <w:trHeight w:val="455"/>
        </w:trPr>
        <w:tc>
          <w:tcPr>
            <w:tcW w:w="1040" w:type="dxa"/>
            <w:vAlign w:val="bottom"/>
            <w:gridSpan w:val="4"/>
          </w:tcPr>
          <w:p>
            <w:pPr>
              <w:spacing w:after="0"/>
              <w:rPr>
                <w:sz w:val="20"/>
                <w:szCs w:val="20"/>
                <w:color w:val="auto"/>
              </w:rPr>
            </w:pPr>
            <w:r>
              <w:rPr>
                <w:rFonts w:ascii="Arial" w:cs="Arial" w:eastAsia="Arial" w:hAnsi="Arial"/>
                <w:sz w:val="20"/>
                <w:szCs w:val="20"/>
                <w:color w:val="0066CC"/>
                <w:w w:val="91"/>
              </w:rPr>
              <w:t>SECTION 1.</w:t>
            </w:r>
          </w:p>
        </w:tc>
        <w:tc>
          <w:tcPr>
            <w:tcW w:w="260" w:type="dxa"/>
            <w:vAlign w:val="bottom"/>
          </w:tcPr>
          <w:p>
            <w:pPr>
              <w:spacing w:after="0"/>
              <w:rPr>
                <w:sz w:val="24"/>
                <w:szCs w:val="24"/>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DEFINITIONS</w:t>
            </w:r>
          </w:p>
        </w:tc>
        <w:tc>
          <w:tcPr>
            <w:tcW w:w="10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FF0000"/>
                <w:strike w:val="1"/>
                <w:w w:val="71"/>
              </w:rPr>
              <w:t>1</w:t>
            </w:r>
          </w:p>
        </w:tc>
        <w:tc>
          <w:tcPr>
            <w:tcW w:w="80" w:type="dxa"/>
            <w:vAlign w:val="bottom"/>
          </w:tcPr>
          <w:p>
            <w:pPr>
              <w:jc w:val="right"/>
              <w:spacing w:after="0"/>
              <w:rPr>
                <w:sz w:val="20"/>
                <w:szCs w:val="20"/>
                <w:color w:val="auto"/>
              </w:rPr>
            </w:pPr>
            <w:r>
              <w:rPr>
                <w:rFonts w:ascii="Arial" w:cs="Arial" w:eastAsia="Arial" w:hAnsi="Arial"/>
                <w:sz w:val="15"/>
                <w:szCs w:val="15"/>
                <w:color w:val="006BBB"/>
                <w:w w:val="71"/>
              </w:rPr>
              <w:t>2</w:t>
            </w:r>
          </w:p>
        </w:tc>
      </w:tr>
      <w:tr>
        <w:trPr>
          <w:trHeight w:val="493"/>
        </w:trPr>
        <w:tc>
          <w:tcPr>
            <w:tcW w:w="240" w:type="dxa"/>
            <w:vAlign w:val="bottom"/>
            <w:tcBorders>
              <w:top w:val="single" w:sz="8" w:color="0066CC"/>
            </w:tcBorders>
          </w:tcPr>
          <w:p>
            <w:pPr>
              <w:spacing w:after="0"/>
              <w:rPr>
                <w:sz w:val="24"/>
                <w:szCs w:val="24"/>
                <w:color w:val="auto"/>
              </w:rPr>
            </w:pPr>
          </w:p>
        </w:tc>
        <w:tc>
          <w:tcPr>
            <w:tcW w:w="240" w:type="dxa"/>
            <w:vAlign w:val="bottom"/>
            <w:tcBorders>
              <w:top w:val="single" w:sz="8" w:color="0066CC"/>
            </w:tcBorders>
          </w:tcPr>
          <w:p>
            <w:pPr>
              <w:spacing w:after="0"/>
              <w:rPr>
                <w:sz w:val="20"/>
                <w:szCs w:val="20"/>
                <w:color w:val="auto"/>
              </w:rPr>
            </w:pPr>
            <w:r>
              <w:rPr>
                <w:rFonts w:ascii="Arial" w:cs="Arial" w:eastAsia="Arial" w:hAnsi="Arial"/>
                <w:sz w:val="20"/>
                <w:szCs w:val="20"/>
                <w:color w:val="0066CC"/>
                <w:w w:val="78"/>
              </w:rPr>
              <w:t>1.</w:t>
            </w:r>
            <w:r>
              <w:rPr>
                <w:rFonts w:ascii="Arial" w:cs="Arial" w:eastAsia="Arial" w:hAnsi="Arial"/>
                <w:sz w:val="20"/>
                <w:szCs w:val="20"/>
                <w:u w:val="single" w:color="auto"/>
                <w:color w:val="0066CC"/>
                <w:w w:val="78"/>
              </w:rPr>
              <w:t>1</w:t>
            </w:r>
          </w:p>
        </w:tc>
        <w:tc>
          <w:tcPr>
            <w:tcW w:w="100" w:type="dxa"/>
            <w:vAlign w:val="bottom"/>
            <w:tcBorders>
              <w:top w:val="single" w:sz="8" w:color="0066CC"/>
            </w:tcBorders>
          </w:tcPr>
          <w:p>
            <w:pPr>
              <w:spacing w:after="0"/>
              <w:rPr>
                <w:sz w:val="24"/>
                <w:szCs w:val="24"/>
                <w:color w:val="auto"/>
              </w:rPr>
            </w:pPr>
          </w:p>
        </w:tc>
        <w:tc>
          <w:tcPr>
            <w:tcW w:w="460" w:type="dxa"/>
            <w:vAlign w:val="bottom"/>
            <w:tcBorders>
              <w:top w:val="single" w:sz="8" w:color="0066CC"/>
            </w:tcBorders>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top w:val="single" w:sz="8" w:color="0066CC"/>
            </w:tcBorders>
            <w:gridSpan w:val="6"/>
          </w:tcPr>
          <w:p>
            <w:pPr>
              <w:spacing w:after="0"/>
              <w:rPr>
                <w:sz w:val="20"/>
                <w:szCs w:val="20"/>
                <w:color w:val="auto"/>
              </w:rPr>
            </w:pPr>
            <w:r>
              <w:rPr>
                <w:rFonts w:ascii="Arial" w:cs="Arial" w:eastAsia="Arial" w:hAnsi="Arial"/>
                <w:sz w:val="20"/>
                <w:szCs w:val="20"/>
                <w:color w:val="0066CC"/>
                <w:w w:val="91"/>
              </w:rPr>
              <w:t xml:space="preserve">Defined </w:t>
            </w:r>
            <w:r>
              <w:rPr>
                <w:rFonts w:ascii="Arial" w:cs="Arial" w:eastAsia="Arial" w:hAnsi="Arial"/>
                <w:sz w:val="20"/>
                <w:szCs w:val="20"/>
                <w:color w:val="006EBF"/>
                <w:w w:val="91"/>
              </w:rPr>
              <w:t>Terms</w:t>
            </w:r>
          </w:p>
        </w:tc>
        <w:tc>
          <w:tcPr>
            <w:tcW w:w="4660" w:type="dxa"/>
            <w:vAlign w:val="bottom"/>
            <w:gridSpan w:val="31"/>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FF0000"/>
                <w:strike w:val="1"/>
                <w:w w:val="71"/>
              </w:rPr>
              <w:t>1</w:t>
            </w:r>
          </w:p>
        </w:tc>
        <w:tc>
          <w:tcPr>
            <w:tcW w:w="80" w:type="dxa"/>
            <w:vAlign w:val="bottom"/>
            <w:tcBorders>
              <w:top w:val="single" w:sz="8" w:color="006BBB"/>
            </w:tcBorders>
          </w:tcPr>
          <w:p>
            <w:pPr>
              <w:jc w:val="right"/>
              <w:spacing w:after="0"/>
              <w:rPr>
                <w:sz w:val="20"/>
                <w:szCs w:val="20"/>
                <w:color w:val="auto"/>
              </w:rPr>
            </w:pPr>
            <w:r>
              <w:rPr>
                <w:rFonts w:ascii="Arial" w:cs="Arial" w:eastAsia="Arial" w:hAnsi="Arial"/>
                <w:sz w:val="15"/>
                <w:szCs w:val="15"/>
                <w:color w:val="006EBF"/>
                <w:w w:val="71"/>
              </w:rPr>
              <w:t>2</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66CC"/>
          </w:tcPr>
          <w:p>
            <w:pPr>
              <w:spacing w:after="0" w:line="20" w:lineRule="exact"/>
              <w:rPr>
                <w:sz w:val="1"/>
                <w:szCs w:val="1"/>
                <w:color w:val="auto"/>
              </w:rPr>
            </w:pPr>
          </w:p>
        </w:tc>
        <w:tc>
          <w:tcPr>
            <w:tcW w:w="180" w:type="dxa"/>
            <w:vAlign w:val="bottom"/>
            <w:shd w:val="clear" w:color="auto" w:fill="0066CC"/>
          </w:tcPr>
          <w:p>
            <w:pPr>
              <w:spacing w:after="0" w:line="20" w:lineRule="exact"/>
              <w:rPr>
                <w:sz w:val="1"/>
                <w:szCs w:val="1"/>
                <w:color w:val="auto"/>
              </w:rPr>
            </w:pPr>
          </w:p>
        </w:tc>
        <w:tc>
          <w:tcPr>
            <w:tcW w:w="120" w:type="dxa"/>
            <w:vAlign w:val="bottom"/>
            <w:shd w:val="clear" w:color="auto" w:fill="006EBF"/>
          </w:tcPr>
          <w:p>
            <w:pPr>
              <w:spacing w:after="0" w:line="20" w:lineRule="exact"/>
              <w:rPr>
                <w:sz w:val="1"/>
                <w:szCs w:val="1"/>
                <w:color w:val="auto"/>
              </w:rPr>
            </w:pPr>
          </w:p>
        </w:tc>
        <w:tc>
          <w:tcPr>
            <w:tcW w:w="40" w:type="dxa"/>
            <w:vAlign w:val="bottom"/>
            <w:shd w:val="clear" w:color="auto" w:fill="006EBF"/>
          </w:tcPr>
          <w:p>
            <w:pPr>
              <w:spacing w:after="0" w:line="20" w:lineRule="exact"/>
              <w:rPr>
                <w:sz w:val="1"/>
                <w:szCs w:val="1"/>
                <w:color w:val="auto"/>
              </w:rPr>
            </w:pPr>
          </w:p>
        </w:tc>
        <w:tc>
          <w:tcPr>
            <w:tcW w:w="360" w:type="dxa"/>
            <w:vAlign w:val="bottom"/>
            <w:shd w:val="clear" w:color="auto" w:fill="006EB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shd w:val="clear" w:color="auto" w:fill="006EBF"/>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1.</w:t>
            </w:r>
            <w:r>
              <w:rPr>
                <w:rFonts w:ascii="Arial" w:cs="Arial" w:eastAsia="Arial" w:hAnsi="Arial"/>
                <w:sz w:val="20"/>
                <w:szCs w:val="20"/>
                <w:u w:val="single" w:color="auto"/>
                <w:color w:val="0066CC"/>
                <w:w w:val="78"/>
              </w:rPr>
              <w:t>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tcBorders>
              <w:bottom w:val="single" w:sz="8" w:color="0066CC"/>
            </w:tcBorders>
            <w:gridSpan w:val="20"/>
          </w:tcPr>
          <w:p>
            <w:pPr>
              <w:spacing w:after="0"/>
              <w:rPr>
                <w:sz w:val="20"/>
                <w:szCs w:val="20"/>
                <w:color w:val="auto"/>
              </w:rPr>
            </w:pPr>
            <w:r>
              <w:rPr>
                <w:rFonts w:ascii="Arial" w:cs="Arial" w:eastAsia="Arial" w:hAnsi="Arial"/>
                <w:sz w:val="20"/>
                <w:szCs w:val="20"/>
                <w:color w:val="0066CC"/>
                <w:w w:val="91"/>
              </w:rPr>
              <w:t>Other Definitional Provisions</w:t>
            </w:r>
          </w:p>
        </w:tc>
        <w:tc>
          <w:tcPr>
            <w:tcW w:w="3540" w:type="dxa"/>
            <w:vAlign w:val="bottom"/>
            <w:gridSpan w:val="17"/>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35</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36</w:t>
            </w:r>
          </w:p>
        </w:tc>
      </w:tr>
      <w:tr>
        <w:trPr>
          <w:trHeight w:val="264"/>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1.</w:t>
            </w:r>
            <w:r>
              <w:rPr>
                <w:rFonts w:ascii="Arial" w:cs="Arial" w:eastAsia="Arial" w:hAnsi="Arial"/>
                <w:sz w:val="20"/>
                <w:szCs w:val="20"/>
                <w:u w:val="single" w:color="auto"/>
                <w:color w:val="0066CC"/>
                <w:w w:val="78"/>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00" w:type="dxa"/>
            <w:vAlign w:val="bottom"/>
            <w:tcBorders>
              <w:bottom w:val="single" w:sz="8" w:color="0066CC"/>
            </w:tcBorders>
            <w:gridSpan w:val="23"/>
          </w:tcPr>
          <w:p>
            <w:pPr>
              <w:spacing w:after="0"/>
              <w:rPr>
                <w:sz w:val="20"/>
                <w:szCs w:val="20"/>
                <w:color w:val="auto"/>
              </w:rPr>
            </w:pPr>
            <w:r>
              <w:rPr>
                <w:rFonts w:ascii="Arial" w:cs="Arial" w:eastAsia="Arial" w:hAnsi="Arial"/>
                <w:sz w:val="20"/>
                <w:szCs w:val="20"/>
                <w:color w:val="0066CC"/>
                <w:w w:val="89"/>
              </w:rPr>
              <w:t>Conversion of Foreign Currencies</w:t>
            </w:r>
          </w:p>
        </w:tc>
        <w:tc>
          <w:tcPr>
            <w:tcW w:w="3180" w:type="dxa"/>
            <w:vAlign w:val="bottom"/>
            <w:gridSpan w:val="14"/>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36</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37</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1.</w:t>
            </w:r>
            <w:r>
              <w:rPr>
                <w:rFonts w:ascii="Arial" w:cs="Arial" w:eastAsia="Arial" w:hAnsi="Arial"/>
                <w:sz w:val="20"/>
                <w:szCs w:val="20"/>
                <w:u w:val="single" w:color="auto"/>
                <w:color w:val="0066CC"/>
                <w:w w:val="78"/>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tcBorders>
              <w:bottom w:val="single" w:sz="8" w:color="0066CC"/>
            </w:tcBorders>
            <w:gridSpan w:val="19"/>
          </w:tcPr>
          <w:p>
            <w:pPr>
              <w:spacing w:after="0"/>
              <w:rPr>
                <w:sz w:val="20"/>
                <w:szCs w:val="20"/>
                <w:color w:val="auto"/>
              </w:rPr>
            </w:pPr>
            <w:r>
              <w:rPr>
                <w:rFonts w:ascii="Arial" w:cs="Arial" w:eastAsia="Arial" w:hAnsi="Arial"/>
                <w:sz w:val="20"/>
                <w:szCs w:val="20"/>
                <w:color w:val="0066CC"/>
                <w:w w:val="90"/>
              </w:rPr>
              <w:t>Other Interpretive Provisions</w:t>
            </w:r>
          </w:p>
        </w:tc>
        <w:tc>
          <w:tcPr>
            <w:tcW w:w="3560" w:type="dxa"/>
            <w:vAlign w:val="bottom"/>
            <w:gridSpan w:val="18"/>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36</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37</w:t>
            </w: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1.</w:t>
            </w:r>
            <w:r>
              <w:rPr>
                <w:rFonts w:ascii="Arial" w:cs="Arial" w:eastAsia="Arial" w:hAnsi="Arial"/>
                <w:sz w:val="20"/>
                <w:szCs w:val="20"/>
                <w:u w:val="single" w:color="auto"/>
                <w:color w:val="0066CC"/>
                <w:w w:val="78"/>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Interest Rates; LIBOR Notification</w:t>
            </w:r>
          </w:p>
        </w:tc>
        <w:tc>
          <w:tcPr>
            <w:tcW w:w="1180" w:type="dxa"/>
            <w:vAlign w:val="bottom"/>
            <w:gridSpan w:val="3"/>
          </w:tcPr>
          <w:p>
            <w:pPr>
              <w:jc w:val="right"/>
              <w:spacing w:after="0"/>
              <w:rPr>
                <w:sz w:val="20"/>
                <w:szCs w:val="20"/>
                <w:color w:val="auto"/>
              </w:rPr>
            </w:pPr>
            <w:r>
              <w:rPr>
                <w:rFonts w:ascii="Arial" w:cs="Arial" w:eastAsia="Arial" w:hAnsi="Arial"/>
                <w:sz w:val="20"/>
                <w:szCs w:val="20"/>
                <w:color w:val="006EBF"/>
              </w:rPr>
              <w:t>38</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66CC"/>
          </w:tcPr>
          <w:p>
            <w:pPr>
              <w:spacing w:after="0" w:line="20" w:lineRule="exact"/>
              <w:rPr>
                <w:sz w:val="1"/>
                <w:szCs w:val="1"/>
                <w:color w:val="auto"/>
              </w:rPr>
            </w:pPr>
          </w:p>
        </w:tc>
        <w:tc>
          <w:tcPr>
            <w:tcW w:w="300" w:type="dxa"/>
            <w:vAlign w:val="bottom"/>
            <w:gridSpan w:val="2"/>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600" w:type="dxa"/>
            <w:vAlign w:val="bottom"/>
            <w:gridSpan w:val="3"/>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00" w:type="dxa"/>
            <w:vAlign w:val="bottom"/>
            <w:tcBorders>
              <w:right w:val="single" w:sz="8" w:color="0066CC"/>
            </w:tcBorders>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60" w:type="dxa"/>
            <w:vAlign w:val="bottom"/>
            <w:tcBorders>
              <w:right w:val="single" w:sz="8" w:color="0066CC"/>
            </w:tcBorders>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22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340" w:type="dxa"/>
            <w:vAlign w:val="bottom"/>
            <w:gridSpan w:val="3"/>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20" w:type="dxa"/>
            <w:vAlign w:val="bottom"/>
            <w:gridSpan w:val="2"/>
            <w:shd w:val="clear" w:color="auto" w:fill="0066C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6EBF"/>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1.</w:t>
            </w:r>
            <w:r>
              <w:rPr>
                <w:rFonts w:ascii="Arial" w:cs="Arial" w:eastAsia="Arial" w:hAnsi="Arial"/>
                <w:sz w:val="20"/>
                <w:szCs w:val="20"/>
                <w:u w:val="single" w:color="auto"/>
                <w:color w:val="0066CC"/>
                <w:w w:val="78"/>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Arial" w:cs="Arial" w:eastAsia="Arial" w:hAnsi="Arial"/>
                <w:sz w:val="20"/>
                <w:szCs w:val="20"/>
                <w:color w:val="0066CC"/>
                <w:w w:val="92"/>
              </w:rPr>
              <w:t>Divisions</w:t>
            </w:r>
          </w:p>
        </w:tc>
        <w:tc>
          <w:tcPr>
            <w:tcW w:w="2020" w:type="dxa"/>
            <w:vAlign w:val="bottom"/>
            <w:gridSpan w:val="21"/>
          </w:tcPr>
          <w:p>
            <w:pPr>
              <w:spacing w:after="0"/>
              <w:rPr>
                <w:sz w:val="22"/>
                <w:szCs w:val="22"/>
                <w:color w:val="auto"/>
              </w:rPr>
            </w:pPr>
          </w:p>
        </w:tc>
        <w:tc>
          <w:tcPr>
            <w:tcW w:w="3100" w:type="dxa"/>
            <w:vAlign w:val="bottom"/>
            <w:gridSpan w:val="13"/>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006EBF"/>
              </w:rPr>
              <w:t>38</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shd w:val="clear" w:color="auto" w:fill="0066CC"/>
          </w:tcPr>
          <w:p>
            <w:pPr>
              <w:spacing w:after="0" w:line="20" w:lineRule="exact"/>
              <w:rPr>
                <w:sz w:val="1"/>
                <w:szCs w:val="1"/>
                <w:color w:val="auto"/>
              </w:rPr>
            </w:pPr>
          </w:p>
        </w:tc>
        <w:tc>
          <w:tcPr>
            <w:tcW w:w="300" w:type="dxa"/>
            <w:vAlign w:val="bottom"/>
            <w:gridSpan w:val="2"/>
            <w:shd w:val="clear" w:color="auto" w:fill="0066C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6EBF"/>
          </w:tcPr>
          <w:p>
            <w:pPr>
              <w:spacing w:after="0" w:line="20" w:lineRule="exact"/>
              <w:rPr>
                <w:sz w:val="1"/>
                <w:szCs w:val="1"/>
                <w:color w:val="auto"/>
              </w:rPr>
            </w:pPr>
          </w:p>
        </w:tc>
      </w:tr>
      <w:tr>
        <w:trPr>
          <w:trHeight w:val="493"/>
        </w:trPr>
        <w:tc>
          <w:tcPr>
            <w:tcW w:w="7180" w:type="dxa"/>
            <w:vAlign w:val="bottom"/>
            <w:gridSpan w:val="42"/>
          </w:tcPr>
          <w:p>
            <w:pPr>
              <w:spacing w:after="0"/>
              <w:rPr>
                <w:sz w:val="20"/>
                <w:szCs w:val="20"/>
                <w:color w:val="auto"/>
              </w:rPr>
            </w:pPr>
            <w:r>
              <w:rPr>
                <w:rFonts w:ascii="Arial" w:cs="Arial" w:eastAsia="Arial" w:hAnsi="Arial"/>
                <w:sz w:val="20"/>
                <w:szCs w:val="20"/>
                <w:color w:val="0066CC"/>
              </w:rPr>
              <w:t>SECTION 2.   AMOUNT AND TERMS OF COMMITMENTS</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36</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38</w:t>
            </w:r>
          </w:p>
        </w:tc>
      </w:tr>
      <w:tr>
        <w:trPr>
          <w:trHeight w:val="493"/>
        </w:trPr>
        <w:tc>
          <w:tcPr>
            <w:tcW w:w="240" w:type="dxa"/>
            <w:vAlign w:val="bottom"/>
            <w:tcBorders>
              <w:top w:val="single" w:sz="8" w:color="0066CC"/>
            </w:tcBorders>
          </w:tcPr>
          <w:p>
            <w:pPr>
              <w:spacing w:after="0"/>
              <w:rPr>
                <w:sz w:val="24"/>
                <w:szCs w:val="24"/>
                <w:color w:val="auto"/>
              </w:rPr>
            </w:pPr>
          </w:p>
        </w:tc>
        <w:tc>
          <w:tcPr>
            <w:tcW w:w="240" w:type="dxa"/>
            <w:vAlign w:val="bottom"/>
            <w:tcBorders>
              <w:top w:val="single" w:sz="8" w:color="0066CC"/>
            </w:tcBorders>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1</w:t>
            </w:r>
          </w:p>
        </w:tc>
        <w:tc>
          <w:tcPr>
            <w:tcW w:w="100" w:type="dxa"/>
            <w:vAlign w:val="bottom"/>
            <w:tcBorders>
              <w:top w:val="single" w:sz="8" w:color="0066CC"/>
            </w:tcBorders>
          </w:tcPr>
          <w:p>
            <w:pPr>
              <w:spacing w:after="0"/>
              <w:rPr>
                <w:sz w:val="24"/>
                <w:szCs w:val="24"/>
                <w:color w:val="auto"/>
              </w:rPr>
            </w:pPr>
          </w:p>
        </w:tc>
        <w:tc>
          <w:tcPr>
            <w:tcW w:w="460" w:type="dxa"/>
            <w:vAlign w:val="bottom"/>
            <w:tcBorders>
              <w:top w:val="single" w:sz="8" w:color="0066CC"/>
            </w:tcBorders>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Borders>
              <w:top w:val="single" w:sz="8" w:color="0066CC"/>
            </w:tcBorders>
            <w:gridSpan w:val="33"/>
          </w:tcPr>
          <w:p>
            <w:pPr>
              <w:spacing w:after="0"/>
              <w:rPr>
                <w:sz w:val="20"/>
                <w:szCs w:val="20"/>
                <w:color w:val="auto"/>
              </w:rPr>
            </w:pPr>
            <w:r>
              <w:rPr>
                <w:rFonts w:ascii="Arial" w:cs="Arial" w:eastAsia="Arial" w:hAnsi="Arial"/>
                <w:sz w:val="20"/>
                <w:szCs w:val="20"/>
                <w:color w:val="0066CC"/>
              </w:rPr>
              <w:t>Domestic Commitments</w:t>
            </w:r>
          </w:p>
        </w:tc>
        <w:tc>
          <w:tcPr>
            <w:tcW w:w="2000" w:type="dxa"/>
            <w:vAlign w:val="bottom"/>
            <w:gridSpan w:val="4"/>
          </w:tcPr>
          <w:p>
            <w:pPr>
              <w:spacing w:after="0"/>
              <w:rPr>
                <w:sz w:val="24"/>
                <w:szCs w:val="24"/>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36</w:t>
            </w:r>
          </w:p>
        </w:tc>
        <w:tc>
          <w:tcPr>
            <w:tcW w:w="180" w:type="dxa"/>
            <w:vAlign w:val="bottom"/>
            <w:tcBorders>
              <w:top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38</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66CC"/>
          </w:tcPr>
          <w:p>
            <w:pPr>
              <w:spacing w:after="0" w:line="20" w:lineRule="exact"/>
              <w:rPr>
                <w:sz w:val="1"/>
                <w:szCs w:val="1"/>
                <w:color w:val="auto"/>
              </w:rPr>
            </w:pPr>
          </w:p>
        </w:tc>
        <w:tc>
          <w:tcPr>
            <w:tcW w:w="340" w:type="dxa"/>
            <w:vAlign w:val="bottom"/>
            <w:gridSpan w:val="3"/>
            <w:shd w:val="clear" w:color="auto" w:fill="0066CC"/>
          </w:tcPr>
          <w:p>
            <w:pPr>
              <w:spacing w:after="0" w:line="20" w:lineRule="exact"/>
              <w:rPr>
                <w:sz w:val="1"/>
                <w:szCs w:val="1"/>
                <w:color w:val="auto"/>
              </w:rPr>
            </w:pPr>
          </w:p>
        </w:tc>
        <w:tc>
          <w:tcPr>
            <w:tcW w:w="600" w:type="dxa"/>
            <w:vAlign w:val="bottom"/>
            <w:gridSpan w:val="3"/>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00" w:type="dxa"/>
            <w:vAlign w:val="bottom"/>
            <w:tcBorders>
              <w:right w:val="single" w:sz="8" w:color="0066CC"/>
            </w:tcBorders>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60" w:type="dxa"/>
            <w:vAlign w:val="bottom"/>
            <w:tcBorders>
              <w:right w:val="single" w:sz="8" w:color="0066CC"/>
            </w:tcBorders>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6EBF"/>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Procedure for Domestic Loan Borrowing</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37</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39</w:t>
            </w:r>
          </w:p>
        </w:tc>
      </w:tr>
      <w:tr>
        <w:trPr>
          <w:trHeight w:val="264"/>
        </w:trPr>
        <w:tc>
          <w:tcPr>
            <w:tcW w:w="240" w:type="dxa"/>
            <w:vAlign w:val="bottom"/>
          </w:tcPr>
          <w:p>
            <w:pPr>
              <w:spacing w:after="0"/>
              <w:rPr>
                <w:sz w:val="22"/>
                <w:szCs w:val="22"/>
                <w:color w:val="auto"/>
              </w:rPr>
            </w:pPr>
          </w:p>
        </w:tc>
        <w:tc>
          <w:tcPr>
            <w:tcW w:w="24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tcBorders>
              <w:top w:val="single" w:sz="8" w:color="0066CC"/>
              <w:bottom w:val="single" w:sz="8" w:color="0066CC"/>
            </w:tcBorders>
            <w:gridSpan w:val="18"/>
          </w:tcPr>
          <w:p>
            <w:pPr>
              <w:spacing w:after="0"/>
              <w:rPr>
                <w:sz w:val="20"/>
                <w:szCs w:val="20"/>
                <w:color w:val="auto"/>
              </w:rPr>
            </w:pPr>
            <w:r>
              <w:rPr>
                <w:rFonts w:ascii="Arial" w:cs="Arial" w:eastAsia="Arial" w:hAnsi="Arial"/>
                <w:sz w:val="20"/>
                <w:szCs w:val="20"/>
                <w:color w:val="0066CC"/>
                <w:w w:val="91"/>
              </w:rPr>
              <w:t>Multicurrency Commitments</w:t>
            </w:r>
          </w:p>
        </w:tc>
        <w:tc>
          <w:tcPr>
            <w:tcW w:w="940" w:type="dxa"/>
            <w:vAlign w:val="bottom"/>
            <w:tcBorders>
              <w:top w:val="single" w:sz="8" w:color="0066CC"/>
            </w:tcBorders>
            <w:gridSpan w:val="12"/>
          </w:tcPr>
          <w:p>
            <w:pPr>
              <w:spacing w:after="0"/>
              <w:rPr>
                <w:sz w:val="22"/>
                <w:szCs w:val="22"/>
                <w:color w:val="auto"/>
              </w:rPr>
            </w:pPr>
          </w:p>
        </w:tc>
        <w:tc>
          <w:tcPr>
            <w:tcW w:w="2640" w:type="dxa"/>
            <w:vAlign w:val="bottom"/>
            <w:gridSpan w:val="7"/>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37</w:t>
            </w:r>
          </w:p>
        </w:tc>
        <w:tc>
          <w:tcPr>
            <w:tcW w:w="180" w:type="dxa"/>
            <w:vAlign w:val="bottom"/>
            <w:tcBorders>
              <w:top w:val="single" w:sz="8" w:color="006EBF"/>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39</w:t>
            </w: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Procedure for Multicurrency Loan Borrowing</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38</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40</w:t>
            </w:r>
          </w:p>
        </w:tc>
      </w:tr>
      <w:tr>
        <w:trPr>
          <w:trHeight w:val="263"/>
        </w:trPr>
        <w:tc>
          <w:tcPr>
            <w:tcW w:w="240" w:type="dxa"/>
            <w:vAlign w:val="bottom"/>
          </w:tcPr>
          <w:p>
            <w:pPr>
              <w:spacing w:after="0"/>
              <w:rPr>
                <w:sz w:val="22"/>
                <w:szCs w:val="22"/>
                <w:color w:val="auto"/>
              </w:rPr>
            </w:pPr>
          </w:p>
        </w:tc>
        <w:tc>
          <w:tcPr>
            <w:tcW w:w="24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Borders>
              <w:top w:val="single" w:sz="8" w:color="0066CC"/>
              <w:bottom w:val="single" w:sz="8" w:color="0066CC"/>
            </w:tcBorders>
            <w:gridSpan w:val="13"/>
          </w:tcPr>
          <w:p>
            <w:pPr>
              <w:spacing w:after="0"/>
              <w:rPr>
                <w:sz w:val="20"/>
                <w:szCs w:val="20"/>
                <w:color w:val="auto"/>
              </w:rPr>
            </w:pPr>
            <w:r>
              <w:rPr>
                <w:rFonts w:ascii="Arial" w:cs="Arial" w:eastAsia="Arial" w:hAnsi="Arial"/>
                <w:sz w:val="20"/>
                <w:szCs w:val="20"/>
                <w:color w:val="0066CC"/>
                <w:w w:val="91"/>
              </w:rPr>
              <w:t>Brazilian Commitments</w:t>
            </w:r>
          </w:p>
        </w:tc>
        <w:tc>
          <w:tcPr>
            <w:tcW w:w="1700" w:type="dxa"/>
            <w:vAlign w:val="bottom"/>
            <w:tcBorders>
              <w:top w:val="single" w:sz="8" w:color="0066CC"/>
            </w:tcBorders>
            <w:gridSpan w:val="19"/>
          </w:tcPr>
          <w:p>
            <w:pPr>
              <w:spacing w:after="0"/>
              <w:rPr>
                <w:sz w:val="22"/>
                <w:szCs w:val="22"/>
                <w:color w:val="auto"/>
              </w:rPr>
            </w:pPr>
          </w:p>
        </w:tc>
        <w:tc>
          <w:tcPr>
            <w:tcW w:w="2260" w:type="dxa"/>
            <w:vAlign w:val="bottom"/>
            <w:gridSpan w:val="5"/>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39</w:t>
            </w:r>
          </w:p>
        </w:tc>
        <w:tc>
          <w:tcPr>
            <w:tcW w:w="180" w:type="dxa"/>
            <w:vAlign w:val="bottom"/>
            <w:tcBorders>
              <w:top w:val="single" w:sz="8" w:color="006EBF"/>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40</w:t>
            </w: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Brazilian Reporting</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39</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41</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66CC"/>
          </w:tcPr>
          <w:p>
            <w:pPr>
              <w:spacing w:after="0" w:line="20" w:lineRule="exact"/>
              <w:rPr>
                <w:sz w:val="1"/>
                <w:szCs w:val="1"/>
                <w:color w:val="auto"/>
              </w:rPr>
            </w:pPr>
          </w:p>
        </w:tc>
        <w:tc>
          <w:tcPr>
            <w:tcW w:w="340" w:type="dxa"/>
            <w:vAlign w:val="bottom"/>
            <w:gridSpan w:val="3"/>
            <w:shd w:val="clear" w:color="auto" w:fill="0066CC"/>
          </w:tcPr>
          <w:p>
            <w:pPr>
              <w:spacing w:after="0" w:line="20" w:lineRule="exact"/>
              <w:rPr>
                <w:sz w:val="1"/>
                <w:szCs w:val="1"/>
                <w:color w:val="auto"/>
              </w:rPr>
            </w:pPr>
          </w:p>
        </w:tc>
        <w:tc>
          <w:tcPr>
            <w:tcW w:w="600" w:type="dxa"/>
            <w:vAlign w:val="bottom"/>
            <w:gridSpan w:val="3"/>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00" w:type="dxa"/>
            <w:vAlign w:val="bottom"/>
            <w:tcBorders>
              <w:right w:val="single" w:sz="8" w:color="0066CC"/>
            </w:tcBorders>
            <w:shd w:val="clear" w:color="auto" w:fill="0066C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6EBF"/>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80" w:type="dxa"/>
            <w:vAlign w:val="bottom"/>
            <w:tcBorders>
              <w:bottom w:val="single" w:sz="8" w:color="0066CC"/>
            </w:tcBorders>
            <w:gridSpan w:val="16"/>
          </w:tcPr>
          <w:p>
            <w:pPr>
              <w:spacing w:after="0"/>
              <w:rPr>
                <w:sz w:val="20"/>
                <w:szCs w:val="20"/>
                <w:color w:val="auto"/>
              </w:rPr>
            </w:pPr>
            <w:r>
              <w:rPr>
                <w:rFonts w:ascii="Arial" w:cs="Arial" w:eastAsia="Arial" w:hAnsi="Arial"/>
                <w:sz w:val="20"/>
                <w:szCs w:val="20"/>
                <w:color w:val="0066CC"/>
                <w:w w:val="90"/>
              </w:rPr>
              <w:t>L/C Tranche Commitments</w:t>
            </w:r>
          </w:p>
        </w:tc>
        <w:tc>
          <w:tcPr>
            <w:tcW w:w="3700" w:type="dxa"/>
            <w:vAlign w:val="bottom"/>
            <w:gridSpan w:val="21"/>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39</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41</w:t>
            </w:r>
          </w:p>
        </w:tc>
      </w:tr>
      <w:tr>
        <w:trPr>
          <w:trHeight w:val="264"/>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Procedure for L/C Tranche Loan Borrowing</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40</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41</w:t>
            </w:r>
          </w:p>
        </w:tc>
      </w:tr>
      <w:tr>
        <w:trPr>
          <w:trHeight w:val="263"/>
        </w:trPr>
        <w:tc>
          <w:tcPr>
            <w:tcW w:w="240" w:type="dxa"/>
            <w:vAlign w:val="bottom"/>
          </w:tcPr>
          <w:p>
            <w:pPr>
              <w:spacing w:after="0"/>
              <w:rPr>
                <w:sz w:val="22"/>
                <w:szCs w:val="22"/>
                <w:color w:val="auto"/>
              </w:rPr>
            </w:pPr>
          </w:p>
        </w:tc>
        <w:tc>
          <w:tcPr>
            <w:tcW w:w="240" w:type="dxa"/>
            <w:vAlign w:val="bottom"/>
            <w:tcBorders>
              <w:top w:val="single" w:sz="8" w:color="0066CC"/>
            </w:tcBorders>
          </w:tcPr>
          <w:p>
            <w:pPr>
              <w:spacing w:after="0"/>
              <w:rPr>
                <w:sz w:val="20"/>
                <w:szCs w:val="20"/>
                <w:color w:val="auto"/>
              </w:rPr>
            </w:pPr>
            <w:r>
              <w:rPr>
                <w:rFonts w:ascii="Arial" w:cs="Arial" w:eastAsia="Arial" w:hAnsi="Arial"/>
                <w:sz w:val="20"/>
                <w:szCs w:val="20"/>
                <w:color w:val="0066CC"/>
                <w:w w:val="78"/>
              </w:rPr>
              <w:t>2.</w:t>
            </w:r>
            <w:r>
              <w:rPr>
                <w:rFonts w:ascii="Arial" w:cs="Arial" w:eastAsia="Arial" w:hAnsi="Arial"/>
                <w:sz w:val="20"/>
                <w:szCs w:val="20"/>
                <w:u w:val="single" w:color="auto"/>
                <w:color w:val="0066CC"/>
                <w:w w:val="78"/>
              </w:rPr>
              <w:t>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80" w:type="dxa"/>
            <w:vAlign w:val="bottom"/>
            <w:tcBorders>
              <w:top w:val="single" w:sz="8" w:color="0066CC"/>
            </w:tcBorders>
            <w:gridSpan w:val="31"/>
          </w:tcPr>
          <w:p>
            <w:pPr>
              <w:spacing w:after="0"/>
              <w:rPr>
                <w:sz w:val="20"/>
                <w:szCs w:val="20"/>
                <w:color w:val="auto"/>
              </w:rPr>
            </w:pPr>
            <w:r>
              <w:rPr>
                <w:rFonts w:ascii="Arial" w:cs="Arial" w:eastAsia="Arial" w:hAnsi="Arial"/>
                <w:sz w:val="20"/>
                <w:szCs w:val="20"/>
                <w:color w:val="0066CC"/>
              </w:rPr>
              <w:t>Competitive Bid Procedure</w:t>
            </w:r>
          </w:p>
        </w:tc>
        <w:tc>
          <w:tcPr>
            <w:tcW w:w="2400" w:type="dxa"/>
            <w:vAlign w:val="bottom"/>
            <w:gridSpan w:val="6"/>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41</w:t>
            </w:r>
          </w:p>
        </w:tc>
        <w:tc>
          <w:tcPr>
            <w:tcW w:w="180" w:type="dxa"/>
            <w:vAlign w:val="bottom"/>
            <w:tcBorders>
              <w:top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42</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66CC"/>
          </w:tcPr>
          <w:p>
            <w:pPr>
              <w:spacing w:after="0" w:line="20" w:lineRule="exact"/>
              <w:rPr>
                <w:sz w:val="1"/>
                <w:szCs w:val="1"/>
                <w:color w:val="auto"/>
              </w:rPr>
            </w:pPr>
          </w:p>
        </w:tc>
        <w:tc>
          <w:tcPr>
            <w:tcW w:w="340" w:type="dxa"/>
            <w:vAlign w:val="bottom"/>
            <w:gridSpan w:val="3"/>
            <w:shd w:val="clear" w:color="auto" w:fill="0066CC"/>
          </w:tcPr>
          <w:p>
            <w:pPr>
              <w:spacing w:after="0" w:line="20" w:lineRule="exact"/>
              <w:rPr>
                <w:sz w:val="1"/>
                <w:szCs w:val="1"/>
                <w:color w:val="auto"/>
              </w:rPr>
            </w:pPr>
          </w:p>
        </w:tc>
        <w:tc>
          <w:tcPr>
            <w:tcW w:w="600" w:type="dxa"/>
            <w:vAlign w:val="bottom"/>
            <w:gridSpan w:val="3"/>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00" w:type="dxa"/>
            <w:vAlign w:val="bottom"/>
            <w:tcBorders>
              <w:right w:val="single" w:sz="8" w:color="0066CC"/>
            </w:tcBorders>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80" w:type="dxa"/>
            <w:vAlign w:val="bottom"/>
            <w:gridSpan w:val="2"/>
            <w:shd w:val="clear" w:color="auto" w:fill="0066CC"/>
          </w:tcPr>
          <w:p>
            <w:pPr>
              <w:spacing w:after="0" w:line="20" w:lineRule="exact"/>
              <w:rPr>
                <w:sz w:val="1"/>
                <w:szCs w:val="1"/>
                <w:color w:val="auto"/>
              </w:rPr>
            </w:pPr>
          </w:p>
        </w:tc>
        <w:tc>
          <w:tcPr>
            <w:tcW w:w="220" w:type="dxa"/>
            <w:vAlign w:val="bottom"/>
            <w:shd w:val="clear" w:color="auto" w:fill="0066CC"/>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6EBF"/>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10</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Borders>
              <w:bottom w:val="single" w:sz="8" w:color="0066CC"/>
            </w:tcBorders>
            <w:gridSpan w:val="7"/>
          </w:tcPr>
          <w:p>
            <w:pPr>
              <w:spacing w:after="0"/>
              <w:rPr>
                <w:sz w:val="20"/>
                <w:szCs w:val="20"/>
                <w:color w:val="auto"/>
              </w:rPr>
            </w:pPr>
            <w:r>
              <w:rPr>
                <w:rFonts w:ascii="Arial" w:cs="Arial" w:eastAsia="Arial" w:hAnsi="Arial"/>
                <w:sz w:val="20"/>
                <w:szCs w:val="20"/>
                <w:color w:val="0066CC"/>
                <w:w w:val="88"/>
              </w:rPr>
              <w:t>Facility Fees, etc.</w:t>
            </w:r>
          </w:p>
        </w:tc>
        <w:tc>
          <w:tcPr>
            <w:tcW w:w="4480" w:type="dxa"/>
            <w:vAlign w:val="bottom"/>
            <w:gridSpan w:val="30"/>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43</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45</w:t>
            </w: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11</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Termination, Reduction and Reallocation of Commitments</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44</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45</w:t>
            </w:r>
          </w:p>
        </w:tc>
      </w:tr>
      <w:tr>
        <w:trPr>
          <w:trHeight w:val="263"/>
        </w:trPr>
        <w:tc>
          <w:tcPr>
            <w:tcW w:w="240" w:type="dxa"/>
            <w:vAlign w:val="bottom"/>
          </w:tcPr>
          <w:p>
            <w:pPr>
              <w:spacing w:after="0"/>
              <w:rPr>
                <w:sz w:val="22"/>
                <w:szCs w:val="22"/>
                <w:color w:val="auto"/>
              </w:rPr>
            </w:pPr>
          </w:p>
        </w:tc>
        <w:tc>
          <w:tcPr>
            <w:tcW w:w="340" w:type="dxa"/>
            <w:vAlign w:val="bottom"/>
            <w:tcBorders>
              <w:top w:val="single" w:sz="8" w:color="0066CC"/>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12</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Borders>
              <w:top w:val="single" w:sz="8" w:color="0066CC"/>
              <w:bottom w:val="single" w:sz="8" w:color="0066CC"/>
            </w:tcBorders>
            <w:gridSpan w:val="12"/>
          </w:tcPr>
          <w:p>
            <w:pPr>
              <w:spacing w:after="0"/>
              <w:rPr>
                <w:sz w:val="20"/>
                <w:szCs w:val="20"/>
                <w:color w:val="auto"/>
              </w:rPr>
            </w:pPr>
            <w:r>
              <w:rPr>
                <w:rFonts w:ascii="Arial" w:cs="Arial" w:eastAsia="Arial" w:hAnsi="Arial"/>
                <w:sz w:val="20"/>
                <w:szCs w:val="20"/>
                <w:color w:val="0066CC"/>
                <w:w w:val="87"/>
              </w:rPr>
              <w:t>Optional Prepayments</w:t>
            </w:r>
          </w:p>
        </w:tc>
        <w:tc>
          <w:tcPr>
            <w:tcW w:w="2880" w:type="dxa"/>
            <w:vAlign w:val="bottom"/>
            <w:tcBorders>
              <w:top w:val="single" w:sz="8" w:color="0066CC"/>
            </w:tcBorders>
            <w:gridSpan w:val="23"/>
          </w:tcPr>
          <w:p>
            <w:pPr>
              <w:spacing w:after="0"/>
              <w:rPr>
                <w:sz w:val="22"/>
                <w:szCs w:val="22"/>
                <w:color w:val="auto"/>
              </w:rPr>
            </w:pPr>
          </w:p>
        </w:tc>
        <w:tc>
          <w:tcPr>
            <w:tcW w:w="1240" w:type="dxa"/>
            <w:vAlign w:val="bottom"/>
            <w:gridSpan w:val="2"/>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46</w:t>
            </w:r>
          </w:p>
        </w:tc>
        <w:tc>
          <w:tcPr>
            <w:tcW w:w="180" w:type="dxa"/>
            <w:vAlign w:val="bottom"/>
            <w:tcBorders>
              <w:top w:val="single" w:sz="8" w:color="006EBF"/>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48</w:t>
            </w: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13</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40" w:type="dxa"/>
            <w:vAlign w:val="bottom"/>
            <w:tcBorders>
              <w:bottom w:val="single" w:sz="8" w:color="0066CC"/>
            </w:tcBorders>
            <w:gridSpan w:val="14"/>
          </w:tcPr>
          <w:p>
            <w:pPr>
              <w:spacing w:after="0"/>
              <w:rPr>
                <w:sz w:val="20"/>
                <w:szCs w:val="20"/>
                <w:color w:val="auto"/>
              </w:rPr>
            </w:pPr>
            <w:r>
              <w:rPr>
                <w:rFonts w:ascii="Arial" w:cs="Arial" w:eastAsia="Arial" w:hAnsi="Arial"/>
                <w:sz w:val="20"/>
                <w:szCs w:val="20"/>
                <w:color w:val="0066CC"/>
                <w:w w:val="88"/>
              </w:rPr>
              <w:t>Mandatory Prepayments</w:t>
            </w:r>
          </w:p>
        </w:tc>
        <w:tc>
          <w:tcPr>
            <w:tcW w:w="3940" w:type="dxa"/>
            <w:vAlign w:val="bottom"/>
            <w:gridSpan w:val="23"/>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47</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49</w:t>
            </w:r>
          </w:p>
        </w:tc>
      </w:tr>
      <w:tr>
        <w:trPr>
          <w:trHeight w:val="264"/>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14</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20" w:type="dxa"/>
            <w:vAlign w:val="bottom"/>
            <w:tcBorders>
              <w:bottom w:val="single" w:sz="8" w:color="0066CC"/>
            </w:tcBorders>
            <w:gridSpan w:val="28"/>
          </w:tcPr>
          <w:p>
            <w:pPr>
              <w:spacing w:after="0"/>
              <w:rPr>
                <w:sz w:val="20"/>
                <w:szCs w:val="20"/>
                <w:color w:val="auto"/>
              </w:rPr>
            </w:pPr>
            <w:r>
              <w:rPr>
                <w:rFonts w:ascii="Arial" w:cs="Arial" w:eastAsia="Arial" w:hAnsi="Arial"/>
                <w:sz w:val="20"/>
                <w:szCs w:val="20"/>
                <w:color w:val="0066CC"/>
                <w:w w:val="90"/>
              </w:rPr>
              <w:t>Conversion and Continuation Options</w:t>
            </w:r>
          </w:p>
        </w:tc>
        <w:tc>
          <w:tcPr>
            <w:tcW w:w="2860" w:type="dxa"/>
            <w:vAlign w:val="bottom"/>
            <w:gridSpan w:val="9"/>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47</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49</w:t>
            </w:r>
          </w:p>
        </w:tc>
      </w:tr>
      <w:tr>
        <w:trPr>
          <w:trHeight w:val="263"/>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15</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Limitations on Eurocurrency Tranches</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48</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50</w:t>
            </w:r>
          </w:p>
        </w:tc>
      </w:tr>
      <w:tr>
        <w:trPr>
          <w:trHeight w:val="264"/>
        </w:trPr>
        <w:tc>
          <w:tcPr>
            <w:tcW w:w="240" w:type="dxa"/>
            <w:vAlign w:val="bottom"/>
          </w:tcPr>
          <w:p>
            <w:pPr>
              <w:spacing w:after="0"/>
              <w:rPr>
                <w:sz w:val="22"/>
                <w:szCs w:val="22"/>
                <w:color w:val="auto"/>
              </w:rPr>
            </w:pPr>
          </w:p>
        </w:tc>
        <w:tc>
          <w:tcPr>
            <w:tcW w:w="340" w:type="dxa"/>
            <w:vAlign w:val="bottom"/>
            <w:tcBorders>
              <w:top w:val="single" w:sz="8" w:color="0066CC"/>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16</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60" w:type="dxa"/>
            <w:vAlign w:val="bottom"/>
            <w:tcBorders>
              <w:top w:val="single" w:sz="8" w:color="0066CC"/>
              <w:bottom w:val="single" w:sz="8" w:color="0066CC"/>
            </w:tcBorders>
            <w:gridSpan w:val="22"/>
          </w:tcPr>
          <w:p>
            <w:pPr>
              <w:spacing w:after="0"/>
              <w:rPr>
                <w:sz w:val="20"/>
                <w:szCs w:val="20"/>
                <w:color w:val="auto"/>
              </w:rPr>
            </w:pPr>
            <w:r>
              <w:rPr>
                <w:rFonts w:ascii="Arial" w:cs="Arial" w:eastAsia="Arial" w:hAnsi="Arial"/>
                <w:sz w:val="20"/>
                <w:szCs w:val="20"/>
                <w:color w:val="0066CC"/>
                <w:w w:val="86"/>
              </w:rPr>
              <w:t>Interest Rates and Payment Dates</w:t>
            </w:r>
          </w:p>
        </w:tc>
        <w:tc>
          <w:tcPr>
            <w:tcW w:w="380" w:type="dxa"/>
            <w:vAlign w:val="bottom"/>
            <w:tcBorders>
              <w:top w:val="single" w:sz="8" w:color="0066CC"/>
            </w:tcBorders>
            <w:gridSpan w:val="7"/>
          </w:tcPr>
          <w:p>
            <w:pPr>
              <w:spacing w:after="0"/>
              <w:rPr>
                <w:sz w:val="22"/>
                <w:szCs w:val="22"/>
                <w:color w:val="auto"/>
              </w:rPr>
            </w:pPr>
          </w:p>
        </w:tc>
        <w:tc>
          <w:tcPr>
            <w:tcW w:w="2840" w:type="dxa"/>
            <w:vAlign w:val="bottom"/>
            <w:gridSpan w:val="8"/>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48</w:t>
            </w:r>
          </w:p>
        </w:tc>
        <w:tc>
          <w:tcPr>
            <w:tcW w:w="180" w:type="dxa"/>
            <w:vAlign w:val="bottom"/>
            <w:tcBorders>
              <w:top w:val="single" w:sz="8" w:color="006EBF"/>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50</w:t>
            </w: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17</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40" w:type="dxa"/>
            <w:vAlign w:val="bottom"/>
            <w:tcBorders>
              <w:bottom w:val="single" w:sz="8" w:color="0066CC"/>
            </w:tcBorders>
            <w:gridSpan w:val="21"/>
          </w:tcPr>
          <w:p>
            <w:pPr>
              <w:spacing w:after="0"/>
              <w:rPr>
                <w:sz w:val="20"/>
                <w:szCs w:val="20"/>
                <w:color w:val="auto"/>
              </w:rPr>
            </w:pPr>
            <w:r>
              <w:rPr>
                <w:rFonts w:ascii="Arial" w:cs="Arial" w:eastAsia="Arial" w:hAnsi="Arial"/>
                <w:sz w:val="20"/>
                <w:szCs w:val="20"/>
                <w:color w:val="0066CC"/>
                <w:w w:val="88"/>
              </w:rPr>
              <w:t>Computation of Interest and Fees</w:t>
            </w:r>
          </w:p>
        </w:tc>
        <w:tc>
          <w:tcPr>
            <w:tcW w:w="3240" w:type="dxa"/>
            <w:vAlign w:val="bottom"/>
            <w:gridSpan w:val="16"/>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49</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51</w:t>
            </w:r>
          </w:p>
        </w:tc>
      </w:tr>
      <w:tr>
        <w:trPr>
          <w:trHeight w:val="263"/>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18</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Inability to Determine Interest Rate; Illegality</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50</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51</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66CC"/>
          </w:tcPr>
          <w:p>
            <w:pPr>
              <w:spacing w:after="0" w:line="20" w:lineRule="exact"/>
              <w:rPr>
                <w:sz w:val="1"/>
                <w:szCs w:val="1"/>
                <w:color w:val="auto"/>
              </w:rPr>
            </w:pPr>
          </w:p>
        </w:tc>
        <w:tc>
          <w:tcPr>
            <w:tcW w:w="340" w:type="dxa"/>
            <w:vAlign w:val="bottom"/>
            <w:gridSpan w:val="3"/>
            <w:shd w:val="clear" w:color="auto" w:fill="0066CC"/>
          </w:tcPr>
          <w:p>
            <w:pPr>
              <w:spacing w:after="0" w:line="20" w:lineRule="exact"/>
              <w:rPr>
                <w:sz w:val="1"/>
                <w:szCs w:val="1"/>
                <w:color w:val="auto"/>
              </w:rPr>
            </w:pPr>
          </w:p>
        </w:tc>
        <w:tc>
          <w:tcPr>
            <w:tcW w:w="660" w:type="dxa"/>
            <w:vAlign w:val="bottom"/>
            <w:gridSpan w:val="4"/>
            <w:shd w:val="clear" w:color="auto" w:fill="0066CC"/>
          </w:tcPr>
          <w:p>
            <w:pPr>
              <w:spacing w:after="0" w:line="20" w:lineRule="exact"/>
              <w:rPr>
                <w:sz w:val="1"/>
                <w:szCs w:val="1"/>
                <w:color w:val="auto"/>
              </w:rPr>
            </w:pPr>
          </w:p>
        </w:tc>
        <w:tc>
          <w:tcPr>
            <w:tcW w:w="100" w:type="dxa"/>
            <w:vAlign w:val="bottom"/>
            <w:tcBorders>
              <w:right w:val="single" w:sz="8" w:color="0066CC"/>
            </w:tcBorders>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520" w:type="dxa"/>
            <w:vAlign w:val="bottom"/>
            <w:gridSpan w:val="6"/>
            <w:shd w:val="clear" w:color="auto" w:fill="0066CC"/>
          </w:tcPr>
          <w:p>
            <w:pPr>
              <w:spacing w:after="0" w:line="20" w:lineRule="exact"/>
              <w:rPr>
                <w:sz w:val="1"/>
                <w:szCs w:val="1"/>
                <w:color w:val="auto"/>
              </w:rPr>
            </w:pPr>
          </w:p>
        </w:tc>
        <w:tc>
          <w:tcPr>
            <w:tcW w:w="680" w:type="dxa"/>
            <w:vAlign w:val="bottom"/>
            <w:gridSpan w:val="8"/>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620" w:type="dxa"/>
            <w:vAlign w:val="bottom"/>
            <w:gridSpan w:val="5"/>
            <w:shd w:val="clear" w:color="auto" w:fill="0066CC"/>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6EBF"/>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19</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Pro Rata Treatment and Payments; Evidence of Debt</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51</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53</w:t>
            </w:r>
          </w:p>
        </w:tc>
      </w:tr>
      <w:tr>
        <w:trPr>
          <w:trHeight w:val="263"/>
        </w:trPr>
        <w:tc>
          <w:tcPr>
            <w:tcW w:w="240" w:type="dxa"/>
            <w:vAlign w:val="bottom"/>
          </w:tcPr>
          <w:p>
            <w:pPr>
              <w:spacing w:after="0"/>
              <w:rPr>
                <w:sz w:val="22"/>
                <w:szCs w:val="22"/>
                <w:color w:val="auto"/>
              </w:rPr>
            </w:pPr>
          </w:p>
        </w:tc>
        <w:tc>
          <w:tcPr>
            <w:tcW w:w="340" w:type="dxa"/>
            <w:vAlign w:val="bottom"/>
            <w:tcBorders>
              <w:top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20</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180" w:type="dxa"/>
            <w:vAlign w:val="bottom"/>
            <w:tcBorders>
              <w:top w:val="single" w:sz="8" w:color="0066CC"/>
            </w:tcBorders>
            <w:gridSpan w:val="34"/>
          </w:tcPr>
          <w:p>
            <w:pPr>
              <w:spacing w:after="0"/>
              <w:rPr>
                <w:sz w:val="20"/>
                <w:szCs w:val="20"/>
                <w:color w:val="auto"/>
              </w:rPr>
            </w:pPr>
            <w:r>
              <w:rPr>
                <w:rFonts w:ascii="Arial" w:cs="Arial" w:eastAsia="Arial" w:hAnsi="Arial"/>
                <w:sz w:val="20"/>
                <w:szCs w:val="20"/>
                <w:color w:val="0066CC"/>
              </w:rPr>
              <w:t>Requirements of Law</w:t>
            </w:r>
          </w:p>
        </w:tc>
        <w:tc>
          <w:tcPr>
            <w:tcW w:w="1700" w:type="dxa"/>
            <w:vAlign w:val="bottom"/>
            <w:gridSpan w:val="3"/>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53</w:t>
            </w:r>
          </w:p>
        </w:tc>
        <w:tc>
          <w:tcPr>
            <w:tcW w:w="180" w:type="dxa"/>
            <w:vAlign w:val="bottom"/>
            <w:tcBorders>
              <w:top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55</w:t>
            </w:r>
          </w:p>
        </w:tc>
      </w:tr>
      <w:tr>
        <w:trPr>
          <w:trHeight w:val="263"/>
        </w:trPr>
        <w:tc>
          <w:tcPr>
            <w:tcW w:w="240" w:type="dxa"/>
            <w:vAlign w:val="bottom"/>
          </w:tcPr>
          <w:p>
            <w:pPr>
              <w:spacing w:after="0"/>
              <w:rPr>
                <w:sz w:val="22"/>
                <w:szCs w:val="22"/>
                <w:color w:val="auto"/>
              </w:rPr>
            </w:pPr>
          </w:p>
        </w:tc>
        <w:tc>
          <w:tcPr>
            <w:tcW w:w="340" w:type="dxa"/>
            <w:vAlign w:val="bottom"/>
            <w:tcBorders>
              <w:top w:val="single" w:sz="8" w:color="0066CC"/>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21</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80"/>
              </w:rPr>
              <w:t>Taxes</w:t>
            </w:r>
          </w:p>
        </w:tc>
        <w:tc>
          <w:tcPr>
            <w:tcW w:w="1240" w:type="dxa"/>
            <w:vAlign w:val="bottom"/>
            <w:tcBorders>
              <w:top w:val="single" w:sz="8" w:color="0066CC"/>
            </w:tcBorders>
            <w:gridSpan w:val="10"/>
          </w:tcPr>
          <w:p>
            <w:pPr>
              <w:spacing w:after="0"/>
              <w:rPr>
                <w:sz w:val="22"/>
                <w:szCs w:val="22"/>
                <w:color w:val="auto"/>
              </w:rPr>
            </w:pPr>
          </w:p>
        </w:tc>
        <w:tc>
          <w:tcPr>
            <w:tcW w:w="4180" w:type="dxa"/>
            <w:vAlign w:val="bottom"/>
            <w:gridSpan w:val="26"/>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54</w:t>
            </w:r>
          </w:p>
        </w:tc>
        <w:tc>
          <w:tcPr>
            <w:tcW w:w="180" w:type="dxa"/>
            <w:vAlign w:val="bottom"/>
            <w:tcBorders>
              <w:top w:val="single" w:sz="8" w:color="006EBF"/>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56</w:t>
            </w: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22</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Indemnity</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60</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59</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4"/>
            <w:shd w:val="clear" w:color="auto" w:fill="0066CC"/>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6EBF"/>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23</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Borders>
              <w:bottom w:val="single" w:sz="8" w:color="0066CC"/>
            </w:tcBorders>
            <w:gridSpan w:val="27"/>
          </w:tcPr>
          <w:p>
            <w:pPr>
              <w:spacing w:after="0"/>
              <w:rPr>
                <w:sz w:val="20"/>
                <w:szCs w:val="20"/>
                <w:color w:val="auto"/>
              </w:rPr>
            </w:pPr>
            <w:r>
              <w:rPr>
                <w:rFonts w:ascii="Arial" w:cs="Arial" w:eastAsia="Arial" w:hAnsi="Arial"/>
                <w:sz w:val="20"/>
                <w:szCs w:val="20"/>
                <w:color w:val="0066CC"/>
                <w:w w:val="91"/>
              </w:rPr>
              <w:t>Change of Applicable Lending Office</w:t>
            </w:r>
          </w:p>
        </w:tc>
        <w:tc>
          <w:tcPr>
            <w:tcW w:w="2880" w:type="dxa"/>
            <w:vAlign w:val="bottom"/>
            <w:gridSpan w:val="10"/>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60</w:t>
            </w:r>
          </w:p>
        </w:tc>
      </w:tr>
      <w:tr>
        <w:trPr>
          <w:trHeight w:val="263"/>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24</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Replacement/Termination of Lenders</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60</w:t>
            </w:r>
          </w:p>
        </w:tc>
      </w:tr>
      <w:tr>
        <w:trPr>
          <w:trHeight w:val="264"/>
        </w:trPr>
        <w:tc>
          <w:tcPr>
            <w:tcW w:w="240" w:type="dxa"/>
            <w:vAlign w:val="bottom"/>
          </w:tcPr>
          <w:p>
            <w:pPr>
              <w:spacing w:after="0"/>
              <w:rPr>
                <w:sz w:val="22"/>
                <w:szCs w:val="22"/>
                <w:color w:val="auto"/>
              </w:rPr>
            </w:pPr>
          </w:p>
        </w:tc>
        <w:tc>
          <w:tcPr>
            <w:tcW w:w="340" w:type="dxa"/>
            <w:vAlign w:val="bottom"/>
            <w:tcBorders>
              <w:top w:val="single" w:sz="8" w:color="0066CC"/>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25</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Borders>
              <w:top w:val="single" w:sz="8" w:color="0066CC"/>
              <w:bottom w:val="single" w:sz="8" w:color="0066CC"/>
            </w:tcBorders>
            <w:gridSpan w:val="8"/>
          </w:tcPr>
          <w:p>
            <w:pPr>
              <w:spacing w:after="0"/>
              <w:rPr>
                <w:sz w:val="20"/>
                <w:szCs w:val="20"/>
                <w:color w:val="auto"/>
              </w:rPr>
            </w:pPr>
            <w:r>
              <w:rPr>
                <w:rFonts w:ascii="Arial" w:cs="Arial" w:eastAsia="Arial" w:hAnsi="Arial"/>
                <w:sz w:val="20"/>
                <w:szCs w:val="20"/>
                <w:color w:val="0066CC"/>
                <w:w w:val="91"/>
              </w:rPr>
              <w:t>Defaulting Lender</w:t>
            </w:r>
          </w:p>
        </w:tc>
        <w:tc>
          <w:tcPr>
            <w:tcW w:w="1480" w:type="dxa"/>
            <w:vAlign w:val="bottom"/>
            <w:tcBorders>
              <w:top w:val="single" w:sz="8" w:color="0066CC"/>
            </w:tcBorders>
            <w:gridSpan w:val="18"/>
          </w:tcPr>
          <w:p>
            <w:pPr>
              <w:spacing w:after="0"/>
              <w:rPr>
                <w:sz w:val="22"/>
                <w:szCs w:val="22"/>
                <w:color w:val="auto"/>
              </w:rPr>
            </w:pPr>
          </w:p>
        </w:tc>
        <w:tc>
          <w:tcPr>
            <w:tcW w:w="2940" w:type="dxa"/>
            <w:vAlign w:val="bottom"/>
            <w:gridSpan w:val="11"/>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61</w:t>
            </w:r>
          </w:p>
        </w:tc>
      </w:tr>
      <w:tr>
        <w:trPr>
          <w:trHeight w:val="264"/>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26</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120" w:type="dxa"/>
            <w:vAlign w:val="bottom"/>
            <w:tcBorders>
              <w:bottom w:val="single" w:sz="8" w:color="0066CC"/>
            </w:tcBorders>
            <w:gridSpan w:val="36"/>
          </w:tcPr>
          <w:p>
            <w:pPr>
              <w:spacing w:after="0"/>
              <w:rPr>
                <w:sz w:val="20"/>
                <w:szCs w:val="20"/>
                <w:color w:val="auto"/>
              </w:rPr>
            </w:pPr>
            <w:r>
              <w:rPr>
                <w:rFonts w:ascii="Arial" w:cs="Arial" w:eastAsia="Arial" w:hAnsi="Arial"/>
                <w:sz w:val="20"/>
                <w:szCs w:val="20"/>
                <w:color w:val="0066CC"/>
                <w:w w:val="90"/>
              </w:rPr>
              <w:t>Reallocation of Payments for the Account of Defaulting Lenders</w:t>
            </w:r>
          </w:p>
        </w:tc>
        <w:tc>
          <w:tcPr>
            <w:tcW w:w="760" w:type="dxa"/>
            <w:vAlign w:val="bottom"/>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63</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62</w:t>
            </w: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27</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New Local Facilities</w:t>
            </w: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64</w:t>
            </w:r>
          </w:p>
        </w:tc>
        <w:tc>
          <w:tcPr>
            <w:tcW w:w="180" w:type="dxa"/>
            <w:vAlign w:val="bottom"/>
            <w:gridSpan w:val="2"/>
          </w:tcPr>
          <w:p>
            <w:pPr>
              <w:jc w:val="right"/>
              <w:spacing w:after="0"/>
              <w:rPr>
                <w:sz w:val="20"/>
                <w:szCs w:val="20"/>
                <w:color w:val="auto"/>
              </w:rPr>
            </w:pPr>
            <w:r>
              <w:rPr>
                <w:rFonts w:ascii="Arial" w:cs="Arial" w:eastAsia="Arial" w:hAnsi="Arial"/>
                <w:sz w:val="20"/>
                <w:szCs w:val="20"/>
                <w:color w:val="006EBF"/>
                <w:w w:val="71"/>
              </w:rPr>
              <w:t>63</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right w:val="single" w:sz="8" w:color="0066CC"/>
            </w:tcBorders>
            <w:gridSpan w:val="9"/>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298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6EBF"/>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28</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00" w:type="dxa"/>
            <w:vAlign w:val="bottom"/>
            <w:tcBorders>
              <w:bottom w:val="single" w:sz="8" w:color="0066CC"/>
            </w:tcBorders>
            <w:gridSpan w:val="25"/>
          </w:tcPr>
          <w:p>
            <w:pPr>
              <w:spacing w:after="0"/>
              <w:rPr>
                <w:sz w:val="20"/>
                <w:szCs w:val="20"/>
                <w:color w:val="auto"/>
              </w:rPr>
            </w:pPr>
            <w:r>
              <w:rPr>
                <w:rFonts w:ascii="Arial" w:cs="Arial" w:eastAsia="Arial" w:hAnsi="Arial"/>
                <w:sz w:val="20"/>
                <w:szCs w:val="20"/>
                <w:color w:val="0066CC"/>
                <w:w w:val="90"/>
              </w:rPr>
              <w:t>Incremental Commitments/Facilities</w:t>
            </w:r>
          </w:p>
        </w:tc>
        <w:tc>
          <w:tcPr>
            <w:tcW w:w="2980" w:type="dxa"/>
            <w:vAlign w:val="bottom"/>
            <w:gridSpan w:val="12"/>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64</w:t>
            </w: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29</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80" w:type="dxa"/>
            <w:vAlign w:val="bottom"/>
            <w:gridSpan w:val="37"/>
          </w:tcPr>
          <w:p>
            <w:pPr>
              <w:spacing w:after="0"/>
              <w:rPr>
                <w:sz w:val="20"/>
                <w:szCs w:val="20"/>
                <w:color w:val="auto"/>
              </w:rPr>
            </w:pPr>
            <w:r>
              <w:rPr>
                <w:rFonts w:ascii="Arial" w:cs="Arial" w:eastAsia="Arial" w:hAnsi="Arial"/>
                <w:sz w:val="20"/>
                <w:szCs w:val="20"/>
                <w:color w:val="0066CC"/>
              </w:rPr>
              <w:t>Termination Date Extension</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65</w:t>
            </w:r>
          </w:p>
        </w:tc>
      </w:tr>
      <w:tr>
        <w:trPr>
          <w:trHeight w:val="264"/>
        </w:trPr>
        <w:tc>
          <w:tcPr>
            <w:tcW w:w="240" w:type="dxa"/>
            <w:vAlign w:val="bottom"/>
          </w:tcPr>
          <w:p>
            <w:pPr>
              <w:spacing w:after="0"/>
              <w:rPr>
                <w:sz w:val="22"/>
                <w:szCs w:val="22"/>
                <w:color w:val="auto"/>
              </w:rPr>
            </w:pPr>
          </w:p>
        </w:tc>
        <w:tc>
          <w:tcPr>
            <w:tcW w:w="340" w:type="dxa"/>
            <w:vAlign w:val="bottom"/>
            <w:tcBorders>
              <w:top w:val="single" w:sz="8" w:color="0066CC"/>
              <w:bottom w:val="single" w:sz="8" w:color="0066CC"/>
            </w:tcBorders>
            <w:gridSpan w:val="2"/>
          </w:tcPr>
          <w:p>
            <w:pPr>
              <w:spacing w:after="0"/>
              <w:rPr>
                <w:sz w:val="20"/>
                <w:szCs w:val="20"/>
                <w:color w:val="auto"/>
              </w:rPr>
            </w:pPr>
            <w:r>
              <w:rPr>
                <w:rFonts w:ascii="Arial" w:cs="Arial" w:eastAsia="Arial" w:hAnsi="Arial"/>
                <w:sz w:val="20"/>
                <w:szCs w:val="20"/>
                <w:color w:val="0066CC"/>
                <w:w w:val="82"/>
              </w:rPr>
              <w:t>2.</w:t>
            </w:r>
            <w:r>
              <w:rPr>
                <w:rFonts w:ascii="Arial" w:cs="Arial" w:eastAsia="Arial" w:hAnsi="Arial"/>
                <w:sz w:val="20"/>
                <w:szCs w:val="20"/>
                <w:u w:val="single" w:color="auto"/>
                <w:color w:val="0066CC"/>
                <w:w w:val="82"/>
              </w:rPr>
              <w:t>30</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Borders>
              <w:top w:val="single" w:sz="8" w:color="0066CC"/>
              <w:bottom w:val="single" w:sz="8" w:color="0066CC"/>
            </w:tcBorders>
            <w:gridSpan w:val="9"/>
          </w:tcPr>
          <w:p>
            <w:pPr>
              <w:spacing w:after="0"/>
              <w:rPr>
                <w:sz w:val="20"/>
                <w:szCs w:val="20"/>
                <w:color w:val="auto"/>
              </w:rPr>
            </w:pPr>
            <w:r>
              <w:rPr>
                <w:rFonts w:ascii="Arial" w:cs="Arial" w:eastAsia="Arial" w:hAnsi="Arial"/>
                <w:sz w:val="20"/>
                <w:szCs w:val="20"/>
                <w:color w:val="0066CC"/>
                <w:w w:val="95"/>
              </w:rPr>
              <w:t>Ancillary Facilities</w:t>
            </w:r>
          </w:p>
        </w:tc>
        <w:tc>
          <w:tcPr>
            <w:tcW w:w="660" w:type="dxa"/>
            <w:vAlign w:val="bottom"/>
            <w:tcBorders>
              <w:top w:val="single" w:sz="8" w:color="0066CC"/>
            </w:tcBorders>
            <w:gridSpan w:val="8"/>
          </w:tcPr>
          <w:p>
            <w:pPr>
              <w:spacing w:after="0"/>
              <w:rPr>
                <w:sz w:val="22"/>
                <w:szCs w:val="22"/>
                <w:color w:val="auto"/>
              </w:rPr>
            </w:pPr>
          </w:p>
        </w:tc>
        <w:tc>
          <w:tcPr>
            <w:tcW w:w="3660" w:type="dxa"/>
            <w:vAlign w:val="bottom"/>
            <w:gridSpan w:val="20"/>
          </w:tcPr>
          <w:p>
            <w:pPr>
              <w:spacing w:after="0"/>
              <w:rPr>
                <w:sz w:val="22"/>
                <w:szCs w:val="22"/>
                <w:color w:val="auto"/>
              </w:rPr>
            </w:pPr>
          </w:p>
        </w:tc>
        <w:tc>
          <w:tcPr>
            <w:tcW w:w="1000" w:type="dxa"/>
            <w:vAlign w:val="bottom"/>
          </w:tcPr>
          <w:p>
            <w:pPr>
              <w:ind w:left="800"/>
              <w:spacing w:after="0"/>
              <w:rPr>
                <w:sz w:val="20"/>
                <w:szCs w:val="20"/>
                <w:color w:val="auto"/>
              </w:rPr>
            </w:pPr>
            <w:r>
              <w:rPr>
                <w:rFonts w:ascii="Arial" w:cs="Arial" w:eastAsia="Arial" w:hAnsi="Arial"/>
                <w:sz w:val="20"/>
                <w:szCs w:val="20"/>
                <w:color w:val="FF0000"/>
                <w:strike w:val="1"/>
                <w:w w:val="80"/>
              </w:rPr>
              <w:t>66</w:t>
            </w:r>
          </w:p>
        </w:tc>
        <w:tc>
          <w:tcPr>
            <w:tcW w:w="180" w:type="dxa"/>
            <w:vAlign w:val="bottom"/>
            <w:tcBorders>
              <w:bottom w:val="single" w:sz="8" w:color="006EBF"/>
            </w:tcBorders>
            <w:gridSpan w:val="2"/>
          </w:tcPr>
          <w:p>
            <w:pPr>
              <w:jc w:val="right"/>
              <w:spacing w:after="0"/>
              <w:rPr>
                <w:sz w:val="20"/>
                <w:szCs w:val="20"/>
                <w:color w:val="auto"/>
              </w:rPr>
            </w:pPr>
            <w:r>
              <w:rPr>
                <w:rFonts w:ascii="Arial" w:cs="Arial" w:eastAsia="Arial" w:hAnsi="Arial"/>
                <w:sz w:val="20"/>
                <w:szCs w:val="20"/>
                <w:color w:val="006EBF"/>
                <w:w w:val="71"/>
              </w:rPr>
              <w:t>65</w:t>
            </w:r>
          </w:p>
        </w:tc>
      </w:tr>
    </w:tbl>
    <w:p>
      <w:pPr>
        <w:spacing w:after="0" w:line="200" w:lineRule="exact"/>
        <w:rPr>
          <w:sz w:val="20"/>
          <w:szCs w:val="20"/>
          <w:color w:val="auto"/>
        </w:rPr>
      </w:pPr>
    </w:p>
    <w:p>
      <w:pPr>
        <w:sectPr>
          <w:pgSz w:w="11900" w:h="16838" w:orient="portrait"/>
          <w:cols w:equalWidth="0" w:num="1">
            <w:col w:w="9019"/>
          </w:cols>
          <w:pgMar w:left="1440" w:top="792" w:right="144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9019"/>
          </w:cols>
          <w:pgMar w:left="1440" w:top="792" w:right="1440" w:bottom="1440" w:gutter="0" w:footer="0" w:header="0"/>
          <w:type w:val="continuous"/>
        </w:sectPr>
      </w:pPr>
    </w:p>
    <w:bookmarkStart w:id="54" w:name="page55"/>
    <w:bookmarkEnd w:id="54"/>
    <w:tbl>
      <w:tblPr>
        <w:tblLayout w:type="fixed"/>
        <w:tblInd w:w="320" w:type="dxa"/>
        <w:tblCellMar>
          <w:top w:w="0" w:type="dxa"/>
          <w:left w:w="0" w:type="dxa"/>
          <w:bottom w:w="0" w:type="dxa"/>
          <w:right w:w="0" w:type="dxa"/>
        </w:tblCellMar>
      </w:tblPr>
      <w:tr>
        <w:trPr>
          <w:trHeight w:val="256"/>
        </w:trPr>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20"/>
                <w:szCs w:val="20"/>
                <w:b w:val="1"/>
                <w:bCs w:val="1"/>
                <w:color w:val="auto"/>
                <w:w w:val="79"/>
              </w:rPr>
              <w:t>Page</w:t>
            </w:r>
          </w:p>
        </w:tc>
      </w:tr>
      <w:tr>
        <w:trPr>
          <w:trHeight w:val="455"/>
        </w:trPr>
        <w:tc>
          <w:tcPr>
            <w:tcW w:w="7500" w:type="dxa"/>
            <w:vAlign w:val="bottom"/>
            <w:gridSpan w:val="43"/>
          </w:tcPr>
          <w:p>
            <w:pPr>
              <w:spacing w:after="0"/>
              <w:rPr>
                <w:sz w:val="20"/>
                <w:szCs w:val="20"/>
                <w:color w:val="auto"/>
              </w:rPr>
            </w:pPr>
            <w:r>
              <w:rPr>
                <w:rFonts w:ascii="Arial" w:cs="Arial" w:eastAsia="Arial" w:hAnsi="Arial"/>
                <w:sz w:val="20"/>
                <w:szCs w:val="20"/>
                <w:color w:val="0066CC"/>
              </w:rPr>
              <w:t>SECTION 3.   LETTERS OF CREDIT</w:t>
            </w:r>
          </w:p>
        </w:tc>
        <w:tc>
          <w:tcPr>
            <w:tcW w:w="680" w:type="dxa"/>
            <w:vAlign w:val="bottom"/>
          </w:tcPr>
          <w:p>
            <w:pPr>
              <w:ind w:left="480"/>
              <w:spacing w:after="0"/>
              <w:rPr>
                <w:sz w:val="20"/>
                <w:szCs w:val="20"/>
                <w:color w:val="auto"/>
              </w:rPr>
            </w:pPr>
            <w:r>
              <w:rPr>
                <w:rFonts w:ascii="Arial" w:cs="Arial" w:eastAsia="Arial" w:hAnsi="Arial"/>
                <w:sz w:val="20"/>
                <w:szCs w:val="20"/>
                <w:color w:val="FF0000"/>
                <w:strike w:val="1"/>
                <w:w w:val="80"/>
              </w:rPr>
              <w:t>70</w:t>
            </w:r>
          </w:p>
        </w:tc>
        <w:tc>
          <w:tcPr>
            <w:tcW w:w="180" w:type="dxa"/>
            <w:vAlign w:val="bottom"/>
          </w:tcPr>
          <w:p>
            <w:pPr>
              <w:jc w:val="right"/>
              <w:spacing w:after="0"/>
              <w:rPr>
                <w:sz w:val="20"/>
                <w:szCs w:val="20"/>
                <w:color w:val="auto"/>
              </w:rPr>
            </w:pPr>
            <w:r>
              <w:rPr>
                <w:rFonts w:ascii="Arial" w:cs="Arial" w:eastAsia="Arial" w:hAnsi="Arial"/>
                <w:sz w:val="20"/>
                <w:szCs w:val="20"/>
                <w:color w:val="006EBF"/>
                <w:w w:val="71"/>
              </w:rPr>
              <w:t>69</w:t>
            </w:r>
          </w:p>
        </w:tc>
      </w:tr>
      <w:tr>
        <w:trPr>
          <w:trHeight w:val="493"/>
        </w:trPr>
        <w:tc>
          <w:tcPr>
            <w:tcW w:w="240" w:type="dxa"/>
            <w:vAlign w:val="bottom"/>
            <w:tcBorders>
              <w:top w:val="single" w:sz="8" w:color="0066CC"/>
            </w:tcBorders>
          </w:tcPr>
          <w:p>
            <w:pPr>
              <w:spacing w:after="0"/>
              <w:rPr>
                <w:sz w:val="24"/>
                <w:szCs w:val="24"/>
                <w:color w:val="auto"/>
              </w:rPr>
            </w:pPr>
          </w:p>
        </w:tc>
        <w:tc>
          <w:tcPr>
            <w:tcW w:w="24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1</w:t>
            </w:r>
          </w:p>
        </w:tc>
        <w:tc>
          <w:tcPr>
            <w:tcW w:w="100" w:type="dxa"/>
            <w:vAlign w:val="bottom"/>
            <w:tcBorders>
              <w:top w:val="single" w:sz="8" w:color="0066CC"/>
            </w:tcBorders>
          </w:tcPr>
          <w:p>
            <w:pPr>
              <w:spacing w:after="0"/>
              <w:rPr>
                <w:sz w:val="24"/>
                <w:szCs w:val="24"/>
                <w:color w:val="auto"/>
              </w:rPr>
            </w:pPr>
          </w:p>
        </w:tc>
        <w:tc>
          <w:tcPr>
            <w:tcW w:w="460" w:type="dxa"/>
            <w:vAlign w:val="bottom"/>
            <w:tcBorders>
              <w:top w:val="single" w:sz="8" w:color="0066CC"/>
            </w:tcBorders>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Borders>
              <w:top w:val="single" w:sz="8" w:color="0066CC"/>
              <w:bottom w:val="single" w:sz="8" w:color="0066CC"/>
            </w:tcBorders>
            <w:gridSpan w:val="13"/>
          </w:tcPr>
          <w:p>
            <w:pPr>
              <w:spacing w:after="0"/>
              <w:rPr>
                <w:sz w:val="20"/>
                <w:szCs w:val="20"/>
                <w:color w:val="auto"/>
              </w:rPr>
            </w:pPr>
            <w:r>
              <w:rPr>
                <w:rFonts w:ascii="Arial" w:cs="Arial" w:eastAsia="Arial" w:hAnsi="Arial"/>
                <w:sz w:val="20"/>
                <w:szCs w:val="20"/>
                <w:color w:val="0066CC"/>
                <w:w w:val="91"/>
              </w:rPr>
              <w:t>L/C Commitment</w:t>
            </w:r>
          </w:p>
        </w:tc>
        <w:tc>
          <w:tcPr>
            <w:tcW w:w="500" w:type="dxa"/>
            <w:vAlign w:val="bottom"/>
            <w:tcBorders>
              <w:top w:val="single" w:sz="8" w:color="0066CC"/>
            </w:tcBorders>
            <w:gridSpan w:val="7"/>
          </w:tcPr>
          <w:p>
            <w:pPr>
              <w:spacing w:after="0"/>
              <w:rPr>
                <w:sz w:val="24"/>
                <w:szCs w:val="24"/>
                <w:color w:val="auto"/>
              </w:rPr>
            </w:pPr>
          </w:p>
        </w:tc>
        <w:tc>
          <w:tcPr>
            <w:tcW w:w="4300" w:type="dxa"/>
            <w:vAlign w:val="bottom"/>
            <w:gridSpan w:val="18"/>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20"/>
                <w:szCs w:val="20"/>
                <w:color w:val="FF0000"/>
                <w:strike w:val="1"/>
                <w:w w:val="80"/>
              </w:rPr>
              <w:t>70</w:t>
            </w:r>
          </w:p>
        </w:tc>
        <w:tc>
          <w:tcPr>
            <w:tcW w:w="180" w:type="dxa"/>
            <w:vAlign w:val="bottom"/>
            <w:tcBorders>
              <w:top w:val="single" w:sz="8" w:color="006EBF"/>
              <w:bottom w:val="single" w:sz="8" w:color="006EBF"/>
            </w:tcBorders>
          </w:tcPr>
          <w:p>
            <w:pPr>
              <w:jc w:val="right"/>
              <w:spacing w:after="0"/>
              <w:rPr>
                <w:sz w:val="20"/>
                <w:szCs w:val="20"/>
                <w:color w:val="auto"/>
              </w:rPr>
            </w:pPr>
            <w:r>
              <w:rPr>
                <w:rFonts w:ascii="Arial" w:cs="Arial" w:eastAsia="Arial" w:hAnsi="Arial"/>
                <w:sz w:val="20"/>
                <w:szCs w:val="20"/>
                <w:color w:val="006EBF"/>
                <w:w w:val="71"/>
              </w:rPr>
              <w:t>69</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80" w:type="dxa"/>
            <w:vAlign w:val="bottom"/>
            <w:tcBorders>
              <w:bottom w:val="single" w:sz="8" w:color="0066CC"/>
            </w:tcBorders>
            <w:gridSpan w:val="33"/>
          </w:tcPr>
          <w:p>
            <w:pPr>
              <w:spacing w:after="0"/>
              <w:rPr>
                <w:sz w:val="20"/>
                <w:szCs w:val="20"/>
                <w:color w:val="auto"/>
              </w:rPr>
            </w:pPr>
            <w:r>
              <w:rPr>
                <w:rFonts w:ascii="Arial" w:cs="Arial" w:eastAsia="Arial" w:hAnsi="Arial"/>
                <w:sz w:val="20"/>
                <w:szCs w:val="20"/>
                <w:color w:val="0066CC"/>
                <w:w w:val="89"/>
              </w:rPr>
              <w:t>Procedure for Issuance of Letters of Credit</w:t>
            </w:r>
          </w:p>
        </w:tc>
        <w:tc>
          <w:tcPr>
            <w:tcW w:w="2820" w:type="dxa"/>
            <w:vAlign w:val="bottom"/>
            <w:gridSpan w:val="5"/>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71</w:t>
            </w:r>
          </w:p>
        </w:tc>
      </w:tr>
      <w:tr>
        <w:trPr>
          <w:trHeight w:val="264"/>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Fees and Other Charges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71</w:t>
            </w:r>
          </w:p>
        </w:tc>
      </w:tr>
      <w:tr>
        <w:trPr>
          <w:trHeight w:val="263"/>
        </w:trPr>
        <w:tc>
          <w:tcPr>
            <w:tcW w:w="240" w:type="dxa"/>
            <w:vAlign w:val="bottom"/>
          </w:tcPr>
          <w:p>
            <w:pPr>
              <w:spacing w:after="0"/>
              <w:rPr>
                <w:sz w:val="22"/>
                <w:szCs w:val="22"/>
                <w:color w:val="auto"/>
              </w:rPr>
            </w:pPr>
          </w:p>
        </w:tc>
        <w:tc>
          <w:tcPr>
            <w:tcW w:w="240" w:type="dxa"/>
            <w:vAlign w:val="bottom"/>
            <w:tcBorders>
              <w:top w:val="single" w:sz="8" w:color="0066CC"/>
            </w:tcBorders>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Borders>
              <w:top w:val="single" w:sz="8" w:color="0066CC"/>
            </w:tcBorders>
            <w:gridSpan w:val="19"/>
          </w:tcPr>
          <w:p>
            <w:pPr>
              <w:spacing w:after="0"/>
              <w:rPr>
                <w:sz w:val="20"/>
                <w:szCs w:val="20"/>
                <w:color w:val="auto"/>
              </w:rPr>
            </w:pPr>
            <w:r>
              <w:rPr>
                <w:rFonts w:ascii="Arial" w:cs="Arial" w:eastAsia="Arial" w:hAnsi="Arial"/>
                <w:sz w:val="20"/>
                <w:szCs w:val="20"/>
                <w:color w:val="0066CC"/>
              </w:rPr>
              <w:t>L/C Participations</w:t>
            </w:r>
          </w:p>
        </w:tc>
        <w:tc>
          <w:tcPr>
            <w:tcW w:w="4320" w:type="dxa"/>
            <w:vAlign w:val="bottom"/>
            <w:gridSpan w:val="19"/>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72</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66CC"/>
          </w:tcPr>
          <w:p>
            <w:pPr>
              <w:spacing w:after="0" w:line="20" w:lineRule="exact"/>
              <w:rPr>
                <w:sz w:val="1"/>
                <w:szCs w:val="1"/>
                <w:color w:val="auto"/>
              </w:rPr>
            </w:pPr>
          </w:p>
        </w:tc>
        <w:tc>
          <w:tcPr>
            <w:tcW w:w="14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20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20" w:type="dxa"/>
            <w:vAlign w:val="bottom"/>
            <w:gridSpan w:val="2"/>
            <w:shd w:val="clear" w:color="auto" w:fill="0066C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740" w:type="dxa"/>
            <w:vAlign w:val="bottom"/>
            <w:tcBorders>
              <w:bottom w:val="single" w:sz="8" w:color="0066CC"/>
            </w:tcBorders>
            <w:gridSpan w:val="37"/>
          </w:tcPr>
          <w:p>
            <w:pPr>
              <w:spacing w:after="0"/>
              <w:rPr>
                <w:sz w:val="20"/>
                <w:szCs w:val="20"/>
                <w:color w:val="auto"/>
              </w:rPr>
            </w:pPr>
            <w:r>
              <w:rPr>
                <w:rFonts w:ascii="Arial" w:cs="Arial" w:eastAsia="Arial" w:hAnsi="Arial"/>
                <w:sz w:val="20"/>
                <w:szCs w:val="20"/>
                <w:color w:val="0066CC"/>
                <w:w w:val="90"/>
              </w:rPr>
              <w:t>Reimbursement Obligation of the Company and the Applicable Account</w:t>
            </w: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9"/>
        </w:trPr>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0066CC"/>
            </w:tcBorders>
          </w:tcPr>
          <w:p>
            <w:pPr>
              <w:spacing w:after="0" w:line="209" w:lineRule="exact"/>
              <w:rPr>
                <w:sz w:val="20"/>
                <w:szCs w:val="20"/>
                <w:color w:val="auto"/>
              </w:rPr>
            </w:pPr>
            <w:r>
              <w:rPr>
                <w:rFonts w:ascii="Arial" w:cs="Arial" w:eastAsia="Arial" w:hAnsi="Arial"/>
                <w:sz w:val="20"/>
                <w:szCs w:val="20"/>
                <w:color w:val="0066CC"/>
                <w:w w:val="85"/>
              </w:rPr>
              <w:t>Party</w:t>
            </w:r>
          </w:p>
        </w:tc>
        <w:tc>
          <w:tcPr>
            <w:tcW w:w="5780" w:type="dxa"/>
            <w:vAlign w:val="bottom"/>
            <w:gridSpan w:val="37"/>
          </w:tcPr>
          <w:p>
            <w:pPr>
              <w:spacing w:after="0"/>
              <w:rPr>
                <w:sz w:val="18"/>
                <w:szCs w:val="18"/>
                <w:color w:val="auto"/>
              </w:rPr>
            </w:pPr>
          </w:p>
        </w:tc>
        <w:tc>
          <w:tcPr>
            <w:tcW w:w="86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73</w:t>
            </w:r>
          </w:p>
        </w:tc>
      </w:tr>
      <w:tr>
        <w:trPr>
          <w:trHeight w:val="264"/>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Obligations Absolute</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74</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20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260" w:type="dxa"/>
            <w:vAlign w:val="bottom"/>
            <w:gridSpan w:val="3"/>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60" w:type="dxa"/>
            <w:vAlign w:val="bottom"/>
            <w:tcBorders>
              <w:left w:val="single" w:sz="8" w:color="0066CC"/>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Letter of Credit Payments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74</w:t>
            </w:r>
          </w:p>
        </w:tc>
      </w:tr>
      <w:tr>
        <w:trPr>
          <w:trHeight w:val="263"/>
        </w:trPr>
        <w:tc>
          <w:tcPr>
            <w:tcW w:w="240" w:type="dxa"/>
            <w:vAlign w:val="bottom"/>
          </w:tcPr>
          <w:p>
            <w:pPr>
              <w:spacing w:after="0"/>
              <w:rPr>
                <w:sz w:val="22"/>
                <w:szCs w:val="22"/>
                <w:color w:val="auto"/>
              </w:rPr>
            </w:pPr>
          </w:p>
        </w:tc>
        <w:tc>
          <w:tcPr>
            <w:tcW w:w="240" w:type="dxa"/>
            <w:vAlign w:val="bottom"/>
            <w:tcBorders>
              <w:top w:val="single" w:sz="8" w:color="0066CC"/>
            </w:tcBorders>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Borders>
              <w:top w:val="single" w:sz="8" w:color="0066CC"/>
            </w:tcBorders>
            <w:gridSpan w:val="23"/>
          </w:tcPr>
          <w:p>
            <w:pPr>
              <w:spacing w:after="0"/>
              <w:rPr>
                <w:sz w:val="20"/>
                <w:szCs w:val="20"/>
                <w:color w:val="auto"/>
              </w:rPr>
            </w:pPr>
            <w:r>
              <w:rPr>
                <w:rFonts w:ascii="Arial" w:cs="Arial" w:eastAsia="Arial" w:hAnsi="Arial"/>
                <w:sz w:val="20"/>
                <w:szCs w:val="20"/>
                <w:color w:val="0066CC"/>
              </w:rPr>
              <w:t>Applications</w:t>
            </w:r>
          </w:p>
        </w:tc>
        <w:tc>
          <w:tcPr>
            <w:tcW w:w="4160" w:type="dxa"/>
            <w:vAlign w:val="bottom"/>
            <w:gridSpan w:val="15"/>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74</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3.</w:t>
            </w:r>
            <w:r>
              <w:rPr>
                <w:rFonts w:ascii="Arial" w:cs="Arial" w:eastAsia="Arial" w:hAnsi="Arial"/>
                <w:sz w:val="20"/>
                <w:szCs w:val="20"/>
                <w:u w:val="single" w:color="auto"/>
                <w:color w:val="0066CC"/>
                <w:w w:val="78"/>
              </w:rPr>
              <w:t>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Borders>
              <w:bottom w:val="single" w:sz="8" w:color="0066CC"/>
            </w:tcBorders>
            <w:gridSpan w:val="12"/>
          </w:tcPr>
          <w:p>
            <w:pPr>
              <w:spacing w:after="0"/>
              <w:rPr>
                <w:sz w:val="20"/>
                <w:szCs w:val="20"/>
                <w:color w:val="auto"/>
              </w:rPr>
            </w:pPr>
            <w:r>
              <w:rPr>
                <w:rFonts w:ascii="Arial" w:cs="Arial" w:eastAsia="Arial" w:hAnsi="Arial"/>
                <w:sz w:val="20"/>
                <w:szCs w:val="20"/>
                <w:color w:val="0066CC"/>
                <w:w w:val="91"/>
              </w:rPr>
              <w:t>Collateralization</w:t>
            </w:r>
          </w:p>
        </w:tc>
        <w:tc>
          <w:tcPr>
            <w:tcW w:w="4880" w:type="dxa"/>
            <w:vAlign w:val="bottom"/>
            <w:gridSpan w:val="26"/>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74</w:t>
            </w: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3.</w:t>
            </w:r>
            <w:r>
              <w:rPr>
                <w:rFonts w:ascii="Arial" w:cs="Arial" w:eastAsia="Arial" w:hAnsi="Arial"/>
                <w:sz w:val="20"/>
                <w:szCs w:val="20"/>
                <w:u w:val="single" w:color="auto"/>
                <w:color w:val="0066CC"/>
                <w:w w:val="82"/>
              </w:rPr>
              <w:t>10</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60" w:type="dxa"/>
            <w:vAlign w:val="bottom"/>
            <w:tcBorders>
              <w:bottom w:val="single" w:sz="8" w:color="0066CC"/>
            </w:tcBorders>
            <w:gridSpan w:val="32"/>
          </w:tcPr>
          <w:p>
            <w:pPr>
              <w:spacing w:after="0"/>
              <w:rPr>
                <w:sz w:val="20"/>
                <w:szCs w:val="20"/>
                <w:color w:val="auto"/>
              </w:rPr>
            </w:pPr>
            <w:r>
              <w:rPr>
                <w:rFonts w:ascii="Arial" w:cs="Arial" w:eastAsia="Arial" w:hAnsi="Arial"/>
                <w:sz w:val="20"/>
                <w:szCs w:val="20"/>
                <w:color w:val="0066CC"/>
                <w:w w:val="90"/>
              </w:rPr>
              <w:t>New Issuing Lenders; L/C Commitments</w:t>
            </w:r>
          </w:p>
        </w:tc>
        <w:tc>
          <w:tcPr>
            <w:tcW w:w="2940" w:type="dxa"/>
            <w:vAlign w:val="bottom"/>
            <w:gridSpan w:val="6"/>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75</w:t>
            </w:r>
          </w:p>
        </w:tc>
      </w:tr>
      <w:tr>
        <w:trPr>
          <w:trHeight w:val="263"/>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3.</w:t>
            </w:r>
            <w:r>
              <w:rPr>
                <w:rFonts w:ascii="Arial" w:cs="Arial" w:eastAsia="Arial" w:hAnsi="Arial"/>
                <w:sz w:val="20"/>
                <w:szCs w:val="20"/>
                <w:u w:val="single" w:color="auto"/>
                <w:color w:val="0066CC"/>
                <w:w w:val="82"/>
              </w:rPr>
              <w:t>11</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Existing Letters of Credit and Designated Letters of Credit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75</w:t>
            </w:r>
          </w:p>
        </w:tc>
      </w:tr>
      <w:tr>
        <w:trPr>
          <w:trHeight w:val="264"/>
        </w:trPr>
        <w:tc>
          <w:tcPr>
            <w:tcW w:w="240" w:type="dxa"/>
            <w:vAlign w:val="bottom"/>
          </w:tcPr>
          <w:p>
            <w:pPr>
              <w:spacing w:after="0"/>
              <w:rPr>
                <w:sz w:val="22"/>
                <w:szCs w:val="22"/>
                <w:color w:val="auto"/>
              </w:rPr>
            </w:pPr>
          </w:p>
        </w:tc>
        <w:tc>
          <w:tcPr>
            <w:tcW w:w="340" w:type="dxa"/>
            <w:vAlign w:val="bottom"/>
            <w:tcBorders>
              <w:top w:val="single" w:sz="8" w:color="0066CC"/>
            </w:tcBorders>
            <w:gridSpan w:val="2"/>
          </w:tcPr>
          <w:p>
            <w:pPr>
              <w:spacing w:after="0"/>
              <w:rPr>
                <w:sz w:val="20"/>
                <w:szCs w:val="20"/>
                <w:color w:val="auto"/>
              </w:rPr>
            </w:pPr>
            <w:r>
              <w:rPr>
                <w:rFonts w:ascii="Arial" w:cs="Arial" w:eastAsia="Arial" w:hAnsi="Arial"/>
                <w:sz w:val="20"/>
                <w:szCs w:val="20"/>
                <w:color w:val="0066CC"/>
                <w:w w:val="82"/>
              </w:rPr>
              <w:t>3.</w:t>
            </w:r>
            <w:r>
              <w:rPr>
                <w:rFonts w:ascii="Arial" w:cs="Arial" w:eastAsia="Arial" w:hAnsi="Arial"/>
                <w:sz w:val="20"/>
                <w:szCs w:val="20"/>
                <w:u w:val="single" w:color="auto"/>
                <w:color w:val="0066CC"/>
                <w:w w:val="82"/>
              </w:rPr>
              <w:t>12</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40" w:type="dxa"/>
            <w:vAlign w:val="bottom"/>
            <w:tcBorders>
              <w:top w:val="single" w:sz="8" w:color="0066CC"/>
            </w:tcBorders>
            <w:gridSpan w:val="36"/>
          </w:tcPr>
          <w:p>
            <w:pPr>
              <w:spacing w:after="0"/>
              <w:rPr>
                <w:sz w:val="20"/>
                <w:szCs w:val="20"/>
                <w:color w:val="auto"/>
              </w:rPr>
            </w:pPr>
            <w:r>
              <w:rPr>
                <w:rFonts w:ascii="Arial" w:cs="Arial" w:eastAsia="Arial" w:hAnsi="Arial"/>
                <w:sz w:val="20"/>
                <w:szCs w:val="20"/>
                <w:color w:val="0066CC"/>
              </w:rPr>
              <w:t>Conflicts</w:t>
            </w:r>
          </w:p>
        </w:tc>
        <w:tc>
          <w:tcPr>
            <w:tcW w:w="1560" w:type="dxa"/>
            <w:vAlign w:val="bottom"/>
            <w:gridSpan w:val="2"/>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77</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gridSpan w:val="2"/>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20" w:type="dxa"/>
            <w:vAlign w:val="bottom"/>
            <w:shd w:val="clear" w:color="auto" w:fill="0066C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93"/>
        </w:trPr>
        <w:tc>
          <w:tcPr>
            <w:tcW w:w="7500" w:type="dxa"/>
            <w:vAlign w:val="bottom"/>
            <w:gridSpan w:val="43"/>
          </w:tcPr>
          <w:p>
            <w:pPr>
              <w:spacing w:after="0"/>
              <w:rPr>
                <w:sz w:val="20"/>
                <w:szCs w:val="20"/>
                <w:color w:val="auto"/>
              </w:rPr>
            </w:pPr>
            <w:r>
              <w:rPr>
                <w:rFonts w:ascii="Arial" w:cs="Arial" w:eastAsia="Arial" w:hAnsi="Arial"/>
                <w:sz w:val="20"/>
                <w:szCs w:val="20"/>
                <w:color w:val="0066CC"/>
              </w:rPr>
              <w:t>SECTION 4.   REPRESENTATIONS AND WARRANTIES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77</w:t>
            </w:r>
          </w:p>
        </w:tc>
      </w:tr>
      <w:tr>
        <w:trPr>
          <w:trHeight w:val="493"/>
        </w:trPr>
        <w:tc>
          <w:tcPr>
            <w:tcW w:w="240" w:type="dxa"/>
            <w:vAlign w:val="bottom"/>
            <w:tcBorders>
              <w:top w:val="single" w:sz="8" w:color="0066CC"/>
            </w:tcBorders>
          </w:tcPr>
          <w:p>
            <w:pPr>
              <w:spacing w:after="0"/>
              <w:rPr>
                <w:sz w:val="24"/>
                <w:szCs w:val="24"/>
                <w:color w:val="auto"/>
              </w:rPr>
            </w:pPr>
          </w:p>
        </w:tc>
        <w:tc>
          <w:tcPr>
            <w:tcW w:w="24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1</w:t>
            </w:r>
          </w:p>
        </w:tc>
        <w:tc>
          <w:tcPr>
            <w:tcW w:w="100" w:type="dxa"/>
            <w:vAlign w:val="bottom"/>
            <w:tcBorders>
              <w:top w:val="single" w:sz="8" w:color="0066CC"/>
            </w:tcBorders>
          </w:tcPr>
          <w:p>
            <w:pPr>
              <w:spacing w:after="0"/>
              <w:rPr>
                <w:sz w:val="24"/>
                <w:szCs w:val="24"/>
                <w:color w:val="auto"/>
              </w:rPr>
            </w:pPr>
          </w:p>
        </w:tc>
        <w:tc>
          <w:tcPr>
            <w:tcW w:w="460" w:type="dxa"/>
            <w:vAlign w:val="bottom"/>
            <w:tcBorders>
              <w:top w:val="single" w:sz="8" w:color="0066CC"/>
            </w:tcBorders>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Borders>
              <w:top w:val="single" w:sz="8" w:color="0066CC"/>
              <w:bottom w:val="single" w:sz="8" w:color="0066CC"/>
            </w:tcBorders>
            <w:gridSpan w:val="15"/>
          </w:tcPr>
          <w:p>
            <w:pPr>
              <w:spacing w:after="0"/>
              <w:rPr>
                <w:sz w:val="20"/>
                <w:szCs w:val="20"/>
                <w:color w:val="auto"/>
              </w:rPr>
            </w:pPr>
            <w:r>
              <w:rPr>
                <w:rFonts w:ascii="Arial" w:cs="Arial" w:eastAsia="Arial" w:hAnsi="Arial"/>
                <w:sz w:val="20"/>
                <w:szCs w:val="20"/>
                <w:color w:val="0066CC"/>
                <w:w w:val="91"/>
              </w:rPr>
              <w:t>Financial Condition</w:t>
            </w:r>
          </w:p>
        </w:tc>
        <w:tc>
          <w:tcPr>
            <w:tcW w:w="2020" w:type="dxa"/>
            <w:vAlign w:val="bottom"/>
            <w:tcBorders>
              <w:top w:val="single" w:sz="8" w:color="0066CC"/>
            </w:tcBorders>
            <w:gridSpan w:val="19"/>
          </w:tcPr>
          <w:p>
            <w:pPr>
              <w:spacing w:after="0"/>
              <w:rPr>
                <w:sz w:val="24"/>
                <w:szCs w:val="24"/>
                <w:color w:val="auto"/>
              </w:rPr>
            </w:pPr>
          </w:p>
        </w:tc>
        <w:tc>
          <w:tcPr>
            <w:tcW w:w="2600" w:type="dxa"/>
            <w:vAlign w:val="bottom"/>
            <w:gridSpan w:val="4"/>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77</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0066CC"/>
            </w:tcBorders>
            <w:gridSpan w:val="8"/>
          </w:tcPr>
          <w:p>
            <w:pPr>
              <w:spacing w:after="0"/>
              <w:rPr>
                <w:sz w:val="20"/>
                <w:szCs w:val="20"/>
                <w:color w:val="auto"/>
              </w:rPr>
            </w:pPr>
            <w:r>
              <w:rPr>
                <w:rFonts w:ascii="Arial" w:cs="Arial" w:eastAsia="Arial" w:hAnsi="Arial"/>
                <w:sz w:val="20"/>
                <w:szCs w:val="20"/>
                <w:color w:val="0066CC"/>
                <w:w w:val="86"/>
              </w:rPr>
              <w:t>No Change</w:t>
            </w:r>
          </w:p>
        </w:tc>
        <w:tc>
          <w:tcPr>
            <w:tcW w:w="5300" w:type="dxa"/>
            <w:vAlign w:val="bottom"/>
            <w:gridSpan w:val="30"/>
          </w:tcPr>
          <w:p>
            <w:pPr>
              <w:spacing w:after="0"/>
              <w:rPr>
                <w:sz w:val="22"/>
                <w:szCs w:val="22"/>
                <w:color w:val="auto"/>
              </w:rPr>
            </w:pPr>
          </w:p>
        </w:tc>
        <w:tc>
          <w:tcPr>
            <w:tcW w:w="680" w:type="dxa"/>
            <w:vAlign w:val="bottom"/>
          </w:tcPr>
          <w:p>
            <w:pPr>
              <w:ind w:left="480"/>
              <w:spacing w:after="0"/>
              <w:rPr>
                <w:sz w:val="20"/>
                <w:szCs w:val="20"/>
                <w:color w:val="auto"/>
              </w:rPr>
            </w:pPr>
            <w:r>
              <w:rPr>
                <w:rFonts w:ascii="Arial" w:cs="Arial" w:eastAsia="Arial" w:hAnsi="Arial"/>
                <w:sz w:val="20"/>
                <w:szCs w:val="20"/>
                <w:color w:val="FF0000"/>
                <w:strike w:val="1"/>
                <w:w w:val="80"/>
              </w:rPr>
              <w:t>78</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77</w:t>
            </w: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Existence</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78</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40" w:type="dxa"/>
            <w:vAlign w:val="bottom"/>
            <w:tcBorders>
              <w:bottom w:val="single" w:sz="8" w:color="0066CC"/>
            </w:tcBorders>
            <w:gridSpan w:val="35"/>
          </w:tcPr>
          <w:p>
            <w:pPr>
              <w:spacing w:after="0"/>
              <w:rPr>
                <w:sz w:val="20"/>
                <w:szCs w:val="20"/>
                <w:color w:val="auto"/>
              </w:rPr>
            </w:pPr>
            <w:r>
              <w:rPr>
                <w:rFonts w:ascii="Arial" w:cs="Arial" w:eastAsia="Arial" w:hAnsi="Arial"/>
                <w:sz w:val="20"/>
                <w:szCs w:val="20"/>
                <w:color w:val="0066CC"/>
                <w:w w:val="91"/>
              </w:rPr>
              <w:t>Power; Authorization; Enforceable Obligations</w:t>
            </w:r>
          </w:p>
        </w:tc>
        <w:tc>
          <w:tcPr>
            <w:tcW w:w="2460" w:type="dxa"/>
            <w:vAlign w:val="bottom"/>
            <w:gridSpan w:val="3"/>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78</w:t>
            </w:r>
          </w:p>
        </w:tc>
      </w:tr>
      <w:tr>
        <w:trPr>
          <w:trHeight w:val="264"/>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Borders>
              <w:bottom w:val="single" w:sz="8" w:color="0066CC"/>
            </w:tcBorders>
            <w:gridSpan w:val="10"/>
          </w:tcPr>
          <w:p>
            <w:pPr>
              <w:spacing w:after="0"/>
              <w:rPr>
                <w:sz w:val="20"/>
                <w:szCs w:val="20"/>
                <w:color w:val="auto"/>
              </w:rPr>
            </w:pPr>
            <w:r>
              <w:rPr>
                <w:rFonts w:ascii="Arial" w:cs="Arial" w:eastAsia="Arial" w:hAnsi="Arial"/>
                <w:sz w:val="20"/>
                <w:szCs w:val="20"/>
                <w:color w:val="0066CC"/>
                <w:w w:val="90"/>
              </w:rPr>
              <w:t>No Legal Bar</w:t>
            </w:r>
          </w:p>
        </w:tc>
        <w:tc>
          <w:tcPr>
            <w:tcW w:w="5120" w:type="dxa"/>
            <w:vAlign w:val="bottom"/>
            <w:gridSpan w:val="28"/>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78</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Borders>
              <w:bottom w:val="single" w:sz="8" w:color="0066CC"/>
            </w:tcBorders>
            <w:gridSpan w:val="6"/>
          </w:tcPr>
          <w:p>
            <w:pPr>
              <w:spacing w:after="0"/>
              <w:rPr>
                <w:sz w:val="20"/>
                <w:szCs w:val="20"/>
                <w:color w:val="auto"/>
              </w:rPr>
            </w:pPr>
            <w:r>
              <w:rPr>
                <w:rFonts w:ascii="Arial" w:cs="Arial" w:eastAsia="Arial" w:hAnsi="Arial"/>
                <w:sz w:val="20"/>
                <w:szCs w:val="20"/>
                <w:color w:val="0066CC"/>
                <w:w w:val="94"/>
              </w:rPr>
              <w:t>Litigation</w:t>
            </w:r>
          </w:p>
        </w:tc>
        <w:tc>
          <w:tcPr>
            <w:tcW w:w="5420" w:type="dxa"/>
            <w:vAlign w:val="bottom"/>
            <w:gridSpan w:val="32"/>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78</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Borders>
              <w:bottom w:val="single" w:sz="8" w:color="0066CC"/>
            </w:tcBorders>
            <w:gridSpan w:val="7"/>
          </w:tcPr>
          <w:p>
            <w:pPr>
              <w:spacing w:after="0"/>
              <w:rPr>
                <w:sz w:val="20"/>
                <w:szCs w:val="20"/>
                <w:color w:val="auto"/>
              </w:rPr>
            </w:pPr>
            <w:r>
              <w:rPr>
                <w:rFonts w:ascii="Arial" w:cs="Arial" w:eastAsia="Arial" w:hAnsi="Arial"/>
                <w:sz w:val="20"/>
                <w:szCs w:val="20"/>
                <w:color w:val="0066CC"/>
                <w:w w:val="90"/>
              </w:rPr>
              <w:t>No Default</w:t>
            </w:r>
          </w:p>
        </w:tc>
        <w:tc>
          <w:tcPr>
            <w:tcW w:w="5320" w:type="dxa"/>
            <w:vAlign w:val="bottom"/>
            <w:gridSpan w:val="31"/>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78</w:t>
            </w:r>
          </w:p>
        </w:tc>
      </w:tr>
      <w:tr>
        <w:trPr>
          <w:trHeight w:val="264"/>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Ownership of Property</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78</w:t>
            </w:r>
          </w:p>
        </w:tc>
      </w:tr>
      <w:tr>
        <w:trPr>
          <w:trHeight w:val="263"/>
        </w:trPr>
        <w:tc>
          <w:tcPr>
            <w:tcW w:w="240" w:type="dxa"/>
            <w:vAlign w:val="bottom"/>
          </w:tcPr>
          <w:p>
            <w:pPr>
              <w:spacing w:after="0"/>
              <w:rPr>
                <w:sz w:val="22"/>
                <w:szCs w:val="22"/>
                <w:color w:val="auto"/>
              </w:rPr>
            </w:pPr>
          </w:p>
        </w:tc>
        <w:tc>
          <w:tcPr>
            <w:tcW w:w="24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78"/>
              </w:rPr>
              <w:t>4.</w:t>
            </w:r>
            <w:r>
              <w:rPr>
                <w:rFonts w:ascii="Arial" w:cs="Arial" w:eastAsia="Arial" w:hAnsi="Arial"/>
                <w:sz w:val="20"/>
                <w:szCs w:val="20"/>
                <w:u w:val="single" w:color="auto"/>
                <w:color w:val="0066CC"/>
                <w:w w:val="78"/>
              </w:rPr>
              <w:t>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Borders>
              <w:top w:val="single" w:sz="8" w:color="0066CC"/>
              <w:bottom w:val="single" w:sz="8" w:color="0066CC"/>
            </w:tcBorders>
            <w:gridSpan w:val="16"/>
          </w:tcPr>
          <w:p>
            <w:pPr>
              <w:spacing w:after="0"/>
              <w:rPr>
                <w:sz w:val="20"/>
                <w:szCs w:val="20"/>
                <w:color w:val="auto"/>
              </w:rPr>
            </w:pPr>
            <w:r>
              <w:rPr>
                <w:rFonts w:ascii="Arial" w:cs="Arial" w:eastAsia="Arial" w:hAnsi="Arial"/>
                <w:sz w:val="20"/>
                <w:szCs w:val="20"/>
                <w:color w:val="0066CC"/>
                <w:w w:val="90"/>
              </w:rPr>
              <w:t>Intellectual Property</w:t>
            </w:r>
          </w:p>
        </w:tc>
        <w:tc>
          <w:tcPr>
            <w:tcW w:w="180" w:type="dxa"/>
            <w:vAlign w:val="bottom"/>
            <w:tcBorders>
              <w:top w:val="single" w:sz="8" w:color="0066CC"/>
            </w:tcBorders>
            <w:gridSpan w:val="2"/>
          </w:tcPr>
          <w:p>
            <w:pPr>
              <w:spacing w:after="0"/>
              <w:rPr>
                <w:sz w:val="22"/>
                <w:szCs w:val="22"/>
                <w:color w:val="auto"/>
              </w:rPr>
            </w:pPr>
          </w:p>
        </w:tc>
        <w:tc>
          <w:tcPr>
            <w:tcW w:w="4400" w:type="dxa"/>
            <w:vAlign w:val="bottom"/>
            <w:gridSpan w:val="20"/>
          </w:tcPr>
          <w:p>
            <w:pPr>
              <w:spacing w:after="0"/>
              <w:rPr>
                <w:sz w:val="22"/>
                <w:szCs w:val="22"/>
                <w:color w:val="auto"/>
              </w:rPr>
            </w:pPr>
          </w:p>
        </w:tc>
        <w:tc>
          <w:tcPr>
            <w:tcW w:w="680" w:type="dxa"/>
            <w:vAlign w:val="bottom"/>
          </w:tcPr>
          <w:p>
            <w:pPr>
              <w:ind w:left="480"/>
              <w:spacing w:after="0"/>
              <w:rPr>
                <w:sz w:val="20"/>
                <w:szCs w:val="20"/>
                <w:color w:val="auto"/>
              </w:rPr>
            </w:pPr>
            <w:r>
              <w:rPr>
                <w:rFonts w:ascii="Arial" w:cs="Arial" w:eastAsia="Arial" w:hAnsi="Arial"/>
                <w:sz w:val="20"/>
                <w:szCs w:val="20"/>
                <w:color w:val="FF0000"/>
                <w:strike w:val="1"/>
                <w:w w:val="80"/>
              </w:rPr>
              <w:t>79</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78</w:t>
            </w:r>
          </w:p>
        </w:tc>
      </w:tr>
      <w:tr>
        <w:trPr>
          <w:trHeight w:val="263"/>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4.</w:t>
            </w:r>
            <w:r>
              <w:rPr>
                <w:rFonts w:ascii="Arial" w:cs="Arial" w:eastAsia="Arial" w:hAnsi="Arial"/>
                <w:sz w:val="20"/>
                <w:szCs w:val="20"/>
                <w:u w:val="single" w:color="auto"/>
                <w:color w:val="0066CC"/>
                <w:w w:val="82"/>
              </w:rPr>
              <w:t>10</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Federal Regulations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79</w:t>
            </w:r>
          </w:p>
        </w:tc>
      </w:tr>
      <w:tr>
        <w:trPr>
          <w:trHeight w:val="264"/>
        </w:trPr>
        <w:tc>
          <w:tcPr>
            <w:tcW w:w="240" w:type="dxa"/>
            <w:vAlign w:val="bottom"/>
          </w:tcPr>
          <w:p>
            <w:pPr>
              <w:spacing w:after="0"/>
              <w:rPr>
                <w:sz w:val="22"/>
                <w:szCs w:val="22"/>
                <w:color w:val="auto"/>
              </w:rPr>
            </w:pPr>
          </w:p>
        </w:tc>
        <w:tc>
          <w:tcPr>
            <w:tcW w:w="340" w:type="dxa"/>
            <w:vAlign w:val="bottom"/>
            <w:tcBorders>
              <w:top w:val="single" w:sz="8" w:color="0066CC"/>
            </w:tcBorders>
            <w:gridSpan w:val="2"/>
          </w:tcPr>
          <w:p>
            <w:pPr>
              <w:spacing w:after="0"/>
              <w:rPr>
                <w:sz w:val="20"/>
                <w:szCs w:val="20"/>
                <w:color w:val="auto"/>
              </w:rPr>
            </w:pPr>
            <w:r>
              <w:rPr>
                <w:rFonts w:ascii="Arial" w:cs="Arial" w:eastAsia="Arial" w:hAnsi="Arial"/>
                <w:sz w:val="20"/>
                <w:szCs w:val="20"/>
                <w:color w:val="0066CC"/>
                <w:w w:val="82"/>
              </w:rPr>
              <w:t>4.</w:t>
            </w:r>
            <w:r>
              <w:rPr>
                <w:rFonts w:ascii="Arial" w:cs="Arial" w:eastAsia="Arial" w:hAnsi="Arial"/>
                <w:sz w:val="20"/>
                <w:szCs w:val="20"/>
                <w:u w:val="single" w:color="auto"/>
                <w:color w:val="0066CC"/>
                <w:w w:val="82"/>
              </w:rPr>
              <w:t>11</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Borders>
              <w:top w:val="single" w:sz="8" w:color="0066CC"/>
            </w:tcBorders>
            <w:gridSpan w:val="15"/>
          </w:tcPr>
          <w:p>
            <w:pPr>
              <w:spacing w:after="0"/>
              <w:rPr>
                <w:sz w:val="20"/>
                <w:szCs w:val="20"/>
                <w:color w:val="auto"/>
              </w:rPr>
            </w:pPr>
            <w:r>
              <w:rPr>
                <w:rFonts w:ascii="Arial" w:cs="Arial" w:eastAsia="Arial" w:hAnsi="Arial"/>
                <w:sz w:val="20"/>
                <w:szCs w:val="20"/>
                <w:color w:val="0066CC"/>
              </w:rPr>
              <w:t>ERISA</w:t>
            </w:r>
          </w:p>
        </w:tc>
        <w:tc>
          <w:tcPr>
            <w:tcW w:w="4620" w:type="dxa"/>
            <w:vAlign w:val="bottom"/>
            <w:gridSpan w:val="23"/>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79</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shd w:val="clear" w:color="auto" w:fill="0066C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4.</w:t>
            </w:r>
            <w:r>
              <w:rPr>
                <w:rFonts w:ascii="Arial" w:cs="Arial" w:eastAsia="Arial" w:hAnsi="Arial"/>
                <w:sz w:val="20"/>
                <w:szCs w:val="20"/>
                <w:u w:val="single" w:color="auto"/>
                <w:color w:val="0066CC"/>
                <w:w w:val="82"/>
              </w:rPr>
              <w:t>12</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Investment Company Act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79</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66CC"/>
          </w:tcPr>
          <w:p>
            <w:pPr>
              <w:spacing w:after="0" w:line="20" w:lineRule="exact"/>
              <w:rPr>
                <w:sz w:val="1"/>
                <w:szCs w:val="1"/>
                <w:color w:val="auto"/>
              </w:rPr>
            </w:pPr>
          </w:p>
        </w:tc>
        <w:tc>
          <w:tcPr>
            <w:tcW w:w="680" w:type="dxa"/>
            <w:vAlign w:val="bottom"/>
            <w:gridSpan w:val="8"/>
            <w:shd w:val="clear" w:color="auto" w:fill="0066CC"/>
          </w:tcPr>
          <w:p>
            <w:pPr>
              <w:spacing w:after="0" w:line="20" w:lineRule="exact"/>
              <w:rPr>
                <w:sz w:val="1"/>
                <w:szCs w:val="1"/>
                <w:color w:val="auto"/>
              </w:rPr>
            </w:pPr>
          </w:p>
        </w:tc>
        <w:tc>
          <w:tcPr>
            <w:tcW w:w="360" w:type="dxa"/>
            <w:vAlign w:val="bottom"/>
            <w:gridSpan w:val="6"/>
            <w:shd w:val="clear" w:color="auto" w:fill="0066CC"/>
          </w:tcPr>
          <w:p>
            <w:pPr>
              <w:spacing w:after="0" w:line="20" w:lineRule="exact"/>
              <w:rPr>
                <w:sz w:val="1"/>
                <w:szCs w:val="1"/>
                <w:color w:val="auto"/>
              </w:rPr>
            </w:pPr>
          </w:p>
        </w:tc>
        <w:tc>
          <w:tcPr>
            <w:tcW w:w="280" w:type="dxa"/>
            <w:vAlign w:val="bottom"/>
            <w:tcBorders>
              <w:left w:val="single" w:sz="8" w:color="0066CC"/>
            </w:tcBorders>
            <w:gridSpan w:val="4"/>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4.</w:t>
            </w:r>
            <w:r>
              <w:rPr>
                <w:rFonts w:ascii="Arial" w:cs="Arial" w:eastAsia="Arial" w:hAnsi="Arial"/>
                <w:sz w:val="20"/>
                <w:szCs w:val="20"/>
                <w:u w:val="single" w:color="auto"/>
                <w:color w:val="0066CC"/>
                <w:w w:val="82"/>
              </w:rPr>
              <w:t>13</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Ownership of the Subsidiary Borrowers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79</w:t>
            </w:r>
          </w:p>
        </w:tc>
      </w:tr>
      <w:tr>
        <w:trPr>
          <w:trHeight w:val="263"/>
        </w:trPr>
        <w:tc>
          <w:tcPr>
            <w:tcW w:w="240" w:type="dxa"/>
            <w:vAlign w:val="bottom"/>
          </w:tcPr>
          <w:p>
            <w:pPr>
              <w:spacing w:after="0"/>
              <w:rPr>
                <w:sz w:val="22"/>
                <w:szCs w:val="22"/>
                <w:color w:val="auto"/>
              </w:rPr>
            </w:pPr>
          </w:p>
        </w:tc>
        <w:tc>
          <w:tcPr>
            <w:tcW w:w="340" w:type="dxa"/>
            <w:vAlign w:val="bottom"/>
            <w:tcBorders>
              <w:top w:val="single" w:sz="8" w:color="0066CC"/>
            </w:tcBorders>
            <w:gridSpan w:val="2"/>
          </w:tcPr>
          <w:p>
            <w:pPr>
              <w:spacing w:after="0"/>
              <w:rPr>
                <w:sz w:val="20"/>
                <w:szCs w:val="20"/>
                <w:color w:val="auto"/>
              </w:rPr>
            </w:pPr>
            <w:r>
              <w:rPr>
                <w:rFonts w:ascii="Arial" w:cs="Arial" w:eastAsia="Arial" w:hAnsi="Arial"/>
                <w:sz w:val="20"/>
                <w:szCs w:val="20"/>
                <w:color w:val="0066CC"/>
                <w:w w:val="82"/>
              </w:rPr>
              <w:t>4.</w:t>
            </w:r>
            <w:r>
              <w:rPr>
                <w:rFonts w:ascii="Arial" w:cs="Arial" w:eastAsia="Arial" w:hAnsi="Arial"/>
                <w:sz w:val="20"/>
                <w:szCs w:val="20"/>
                <w:u w:val="single" w:color="auto"/>
                <w:color w:val="0066CC"/>
                <w:w w:val="82"/>
              </w:rPr>
              <w:t>14</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40" w:type="dxa"/>
            <w:vAlign w:val="bottom"/>
            <w:tcBorders>
              <w:top w:val="single" w:sz="8" w:color="0066CC"/>
            </w:tcBorders>
            <w:gridSpan w:val="31"/>
          </w:tcPr>
          <w:p>
            <w:pPr>
              <w:spacing w:after="0"/>
              <w:rPr>
                <w:sz w:val="20"/>
                <w:szCs w:val="20"/>
                <w:color w:val="auto"/>
              </w:rPr>
            </w:pPr>
            <w:r>
              <w:rPr>
                <w:rFonts w:ascii="Arial" w:cs="Arial" w:eastAsia="Arial" w:hAnsi="Arial"/>
                <w:sz w:val="20"/>
                <w:szCs w:val="20"/>
                <w:color w:val="0066CC"/>
              </w:rPr>
              <w:t>Use of Proceeds</w:t>
            </w:r>
          </w:p>
        </w:tc>
        <w:tc>
          <w:tcPr>
            <w:tcW w:w="3060" w:type="dxa"/>
            <w:vAlign w:val="bottom"/>
            <w:gridSpan w:val="7"/>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79</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66CC"/>
          </w:tcPr>
          <w:p>
            <w:pPr>
              <w:spacing w:after="0" w:line="20" w:lineRule="exact"/>
              <w:rPr>
                <w:sz w:val="1"/>
                <w:szCs w:val="1"/>
                <w:color w:val="auto"/>
              </w:rPr>
            </w:pPr>
          </w:p>
        </w:tc>
        <w:tc>
          <w:tcPr>
            <w:tcW w:w="680" w:type="dxa"/>
            <w:vAlign w:val="bottom"/>
            <w:gridSpan w:val="8"/>
            <w:shd w:val="clear" w:color="auto" w:fill="0066CC"/>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4.</w:t>
            </w:r>
            <w:r>
              <w:rPr>
                <w:rFonts w:ascii="Arial" w:cs="Arial" w:eastAsia="Arial" w:hAnsi="Arial"/>
                <w:sz w:val="20"/>
                <w:szCs w:val="20"/>
                <w:u w:val="single" w:color="auto"/>
                <w:color w:val="0066CC"/>
                <w:w w:val="82"/>
              </w:rPr>
              <w:t>15</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20" w:type="dxa"/>
            <w:vAlign w:val="bottom"/>
            <w:tcBorders>
              <w:bottom w:val="single" w:sz="8" w:color="0066CC"/>
            </w:tcBorders>
            <w:gridSpan w:val="29"/>
          </w:tcPr>
          <w:p>
            <w:pPr>
              <w:spacing w:after="0"/>
              <w:rPr>
                <w:sz w:val="20"/>
                <w:szCs w:val="20"/>
                <w:color w:val="auto"/>
              </w:rPr>
            </w:pPr>
            <w:r>
              <w:rPr>
                <w:rFonts w:ascii="Arial" w:cs="Arial" w:eastAsia="Arial" w:hAnsi="Arial"/>
                <w:sz w:val="20"/>
                <w:szCs w:val="20"/>
                <w:color w:val="0066CC"/>
                <w:w w:val="90"/>
              </w:rPr>
              <w:t>Anti-Corruption Laws and Sanctions</w:t>
            </w:r>
          </w:p>
        </w:tc>
        <w:tc>
          <w:tcPr>
            <w:tcW w:w="3280" w:type="dxa"/>
            <w:vAlign w:val="bottom"/>
            <w:gridSpan w:val="9"/>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79</w:t>
            </w:r>
          </w:p>
        </w:tc>
      </w:tr>
      <w:tr>
        <w:trPr>
          <w:trHeight w:val="493"/>
        </w:trPr>
        <w:tc>
          <w:tcPr>
            <w:tcW w:w="1040" w:type="dxa"/>
            <w:vAlign w:val="bottom"/>
            <w:tcBorders>
              <w:bottom w:val="single" w:sz="8" w:color="0066CC"/>
            </w:tcBorders>
            <w:gridSpan w:val="4"/>
          </w:tcPr>
          <w:p>
            <w:pPr>
              <w:spacing w:after="0"/>
              <w:rPr>
                <w:sz w:val="20"/>
                <w:szCs w:val="20"/>
                <w:color w:val="auto"/>
              </w:rPr>
            </w:pPr>
            <w:r>
              <w:rPr>
                <w:rFonts w:ascii="Arial" w:cs="Arial" w:eastAsia="Arial" w:hAnsi="Arial"/>
                <w:sz w:val="20"/>
                <w:szCs w:val="20"/>
                <w:color w:val="0066CC"/>
                <w:w w:val="91"/>
              </w:rPr>
              <w:t>SECTION 5.</w:t>
            </w:r>
          </w:p>
        </w:tc>
        <w:tc>
          <w:tcPr>
            <w:tcW w:w="260" w:type="dxa"/>
            <w:vAlign w:val="bottom"/>
          </w:tcPr>
          <w:p>
            <w:pPr>
              <w:spacing w:after="0"/>
              <w:rPr>
                <w:sz w:val="24"/>
                <w:szCs w:val="24"/>
                <w:color w:val="auto"/>
              </w:rPr>
            </w:pPr>
          </w:p>
        </w:tc>
        <w:tc>
          <w:tcPr>
            <w:tcW w:w="2400" w:type="dxa"/>
            <w:vAlign w:val="bottom"/>
            <w:tcBorders>
              <w:bottom w:val="single" w:sz="8" w:color="0066CC"/>
            </w:tcBorders>
            <w:gridSpan w:val="26"/>
          </w:tcPr>
          <w:p>
            <w:pPr>
              <w:spacing w:after="0"/>
              <w:rPr>
                <w:sz w:val="20"/>
                <w:szCs w:val="20"/>
                <w:color w:val="auto"/>
              </w:rPr>
            </w:pPr>
            <w:r>
              <w:rPr>
                <w:rFonts w:ascii="Arial" w:cs="Arial" w:eastAsia="Arial" w:hAnsi="Arial"/>
                <w:sz w:val="20"/>
                <w:szCs w:val="20"/>
                <w:color w:val="0066CC"/>
                <w:w w:val="93"/>
              </w:rPr>
              <w:t>CONDITIONS PRECEDENT</w:t>
            </w:r>
          </w:p>
        </w:tc>
        <w:tc>
          <w:tcPr>
            <w:tcW w:w="3800" w:type="dxa"/>
            <w:vAlign w:val="bottom"/>
            <w:gridSpan w:val="12"/>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20"/>
                <w:szCs w:val="20"/>
                <w:color w:val="FF0000"/>
                <w:strike w:val="1"/>
                <w:w w:val="80"/>
              </w:rPr>
              <w:t>80</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79</w:t>
            </w:r>
          </w:p>
        </w:tc>
      </w:tr>
      <w:tr>
        <w:trPr>
          <w:trHeight w:val="493"/>
        </w:trPr>
        <w:tc>
          <w:tcPr>
            <w:tcW w:w="240" w:type="dxa"/>
            <w:vAlign w:val="bottom"/>
          </w:tcPr>
          <w:p>
            <w:pPr>
              <w:spacing w:after="0"/>
              <w:rPr>
                <w:sz w:val="24"/>
                <w:szCs w:val="24"/>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5.</w:t>
            </w:r>
            <w:r>
              <w:rPr>
                <w:rFonts w:ascii="Arial" w:cs="Arial" w:eastAsia="Arial" w:hAnsi="Arial"/>
                <w:sz w:val="20"/>
                <w:szCs w:val="20"/>
                <w:u w:val="single" w:color="auto"/>
                <w:color w:val="0066CC"/>
                <w:w w:val="78"/>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Borders>
              <w:bottom w:val="single" w:sz="8" w:color="0066CC"/>
            </w:tcBorders>
            <w:gridSpan w:val="25"/>
          </w:tcPr>
          <w:p>
            <w:pPr>
              <w:spacing w:after="0"/>
              <w:rPr>
                <w:sz w:val="20"/>
                <w:szCs w:val="20"/>
                <w:color w:val="auto"/>
              </w:rPr>
            </w:pPr>
            <w:r>
              <w:rPr>
                <w:rFonts w:ascii="Arial" w:cs="Arial" w:eastAsia="Arial" w:hAnsi="Arial"/>
                <w:sz w:val="20"/>
                <w:szCs w:val="20"/>
                <w:color w:val="0066CC"/>
                <w:w w:val="90"/>
              </w:rPr>
              <w:t>Conditions to Closing Date</w:t>
            </w:r>
          </w:p>
        </w:tc>
        <w:tc>
          <w:tcPr>
            <w:tcW w:w="4040" w:type="dxa"/>
            <w:vAlign w:val="bottom"/>
            <w:gridSpan w:val="13"/>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20"/>
                <w:szCs w:val="20"/>
                <w:color w:val="FF0000"/>
                <w:strike w:val="1"/>
                <w:w w:val="80"/>
              </w:rPr>
              <w:t>80</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79</w:t>
            </w:r>
          </w:p>
        </w:tc>
      </w:tr>
      <w:tr>
        <w:trPr>
          <w:trHeight w:val="264"/>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5.</w:t>
            </w:r>
            <w:r>
              <w:rPr>
                <w:rFonts w:ascii="Arial" w:cs="Arial" w:eastAsia="Arial" w:hAnsi="Arial"/>
                <w:sz w:val="20"/>
                <w:szCs w:val="20"/>
                <w:u w:val="single" w:color="auto"/>
                <w:color w:val="0066CC"/>
                <w:w w:val="78"/>
              </w:rPr>
              <w:t>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20" w:type="dxa"/>
            <w:vAlign w:val="bottom"/>
            <w:tcBorders>
              <w:bottom w:val="single" w:sz="8" w:color="0066CC"/>
            </w:tcBorders>
            <w:gridSpan w:val="30"/>
          </w:tcPr>
          <w:p>
            <w:pPr>
              <w:spacing w:after="0"/>
              <w:rPr>
                <w:sz w:val="20"/>
                <w:szCs w:val="20"/>
                <w:color w:val="auto"/>
              </w:rPr>
            </w:pPr>
            <w:r>
              <w:rPr>
                <w:rFonts w:ascii="Arial" w:cs="Arial" w:eastAsia="Arial" w:hAnsi="Arial"/>
                <w:sz w:val="20"/>
                <w:szCs w:val="20"/>
                <w:color w:val="0066CC"/>
                <w:w w:val="90"/>
              </w:rPr>
              <w:t>Conditions to Each Extension of Credit</w:t>
            </w:r>
          </w:p>
        </w:tc>
        <w:tc>
          <w:tcPr>
            <w:tcW w:w="3080" w:type="dxa"/>
            <w:vAlign w:val="bottom"/>
            <w:gridSpan w:val="8"/>
          </w:tcPr>
          <w:p>
            <w:pPr>
              <w:spacing w:after="0"/>
              <w:rPr>
                <w:sz w:val="22"/>
                <w:szCs w:val="22"/>
                <w:color w:val="auto"/>
              </w:rPr>
            </w:pPr>
          </w:p>
        </w:tc>
        <w:tc>
          <w:tcPr>
            <w:tcW w:w="680" w:type="dxa"/>
            <w:vAlign w:val="bottom"/>
          </w:tcPr>
          <w:p>
            <w:pPr>
              <w:ind w:left="480"/>
              <w:spacing w:after="0"/>
              <w:rPr>
                <w:sz w:val="20"/>
                <w:szCs w:val="20"/>
                <w:color w:val="auto"/>
              </w:rPr>
            </w:pPr>
            <w:r>
              <w:rPr>
                <w:rFonts w:ascii="Arial" w:cs="Arial" w:eastAsia="Arial" w:hAnsi="Arial"/>
                <w:sz w:val="20"/>
                <w:szCs w:val="20"/>
                <w:color w:val="FF0000"/>
                <w:strike w:val="1"/>
                <w:w w:val="80"/>
              </w:rPr>
              <w:t>81</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80</w:t>
            </w:r>
          </w:p>
        </w:tc>
      </w:tr>
      <w:tr>
        <w:trPr>
          <w:trHeight w:val="493"/>
        </w:trPr>
        <w:tc>
          <w:tcPr>
            <w:tcW w:w="1040" w:type="dxa"/>
            <w:vAlign w:val="bottom"/>
            <w:tcBorders>
              <w:bottom w:val="single" w:sz="8" w:color="0066CC"/>
            </w:tcBorders>
            <w:gridSpan w:val="4"/>
          </w:tcPr>
          <w:p>
            <w:pPr>
              <w:spacing w:after="0"/>
              <w:rPr>
                <w:sz w:val="20"/>
                <w:szCs w:val="20"/>
                <w:color w:val="auto"/>
              </w:rPr>
            </w:pPr>
            <w:r>
              <w:rPr>
                <w:rFonts w:ascii="Arial" w:cs="Arial" w:eastAsia="Arial" w:hAnsi="Arial"/>
                <w:sz w:val="20"/>
                <w:szCs w:val="20"/>
                <w:color w:val="0066CC"/>
                <w:w w:val="91"/>
              </w:rPr>
              <w:t>SECTION 6.</w:t>
            </w:r>
          </w:p>
        </w:tc>
        <w:tc>
          <w:tcPr>
            <w:tcW w:w="260" w:type="dxa"/>
            <w:vAlign w:val="bottom"/>
          </w:tcPr>
          <w:p>
            <w:pPr>
              <w:spacing w:after="0"/>
              <w:rPr>
                <w:sz w:val="24"/>
                <w:szCs w:val="24"/>
                <w:color w:val="auto"/>
              </w:rPr>
            </w:pPr>
          </w:p>
        </w:tc>
        <w:tc>
          <w:tcPr>
            <w:tcW w:w="2560" w:type="dxa"/>
            <w:vAlign w:val="bottom"/>
            <w:tcBorders>
              <w:bottom w:val="single" w:sz="8" w:color="0066CC"/>
            </w:tcBorders>
            <w:gridSpan w:val="27"/>
          </w:tcPr>
          <w:p>
            <w:pPr>
              <w:spacing w:after="0"/>
              <w:rPr>
                <w:sz w:val="20"/>
                <w:szCs w:val="20"/>
                <w:color w:val="auto"/>
              </w:rPr>
            </w:pPr>
            <w:r>
              <w:rPr>
                <w:rFonts w:ascii="Arial" w:cs="Arial" w:eastAsia="Arial" w:hAnsi="Arial"/>
                <w:sz w:val="20"/>
                <w:szCs w:val="20"/>
                <w:color w:val="0066CC"/>
                <w:w w:val="96"/>
              </w:rPr>
              <w:t>AFFIRMATIVE COVENANTS</w:t>
            </w:r>
          </w:p>
        </w:tc>
        <w:tc>
          <w:tcPr>
            <w:tcW w:w="3640" w:type="dxa"/>
            <w:vAlign w:val="bottom"/>
            <w:gridSpan w:val="11"/>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81</w:t>
            </w:r>
          </w:p>
        </w:tc>
      </w:tr>
      <w:tr>
        <w:trPr>
          <w:trHeight w:val="493"/>
        </w:trPr>
        <w:tc>
          <w:tcPr>
            <w:tcW w:w="2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6.</w:t>
            </w:r>
            <w:r>
              <w:rPr>
                <w:rFonts w:ascii="Arial" w:cs="Arial" w:eastAsia="Arial" w:hAnsi="Arial"/>
                <w:sz w:val="20"/>
                <w:szCs w:val="20"/>
                <w:u w:val="single" w:color="auto"/>
                <w:color w:val="0066CC"/>
                <w:w w:val="78"/>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Financial Statements</w:t>
            </w:r>
          </w:p>
        </w:tc>
        <w:tc>
          <w:tcPr>
            <w:tcW w:w="680" w:type="dxa"/>
            <w:vAlign w:val="bottom"/>
          </w:tcPr>
          <w:p>
            <w:pPr>
              <w:ind w:left="480"/>
              <w:spacing w:after="0"/>
              <w:rPr>
                <w:sz w:val="20"/>
                <w:szCs w:val="20"/>
                <w:color w:val="auto"/>
              </w:rPr>
            </w:pPr>
            <w:r>
              <w:rPr>
                <w:rFonts w:ascii="Arial" w:cs="Arial" w:eastAsia="Arial" w:hAnsi="Arial"/>
                <w:sz w:val="20"/>
                <w:szCs w:val="20"/>
                <w:color w:val="FF0000"/>
                <w:strike w:val="1"/>
                <w:w w:val="80"/>
              </w:rPr>
              <w:t>82</w:t>
            </w:r>
          </w:p>
        </w:tc>
        <w:tc>
          <w:tcPr>
            <w:tcW w:w="180" w:type="dxa"/>
            <w:vAlign w:val="bottom"/>
          </w:tcPr>
          <w:p>
            <w:pPr>
              <w:jc w:val="right"/>
              <w:spacing w:after="0"/>
              <w:rPr>
                <w:sz w:val="20"/>
                <w:szCs w:val="20"/>
                <w:color w:val="auto"/>
              </w:rPr>
            </w:pPr>
            <w:r>
              <w:rPr>
                <w:rFonts w:ascii="Arial" w:cs="Arial" w:eastAsia="Arial" w:hAnsi="Arial"/>
                <w:sz w:val="20"/>
                <w:szCs w:val="20"/>
                <w:color w:val="006EBF"/>
                <w:w w:val="71"/>
              </w:rPr>
              <w:t>81</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66CC"/>
          </w:tcPr>
          <w:p>
            <w:pPr>
              <w:spacing w:after="0" w:line="20" w:lineRule="exact"/>
              <w:rPr>
                <w:sz w:val="1"/>
                <w:szCs w:val="1"/>
                <w:color w:val="auto"/>
              </w:rPr>
            </w:pPr>
          </w:p>
        </w:tc>
        <w:tc>
          <w:tcPr>
            <w:tcW w:w="1040" w:type="dxa"/>
            <w:vAlign w:val="bottom"/>
            <w:gridSpan w:val="14"/>
            <w:shd w:val="clear" w:color="auto" w:fill="0066CC"/>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34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6EBF"/>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6.</w:t>
            </w:r>
            <w:r>
              <w:rPr>
                <w:rFonts w:ascii="Arial" w:cs="Arial" w:eastAsia="Arial" w:hAnsi="Arial"/>
                <w:sz w:val="20"/>
                <w:szCs w:val="20"/>
                <w:u w:val="single" w:color="auto"/>
                <w:color w:val="0066CC"/>
                <w:w w:val="78"/>
              </w:rPr>
              <w:t>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Borders>
              <w:bottom w:val="single" w:sz="8" w:color="0066CC"/>
            </w:tcBorders>
            <w:gridSpan w:val="21"/>
          </w:tcPr>
          <w:p>
            <w:pPr>
              <w:spacing w:after="0"/>
              <w:rPr>
                <w:sz w:val="20"/>
                <w:szCs w:val="20"/>
                <w:color w:val="auto"/>
              </w:rPr>
            </w:pPr>
            <w:r>
              <w:rPr>
                <w:rFonts w:ascii="Arial" w:cs="Arial" w:eastAsia="Arial" w:hAnsi="Arial"/>
                <w:sz w:val="20"/>
                <w:szCs w:val="20"/>
                <w:color w:val="0066CC"/>
                <w:w w:val="89"/>
              </w:rPr>
              <w:t>Compliance Certificates</w:t>
            </w:r>
          </w:p>
        </w:tc>
        <w:tc>
          <w:tcPr>
            <w:tcW w:w="4280" w:type="dxa"/>
            <w:vAlign w:val="bottom"/>
            <w:gridSpan w:val="17"/>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82</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6.</w:t>
            </w:r>
            <w:r>
              <w:rPr>
                <w:rFonts w:ascii="Arial" w:cs="Arial" w:eastAsia="Arial" w:hAnsi="Arial"/>
                <w:sz w:val="20"/>
                <w:szCs w:val="20"/>
                <w:u w:val="single" w:color="auto"/>
                <w:color w:val="0066CC"/>
                <w:w w:val="78"/>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60" w:type="dxa"/>
            <w:vAlign w:val="bottom"/>
            <w:tcBorders>
              <w:bottom w:val="single" w:sz="8" w:color="0066CC"/>
            </w:tcBorders>
            <w:gridSpan w:val="28"/>
          </w:tcPr>
          <w:p>
            <w:pPr>
              <w:spacing w:after="0"/>
              <w:rPr>
                <w:sz w:val="20"/>
                <w:szCs w:val="20"/>
                <w:color w:val="auto"/>
              </w:rPr>
            </w:pPr>
            <w:r>
              <w:rPr>
                <w:rFonts w:ascii="Arial" w:cs="Arial" w:eastAsia="Arial" w:hAnsi="Arial"/>
                <w:sz w:val="20"/>
                <w:szCs w:val="20"/>
                <w:color w:val="0066CC"/>
                <w:w w:val="88"/>
              </w:rPr>
              <w:t>Maintenance of Business; Existence</w:t>
            </w:r>
          </w:p>
        </w:tc>
        <w:tc>
          <w:tcPr>
            <w:tcW w:w="3340" w:type="dxa"/>
            <w:vAlign w:val="bottom"/>
            <w:gridSpan w:val="10"/>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82</w:t>
            </w:r>
          </w:p>
        </w:tc>
      </w:tr>
      <w:tr>
        <w:trPr>
          <w:trHeight w:val="264"/>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6.</w:t>
            </w:r>
            <w:r>
              <w:rPr>
                <w:rFonts w:ascii="Arial" w:cs="Arial" w:eastAsia="Arial" w:hAnsi="Arial"/>
                <w:sz w:val="20"/>
                <w:szCs w:val="20"/>
                <w:u w:val="single" w:color="auto"/>
                <w:color w:val="0066CC"/>
                <w:w w:val="78"/>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0" w:type="dxa"/>
            <w:vAlign w:val="bottom"/>
            <w:gridSpan w:val="38"/>
          </w:tcPr>
          <w:p>
            <w:pPr>
              <w:spacing w:after="0"/>
              <w:rPr>
                <w:sz w:val="20"/>
                <w:szCs w:val="20"/>
                <w:color w:val="auto"/>
              </w:rPr>
            </w:pPr>
            <w:r>
              <w:rPr>
                <w:rFonts w:ascii="Arial" w:cs="Arial" w:eastAsia="Arial" w:hAnsi="Arial"/>
                <w:sz w:val="20"/>
                <w:szCs w:val="20"/>
                <w:color w:val="0066CC"/>
              </w:rPr>
              <w:t>Maintenance of Insurance</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82</w:t>
            </w:r>
          </w:p>
        </w:tc>
      </w:tr>
      <w:tr>
        <w:trPr>
          <w:trHeight w:val="264"/>
        </w:trPr>
        <w:tc>
          <w:tcPr>
            <w:tcW w:w="240" w:type="dxa"/>
            <w:vAlign w:val="bottom"/>
          </w:tcPr>
          <w:p>
            <w:pPr>
              <w:spacing w:after="0"/>
              <w:rPr>
                <w:sz w:val="22"/>
                <w:szCs w:val="22"/>
                <w:color w:val="auto"/>
              </w:rPr>
            </w:pPr>
          </w:p>
        </w:tc>
        <w:tc>
          <w:tcPr>
            <w:tcW w:w="24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78"/>
              </w:rPr>
              <w:t>6.</w:t>
            </w:r>
            <w:r>
              <w:rPr>
                <w:rFonts w:ascii="Arial" w:cs="Arial" w:eastAsia="Arial" w:hAnsi="Arial"/>
                <w:sz w:val="20"/>
                <w:szCs w:val="20"/>
                <w:u w:val="single" w:color="auto"/>
                <w:color w:val="0066CC"/>
                <w:w w:val="78"/>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Borders>
              <w:top w:val="single" w:sz="8" w:color="0066CC"/>
              <w:bottom w:val="single" w:sz="8" w:color="0066CC"/>
            </w:tcBorders>
            <w:gridSpan w:val="3"/>
          </w:tcPr>
          <w:p>
            <w:pPr>
              <w:spacing w:after="0"/>
              <w:rPr>
                <w:sz w:val="20"/>
                <w:szCs w:val="20"/>
                <w:color w:val="auto"/>
              </w:rPr>
            </w:pPr>
            <w:r>
              <w:rPr>
                <w:rFonts w:ascii="Arial" w:cs="Arial" w:eastAsia="Arial" w:hAnsi="Arial"/>
                <w:sz w:val="20"/>
                <w:szCs w:val="20"/>
                <w:color w:val="0066CC"/>
                <w:w w:val="86"/>
              </w:rPr>
              <w:t>Notices</w:t>
            </w:r>
          </w:p>
        </w:tc>
        <w:tc>
          <w:tcPr>
            <w:tcW w:w="1440" w:type="dxa"/>
            <w:vAlign w:val="bottom"/>
            <w:tcBorders>
              <w:top w:val="single" w:sz="8" w:color="0066CC"/>
            </w:tcBorders>
            <w:gridSpan w:val="20"/>
          </w:tcPr>
          <w:p>
            <w:pPr>
              <w:spacing w:after="0"/>
              <w:rPr>
                <w:sz w:val="22"/>
                <w:szCs w:val="22"/>
                <w:color w:val="auto"/>
              </w:rPr>
            </w:pPr>
          </w:p>
        </w:tc>
        <w:tc>
          <w:tcPr>
            <w:tcW w:w="4160" w:type="dxa"/>
            <w:vAlign w:val="bottom"/>
            <w:gridSpan w:val="15"/>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82</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6.</w:t>
            </w:r>
            <w:r>
              <w:rPr>
                <w:rFonts w:ascii="Arial" w:cs="Arial" w:eastAsia="Arial" w:hAnsi="Arial"/>
                <w:sz w:val="20"/>
                <w:szCs w:val="20"/>
                <w:u w:val="single" w:color="auto"/>
                <w:color w:val="0066CC"/>
                <w:w w:val="78"/>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Borders>
              <w:bottom w:val="single" w:sz="8" w:color="0066CC"/>
            </w:tcBorders>
            <w:gridSpan w:val="24"/>
          </w:tcPr>
          <w:p>
            <w:pPr>
              <w:spacing w:after="0"/>
              <w:rPr>
                <w:sz w:val="20"/>
                <w:szCs w:val="20"/>
                <w:color w:val="auto"/>
              </w:rPr>
            </w:pPr>
            <w:r>
              <w:rPr>
                <w:rFonts w:ascii="Arial" w:cs="Arial" w:eastAsia="Arial" w:hAnsi="Arial"/>
                <w:sz w:val="20"/>
                <w:szCs w:val="20"/>
                <w:color w:val="0066CC"/>
                <w:w w:val="86"/>
              </w:rPr>
              <w:t>Reinstated Guarantors, etc.</w:t>
            </w:r>
          </w:p>
        </w:tc>
        <w:tc>
          <w:tcPr>
            <w:tcW w:w="4060" w:type="dxa"/>
            <w:vAlign w:val="bottom"/>
            <w:gridSpan w:val="14"/>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82</w:t>
            </w:r>
          </w:p>
        </w:tc>
      </w:tr>
    </w:tbl>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9019"/>
          </w:cols>
          <w:pgMar w:left="1440" w:top="724" w:right="1440" w:bottom="1440" w:gutter="0" w:footer="0" w:header="0"/>
        </w:sectPr>
      </w:pPr>
    </w:p>
    <w:bookmarkStart w:id="55" w:name="page56"/>
    <w:bookmarkEnd w:id="55"/>
    <w:tbl>
      <w:tblPr>
        <w:tblLayout w:type="fixed"/>
        <w:tblInd w:w="320" w:type="dxa"/>
        <w:tblCellMar>
          <w:top w:w="0" w:type="dxa"/>
          <w:left w:w="0" w:type="dxa"/>
          <w:bottom w:w="0" w:type="dxa"/>
          <w:right w:w="0" w:type="dxa"/>
        </w:tblCellMar>
      </w:tblPr>
      <w:tr>
        <w:trPr>
          <w:trHeight w:val="256"/>
        </w:trPr>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b w:val="1"/>
                <w:bCs w:val="1"/>
                <w:color w:val="auto"/>
              </w:rPr>
              <w:t>Page</w:t>
            </w:r>
          </w:p>
        </w:tc>
      </w:tr>
      <w:tr>
        <w:trPr>
          <w:trHeight w:val="455"/>
        </w:trPr>
        <w:tc>
          <w:tcPr>
            <w:tcW w:w="240" w:type="dxa"/>
            <w:vAlign w:val="bottom"/>
          </w:tcPr>
          <w:p>
            <w:pPr>
              <w:spacing w:after="0"/>
              <w:rPr>
                <w:sz w:val="24"/>
                <w:szCs w:val="24"/>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6.</w:t>
            </w:r>
            <w:r>
              <w:rPr>
                <w:rFonts w:ascii="Arial" w:cs="Arial" w:eastAsia="Arial" w:hAnsi="Arial"/>
                <w:sz w:val="20"/>
                <w:szCs w:val="20"/>
                <w:u w:val="single" w:color="auto"/>
                <w:color w:val="0066CC"/>
                <w:w w:val="78"/>
              </w:rPr>
              <w:t>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Borders>
              <w:bottom w:val="single" w:sz="8" w:color="0066CC"/>
            </w:tcBorders>
            <w:gridSpan w:val="13"/>
          </w:tcPr>
          <w:p>
            <w:pPr>
              <w:spacing w:after="0"/>
              <w:rPr>
                <w:sz w:val="20"/>
                <w:szCs w:val="20"/>
                <w:color w:val="auto"/>
              </w:rPr>
            </w:pPr>
            <w:r>
              <w:rPr>
                <w:rFonts w:ascii="Arial" w:cs="Arial" w:eastAsia="Arial" w:hAnsi="Arial"/>
                <w:sz w:val="20"/>
                <w:szCs w:val="20"/>
                <w:color w:val="0066CC"/>
                <w:w w:val="87"/>
              </w:rPr>
              <w:t>Books and Records</w:t>
            </w:r>
          </w:p>
        </w:tc>
        <w:tc>
          <w:tcPr>
            <w:tcW w:w="4640" w:type="dxa"/>
            <w:vAlign w:val="bottom"/>
            <w:gridSpan w:val="25"/>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83</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6.</w:t>
            </w:r>
            <w:r>
              <w:rPr>
                <w:rFonts w:ascii="Arial" w:cs="Arial" w:eastAsia="Arial" w:hAnsi="Arial"/>
                <w:sz w:val="20"/>
                <w:szCs w:val="20"/>
                <w:u w:val="single" w:color="auto"/>
                <w:color w:val="0066CC"/>
                <w:w w:val="78"/>
              </w:rPr>
              <w:t>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8"/>
              </w:rPr>
              <w:t>Ratings</w:t>
            </w:r>
          </w:p>
        </w:tc>
        <w:tc>
          <w:tcPr>
            <w:tcW w:w="5560" w:type="dxa"/>
            <w:vAlign w:val="bottom"/>
            <w:gridSpan w:val="36"/>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83</w:t>
            </w:r>
          </w:p>
        </w:tc>
      </w:tr>
      <w:tr>
        <w:trPr>
          <w:trHeight w:val="493"/>
        </w:trPr>
        <w:tc>
          <w:tcPr>
            <w:tcW w:w="1040" w:type="dxa"/>
            <w:vAlign w:val="bottom"/>
            <w:gridSpan w:val="5"/>
          </w:tcPr>
          <w:p>
            <w:pPr>
              <w:spacing w:after="0"/>
              <w:rPr>
                <w:sz w:val="20"/>
                <w:szCs w:val="20"/>
                <w:color w:val="auto"/>
              </w:rPr>
            </w:pPr>
            <w:r>
              <w:rPr>
                <w:rFonts w:ascii="Arial" w:cs="Arial" w:eastAsia="Arial" w:hAnsi="Arial"/>
                <w:sz w:val="20"/>
                <w:szCs w:val="20"/>
                <w:color w:val="0066CC"/>
                <w:w w:val="91"/>
              </w:rPr>
              <w:t>SECTION 7.</w:t>
            </w:r>
          </w:p>
        </w:tc>
        <w:tc>
          <w:tcPr>
            <w:tcW w:w="260" w:type="dxa"/>
            <w:vAlign w:val="bottom"/>
            <w:gridSpan w:val="2"/>
          </w:tcPr>
          <w:p>
            <w:pPr>
              <w:spacing w:after="0"/>
              <w:rPr>
                <w:sz w:val="24"/>
                <w:szCs w:val="24"/>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NEGATIVE COVENANTS</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83</w:t>
            </w:r>
          </w:p>
        </w:tc>
      </w:tr>
      <w:tr>
        <w:trPr>
          <w:trHeight w:val="493"/>
        </w:trPr>
        <w:tc>
          <w:tcPr>
            <w:tcW w:w="240" w:type="dxa"/>
            <w:vAlign w:val="bottom"/>
            <w:tcBorders>
              <w:top w:val="single" w:sz="8" w:color="0066CC"/>
            </w:tcBorders>
          </w:tcPr>
          <w:p>
            <w:pPr>
              <w:spacing w:after="0"/>
              <w:rPr>
                <w:sz w:val="24"/>
                <w:szCs w:val="24"/>
                <w:color w:val="auto"/>
              </w:rPr>
            </w:pPr>
          </w:p>
        </w:tc>
        <w:tc>
          <w:tcPr>
            <w:tcW w:w="24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78"/>
              </w:rPr>
              <w:t>7.</w:t>
            </w:r>
            <w:r>
              <w:rPr>
                <w:rFonts w:ascii="Arial" w:cs="Arial" w:eastAsia="Arial" w:hAnsi="Arial"/>
                <w:sz w:val="20"/>
                <w:szCs w:val="20"/>
                <w:u w:val="single" w:color="auto"/>
                <w:color w:val="0066CC"/>
                <w:w w:val="78"/>
              </w:rPr>
              <w:t>1</w:t>
            </w:r>
          </w:p>
        </w:tc>
        <w:tc>
          <w:tcPr>
            <w:tcW w:w="100" w:type="dxa"/>
            <w:vAlign w:val="bottom"/>
            <w:tcBorders>
              <w:top w:val="single" w:sz="8" w:color="0066CC"/>
            </w:tcBorders>
          </w:tcPr>
          <w:p>
            <w:pPr>
              <w:spacing w:after="0"/>
              <w:rPr>
                <w:sz w:val="24"/>
                <w:szCs w:val="24"/>
                <w:color w:val="auto"/>
              </w:rPr>
            </w:pPr>
          </w:p>
        </w:tc>
        <w:tc>
          <w:tcPr>
            <w:tcW w:w="100" w:type="dxa"/>
            <w:vAlign w:val="bottom"/>
            <w:tcBorders>
              <w:top w:val="single" w:sz="8" w:color="0066CC"/>
            </w:tcBorders>
          </w:tcPr>
          <w:p>
            <w:pPr>
              <w:spacing w:after="0"/>
              <w:rPr>
                <w:sz w:val="24"/>
                <w:szCs w:val="24"/>
                <w:color w:val="auto"/>
              </w:rPr>
            </w:pPr>
          </w:p>
        </w:tc>
        <w:tc>
          <w:tcPr>
            <w:tcW w:w="360" w:type="dxa"/>
            <w:vAlign w:val="bottom"/>
            <w:tcBorders>
              <w:top w:val="single" w:sz="8" w:color="0066CC"/>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top w:val="single" w:sz="8" w:color="0066CC"/>
              <w:bottom w:val="single" w:sz="8" w:color="0066CC"/>
            </w:tcBorders>
            <w:gridSpan w:val="14"/>
          </w:tcPr>
          <w:p>
            <w:pPr>
              <w:spacing w:after="0"/>
              <w:rPr>
                <w:sz w:val="20"/>
                <w:szCs w:val="20"/>
                <w:color w:val="auto"/>
              </w:rPr>
            </w:pPr>
            <w:r>
              <w:rPr>
                <w:rFonts w:ascii="Arial" w:cs="Arial" w:eastAsia="Arial" w:hAnsi="Arial"/>
                <w:sz w:val="20"/>
                <w:szCs w:val="20"/>
                <w:color w:val="0066CC"/>
                <w:w w:val="97"/>
              </w:rPr>
              <w:t>Minimum Liquidity</w:t>
            </w:r>
          </w:p>
        </w:tc>
        <w:tc>
          <w:tcPr>
            <w:tcW w:w="640" w:type="dxa"/>
            <w:vAlign w:val="bottom"/>
            <w:tcBorders>
              <w:top w:val="single" w:sz="8" w:color="0066CC"/>
            </w:tcBorders>
            <w:gridSpan w:val="10"/>
          </w:tcPr>
          <w:p>
            <w:pPr>
              <w:spacing w:after="0"/>
              <w:rPr>
                <w:sz w:val="24"/>
                <w:szCs w:val="24"/>
                <w:color w:val="auto"/>
              </w:rPr>
            </w:pPr>
          </w:p>
        </w:tc>
        <w:tc>
          <w:tcPr>
            <w:tcW w:w="3960" w:type="dxa"/>
            <w:vAlign w:val="bottom"/>
            <w:gridSpan w:val="14"/>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83</w:t>
            </w: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7.</w:t>
            </w:r>
            <w:r>
              <w:rPr>
                <w:rFonts w:ascii="Arial" w:cs="Arial" w:eastAsia="Arial" w:hAnsi="Arial"/>
                <w:sz w:val="20"/>
                <w:szCs w:val="20"/>
                <w:u w:val="single" w:color="auto"/>
                <w:color w:val="0066CC"/>
                <w:w w:val="78"/>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Indebtedness</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83</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7.</w:t>
            </w:r>
            <w:r>
              <w:rPr>
                <w:rFonts w:ascii="Arial" w:cs="Arial" w:eastAsia="Arial" w:hAnsi="Arial"/>
                <w:sz w:val="20"/>
                <w:szCs w:val="20"/>
                <w:u w:val="single" w:color="auto"/>
                <w:color w:val="0066CC"/>
                <w:w w:val="78"/>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tcBorders>
              <w:bottom w:val="single" w:sz="8" w:color="0066CC"/>
            </w:tcBorders>
            <w:gridSpan w:val="20"/>
          </w:tcPr>
          <w:p>
            <w:pPr>
              <w:spacing w:after="0"/>
              <w:rPr>
                <w:sz w:val="20"/>
                <w:szCs w:val="20"/>
                <w:color w:val="auto"/>
              </w:rPr>
            </w:pPr>
            <w:r>
              <w:rPr>
                <w:rFonts w:ascii="Arial" w:cs="Arial" w:eastAsia="Arial" w:hAnsi="Arial"/>
                <w:sz w:val="20"/>
                <w:szCs w:val="20"/>
                <w:color w:val="0066CC"/>
                <w:w w:val="87"/>
              </w:rPr>
              <w:t>Asset Sale Restrictions</w:t>
            </w:r>
          </w:p>
        </w:tc>
        <w:tc>
          <w:tcPr>
            <w:tcW w:w="4340" w:type="dxa"/>
            <w:vAlign w:val="bottom"/>
            <w:gridSpan w:val="18"/>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FF0000"/>
                <w:strike w:val="1"/>
              </w:rPr>
              <w:t>84</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83</w:t>
            </w:r>
          </w:p>
        </w:tc>
      </w:tr>
      <w:tr>
        <w:trPr>
          <w:trHeight w:val="264"/>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7.</w:t>
            </w:r>
            <w:r>
              <w:rPr>
                <w:rFonts w:ascii="Arial" w:cs="Arial" w:eastAsia="Arial" w:hAnsi="Arial"/>
                <w:sz w:val="20"/>
                <w:szCs w:val="20"/>
                <w:u w:val="single" w:color="auto"/>
                <w:color w:val="0066CC"/>
                <w:w w:val="78"/>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tcBorders>
              <w:bottom w:val="single" w:sz="8" w:color="0066CC"/>
            </w:tcBorders>
            <w:gridSpan w:val="19"/>
          </w:tcPr>
          <w:p>
            <w:pPr>
              <w:spacing w:after="0"/>
              <w:rPr>
                <w:sz w:val="20"/>
                <w:szCs w:val="20"/>
                <w:color w:val="auto"/>
              </w:rPr>
            </w:pPr>
            <w:r>
              <w:rPr>
                <w:rFonts w:ascii="Arial" w:cs="Arial" w:eastAsia="Arial" w:hAnsi="Arial"/>
                <w:sz w:val="20"/>
                <w:szCs w:val="20"/>
                <w:color w:val="0066CC"/>
                <w:w w:val="85"/>
              </w:rPr>
              <w:t>Fundamental Changes</w:t>
            </w:r>
          </w:p>
        </w:tc>
        <w:tc>
          <w:tcPr>
            <w:tcW w:w="4420" w:type="dxa"/>
            <w:vAlign w:val="bottom"/>
            <w:gridSpan w:val="19"/>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84</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7.</w:t>
            </w:r>
            <w:r>
              <w:rPr>
                <w:rFonts w:ascii="Arial" w:cs="Arial" w:eastAsia="Arial" w:hAnsi="Arial"/>
                <w:sz w:val="20"/>
                <w:szCs w:val="20"/>
                <w:u w:val="single" w:color="auto"/>
                <w:color w:val="0066CC"/>
                <w:w w:val="78"/>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20" w:type="dxa"/>
            <w:vAlign w:val="bottom"/>
            <w:tcBorders>
              <w:bottom w:val="single" w:sz="8" w:color="0066CC"/>
            </w:tcBorders>
            <w:gridSpan w:val="30"/>
          </w:tcPr>
          <w:p>
            <w:pPr>
              <w:spacing w:after="0"/>
              <w:rPr>
                <w:sz w:val="20"/>
                <w:szCs w:val="20"/>
                <w:color w:val="auto"/>
              </w:rPr>
            </w:pPr>
            <w:r>
              <w:rPr>
                <w:rFonts w:ascii="Arial" w:cs="Arial" w:eastAsia="Arial" w:hAnsi="Arial"/>
                <w:sz w:val="20"/>
                <w:szCs w:val="20"/>
                <w:color w:val="0066CC"/>
                <w:w w:val="90"/>
              </w:rPr>
              <w:t>Anti-Corruption Laws and Sanctions</w:t>
            </w:r>
          </w:p>
        </w:tc>
        <w:tc>
          <w:tcPr>
            <w:tcW w:w="3260" w:type="dxa"/>
            <w:vAlign w:val="bottom"/>
            <w:gridSpan w:val="8"/>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FF0000"/>
                <w:strike w:val="1"/>
              </w:rPr>
              <w:t>85</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84</w:t>
            </w: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7.</w:t>
            </w:r>
            <w:r>
              <w:rPr>
                <w:rFonts w:ascii="Arial" w:cs="Arial" w:eastAsia="Arial" w:hAnsi="Arial"/>
                <w:sz w:val="20"/>
                <w:szCs w:val="20"/>
                <w:u w:val="single" w:color="auto"/>
                <w:color w:val="0066CC"/>
                <w:w w:val="78"/>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15"/>
          </w:tcPr>
          <w:p>
            <w:pPr>
              <w:spacing w:after="0"/>
              <w:rPr>
                <w:sz w:val="20"/>
                <w:szCs w:val="20"/>
                <w:color w:val="auto"/>
              </w:rPr>
            </w:pPr>
            <w:r>
              <w:rPr>
                <w:rFonts w:ascii="Arial" w:cs="Arial" w:eastAsia="Arial" w:hAnsi="Arial"/>
                <w:sz w:val="20"/>
                <w:szCs w:val="20"/>
                <w:color w:val="0066CC"/>
                <w:w w:val="86"/>
              </w:rPr>
              <w:t>Restricted Payments</w:t>
            </w:r>
          </w:p>
        </w:tc>
        <w:tc>
          <w:tcPr>
            <w:tcW w:w="4560" w:type="dxa"/>
            <w:vAlign w:val="bottom"/>
            <w:gridSpan w:val="23"/>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006EBF"/>
              </w:rPr>
              <w:t>84</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40" w:type="dxa"/>
            <w:vAlign w:val="bottom"/>
            <w:gridSpan w:val="3"/>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6EBF"/>
          </w:tcPr>
          <w:p>
            <w:pPr>
              <w:spacing w:after="0" w:line="20" w:lineRule="exact"/>
              <w:rPr>
                <w:sz w:val="1"/>
                <w:szCs w:val="1"/>
                <w:color w:val="auto"/>
              </w:rPr>
            </w:pPr>
          </w:p>
        </w:tc>
      </w:tr>
      <w:tr>
        <w:trPr>
          <w:trHeight w:val="493"/>
        </w:trPr>
        <w:tc>
          <w:tcPr>
            <w:tcW w:w="1040" w:type="dxa"/>
            <w:vAlign w:val="bottom"/>
            <w:tcBorders>
              <w:bottom w:val="single" w:sz="8" w:color="0066CC"/>
            </w:tcBorders>
            <w:gridSpan w:val="5"/>
          </w:tcPr>
          <w:p>
            <w:pPr>
              <w:spacing w:after="0"/>
              <w:rPr>
                <w:sz w:val="20"/>
                <w:szCs w:val="20"/>
                <w:color w:val="auto"/>
              </w:rPr>
            </w:pPr>
            <w:r>
              <w:rPr>
                <w:rFonts w:ascii="Arial" w:cs="Arial" w:eastAsia="Arial" w:hAnsi="Arial"/>
                <w:sz w:val="20"/>
                <w:szCs w:val="20"/>
                <w:color w:val="0066CC"/>
                <w:w w:val="91"/>
              </w:rPr>
              <w:t>SECTION 8.</w:t>
            </w:r>
          </w:p>
        </w:tc>
        <w:tc>
          <w:tcPr>
            <w:tcW w:w="260" w:type="dxa"/>
            <w:vAlign w:val="bottom"/>
            <w:gridSpan w:val="2"/>
          </w:tcPr>
          <w:p>
            <w:pPr>
              <w:spacing w:after="0"/>
              <w:rPr>
                <w:sz w:val="24"/>
                <w:szCs w:val="24"/>
                <w:color w:val="auto"/>
              </w:rPr>
            </w:pPr>
          </w:p>
        </w:tc>
        <w:tc>
          <w:tcPr>
            <w:tcW w:w="1980" w:type="dxa"/>
            <w:vAlign w:val="bottom"/>
            <w:tcBorders>
              <w:bottom w:val="single" w:sz="8" w:color="0066CC"/>
            </w:tcBorders>
            <w:gridSpan w:val="22"/>
          </w:tcPr>
          <w:p>
            <w:pPr>
              <w:spacing w:after="0"/>
              <w:rPr>
                <w:sz w:val="20"/>
                <w:szCs w:val="20"/>
                <w:color w:val="auto"/>
              </w:rPr>
            </w:pPr>
            <w:r>
              <w:rPr>
                <w:rFonts w:ascii="Arial" w:cs="Arial" w:eastAsia="Arial" w:hAnsi="Arial"/>
                <w:sz w:val="20"/>
                <w:szCs w:val="20"/>
                <w:color w:val="0066CC"/>
                <w:w w:val="93"/>
              </w:rPr>
              <w:t>EVENTS OF DEFAULT</w:t>
            </w:r>
          </w:p>
        </w:tc>
        <w:tc>
          <w:tcPr>
            <w:tcW w:w="4200" w:type="dxa"/>
            <w:vAlign w:val="bottom"/>
            <w:gridSpan w:val="16"/>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85</w:t>
            </w:r>
          </w:p>
        </w:tc>
      </w:tr>
      <w:tr>
        <w:trPr>
          <w:trHeight w:val="493"/>
        </w:trPr>
        <w:tc>
          <w:tcPr>
            <w:tcW w:w="1040" w:type="dxa"/>
            <w:vAlign w:val="bottom"/>
            <w:gridSpan w:val="5"/>
          </w:tcPr>
          <w:p>
            <w:pPr>
              <w:spacing w:after="0"/>
              <w:rPr>
                <w:sz w:val="20"/>
                <w:szCs w:val="20"/>
                <w:color w:val="auto"/>
              </w:rPr>
            </w:pPr>
            <w:r>
              <w:rPr>
                <w:rFonts w:ascii="Arial" w:cs="Arial" w:eastAsia="Arial" w:hAnsi="Arial"/>
                <w:sz w:val="20"/>
                <w:szCs w:val="20"/>
                <w:color w:val="0066CC"/>
                <w:w w:val="91"/>
              </w:rPr>
              <w:t>SECTION 9.</w:t>
            </w:r>
          </w:p>
        </w:tc>
        <w:tc>
          <w:tcPr>
            <w:tcW w:w="260" w:type="dxa"/>
            <w:vAlign w:val="bottom"/>
            <w:gridSpan w:val="2"/>
          </w:tcPr>
          <w:p>
            <w:pPr>
              <w:spacing w:after="0"/>
              <w:rPr>
                <w:sz w:val="24"/>
                <w:szCs w:val="24"/>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THE AGENTS</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87</w:t>
            </w:r>
          </w:p>
        </w:tc>
      </w:tr>
      <w:tr>
        <w:trPr>
          <w:trHeight w:val="493"/>
        </w:trPr>
        <w:tc>
          <w:tcPr>
            <w:tcW w:w="240" w:type="dxa"/>
            <w:vAlign w:val="bottom"/>
            <w:tcBorders>
              <w:top w:val="single" w:sz="8" w:color="0066CC"/>
            </w:tcBorders>
          </w:tcPr>
          <w:p>
            <w:pPr>
              <w:spacing w:after="0"/>
              <w:rPr>
                <w:sz w:val="24"/>
                <w:szCs w:val="24"/>
                <w:color w:val="auto"/>
              </w:rPr>
            </w:pPr>
          </w:p>
        </w:tc>
        <w:tc>
          <w:tcPr>
            <w:tcW w:w="240" w:type="dxa"/>
            <w:vAlign w:val="bottom"/>
            <w:tcBorders>
              <w:top w:val="single" w:sz="8" w:color="0066CC"/>
              <w:bottom w:val="single" w:sz="8" w:color="0066CC"/>
            </w:tcBorders>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1</w:t>
            </w:r>
          </w:p>
        </w:tc>
        <w:tc>
          <w:tcPr>
            <w:tcW w:w="100" w:type="dxa"/>
            <w:vAlign w:val="bottom"/>
            <w:tcBorders>
              <w:top w:val="single" w:sz="8" w:color="0066CC"/>
            </w:tcBorders>
          </w:tcPr>
          <w:p>
            <w:pPr>
              <w:spacing w:after="0"/>
              <w:rPr>
                <w:sz w:val="24"/>
                <w:szCs w:val="24"/>
                <w:color w:val="auto"/>
              </w:rPr>
            </w:pPr>
          </w:p>
        </w:tc>
        <w:tc>
          <w:tcPr>
            <w:tcW w:w="100" w:type="dxa"/>
            <w:vAlign w:val="bottom"/>
            <w:tcBorders>
              <w:top w:val="single" w:sz="8" w:color="0066CC"/>
            </w:tcBorders>
          </w:tcPr>
          <w:p>
            <w:pPr>
              <w:spacing w:after="0"/>
              <w:rPr>
                <w:sz w:val="24"/>
                <w:szCs w:val="24"/>
                <w:color w:val="auto"/>
              </w:rPr>
            </w:pPr>
          </w:p>
        </w:tc>
        <w:tc>
          <w:tcPr>
            <w:tcW w:w="360" w:type="dxa"/>
            <w:vAlign w:val="bottom"/>
            <w:tcBorders>
              <w:top w:val="single" w:sz="8" w:color="0066CC"/>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0066CC"/>
              <w:bottom w:val="single" w:sz="8" w:color="0066CC"/>
            </w:tcBorders>
            <w:gridSpan w:val="7"/>
          </w:tcPr>
          <w:p>
            <w:pPr>
              <w:spacing w:after="0"/>
              <w:rPr>
                <w:sz w:val="20"/>
                <w:szCs w:val="20"/>
                <w:color w:val="auto"/>
              </w:rPr>
            </w:pPr>
            <w:r>
              <w:rPr>
                <w:rFonts w:ascii="Arial" w:cs="Arial" w:eastAsia="Arial" w:hAnsi="Arial"/>
                <w:sz w:val="20"/>
                <w:szCs w:val="20"/>
                <w:color w:val="0066CC"/>
                <w:w w:val="90"/>
              </w:rPr>
              <w:t>Appointment</w:t>
            </w:r>
          </w:p>
        </w:tc>
        <w:tc>
          <w:tcPr>
            <w:tcW w:w="160" w:type="dxa"/>
            <w:vAlign w:val="bottom"/>
            <w:tcBorders>
              <w:top w:val="single" w:sz="8" w:color="0066CC"/>
            </w:tcBorders>
            <w:gridSpan w:val="2"/>
          </w:tcPr>
          <w:p>
            <w:pPr>
              <w:spacing w:after="0"/>
              <w:rPr>
                <w:sz w:val="24"/>
                <w:szCs w:val="24"/>
                <w:color w:val="auto"/>
              </w:rPr>
            </w:pPr>
          </w:p>
        </w:tc>
        <w:tc>
          <w:tcPr>
            <w:tcW w:w="4980" w:type="dxa"/>
            <w:vAlign w:val="bottom"/>
            <w:gridSpan w:val="29"/>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87</w:t>
            </w: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Delegation of Duties</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87</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100" w:type="dxa"/>
            <w:vAlign w:val="bottom"/>
            <w:gridSpan w:val="2"/>
            <w:shd w:val="clear" w:color="auto" w:fill="0066CC"/>
          </w:tcPr>
          <w:p>
            <w:pPr>
              <w:spacing w:after="0" w:line="20" w:lineRule="exact"/>
              <w:rPr>
                <w:sz w:val="1"/>
                <w:szCs w:val="1"/>
                <w:color w:val="auto"/>
              </w:rPr>
            </w:pPr>
          </w:p>
        </w:tc>
        <w:tc>
          <w:tcPr>
            <w:tcW w:w="140" w:type="dxa"/>
            <w:vAlign w:val="bottom"/>
            <w:gridSpan w:val="2"/>
            <w:shd w:val="clear" w:color="auto" w:fill="0066CC"/>
          </w:tcPr>
          <w:p>
            <w:pPr>
              <w:spacing w:after="0" w:line="20" w:lineRule="exact"/>
              <w:rPr>
                <w:sz w:val="1"/>
                <w:szCs w:val="1"/>
                <w:color w:val="auto"/>
              </w:rPr>
            </w:pPr>
          </w:p>
        </w:tc>
        <w:tc>
          <w:tcPr>
            <w:tcW w:w="1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60" w:type="dxa"/>
            <w:vAlign w:val="bottom"/>
            <w:gridSpan w:val="4"/>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Exculpatory Provisions</w:t>
            </w:r>
          </w:p>
        </w:tc>
        <w:tc>
          <w:tcPr>
            <w:tcW w:w="700" w:type="dxa"/>
            <w:vAlign w:val="bottom"/>
            <w:gridSpan w:val="2"/>
          </w:tcPr>
          <w:p>
            <w:pPr>
              <w:jc w:val="right"/>
              <w:spacing w:after="0"/>
              <w:rPr>
                <w:sz w:val="20"/>
                <w:szCs w:val="20"/>
                <w:color w:val="auto"/>
              </w:rPr>
            </w:pPr>
            <w:r>
              <w:rPr>
                <w:rFonts w:ascii="Arial" w:cs="Arial" w:eastAsia="Arial" w:hAnsi="Arial"/>
                <w:sz w:val="20"/>
                <w:szCs w:val="20"/>
                <w:color w:val="FF0000"/>
                <w:strike w:val="1"/>
              </w:rPr>
              <w:t>87</w:t>
            </w:r>
          </w:p>
        </w:tc>
        <w:tc>
          <w:tcPr>
            <w:tcW w:w="180" w:type="dxa"/>
            <w:vAlign w:val="bottom"/>
          </w:tcPr>
          <w:p>
            <w:pPr>
              <w:jc w:val="right"/>
              <w:spacing w:after="0"/>
              <w:rPr>
                <w:sz w:val="20"/>
                <w:szCs w:val="20"/>
                <w:color w:val="auto"/>
              </w:rPr>
            </w:pPr>
            <w:r>
              <w:rPr>
                <w:rFonts w:ascii="Arial" w:cs="Arial" w:eastAsia="Arial" w:hAnsi="Arial"/>
                <w:sz w:val="20"/>
                <w:szCs w:val="20"/>
                <w:color w:val="006EBF"/>
                <w:w w:val="71"/>
              </w:rPr>
              <w:t>88</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100" w:type="dxa"/>
            <w:vAlign w:val="bottom"/>
            <w:gridSpan w:val="2"/>
            <w:shd w:val="clear" w:color="auto" w:fill="0066CC"/>
          </w:tcPr>
          <w:p>
            <w:pPr>
              <w:spacing w:after="0" w:line="20" w:lineRule="exact"/>
              <w:rPr>
                <w:sz w:val="1"/>
                <w:szCs w:val="1"/>
                <w:color w:val="auto"/>
              </w:rPr>
            </w:pPr>
          </w:p>
        </w:tc>
        <w:tc>
          <w:tcPr>
            <w:tcW w:w="140" w:type="dxa"/>
            <w:vAlign w:val="bottom"/>
            <w:gridSpan w:val="2"/>
            <w:shd w:val="clear" w:color="auto" w:fill="0066CC"/>
          </w:tcPr>
          <w:p>
            <w:pPr>
              <w:spacing w:after="0" w:line="20" w:lineRule="exact"/>
              <w:rPr>
                <w:sz w:val="1"/>
                <w:szCs w:val="1"/>
                <w:color w:val="auto"/>
              </w:rPr>
            </w:pPr>
          </w:p>
        </w:tc>
        <w:tc>
          <w:tcPr>
            <w:tcW w:w="1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60" w:type="dxa"/>
            <w:vAlign w:val="bottom"/>
            <w:gridSpan w:val="4"/>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40" w:type="dxa"/>
            <w:vAlign w:val="bottom"/>
            <w:tcBorders>
              <w:right w:val="single" w:sz="8" w:color="0066CC"/>
            </w:tcBorders>
            <w:gridSpan w:val="2"/>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6EBF"/>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80" w:type="dxa"/>
            <w:vAlign w:val="bottom"/>
            <w:tcBorders>
              <w:bottom w:val="single" w:sz="8" w:color="0066CC"/>
            </w:tcBorders>
            <w:gridSpan w:val="37"/>
          </w:tcPr>
          <w:p>
            <w:pPr>
              <w:spacing w:after="0"/>
              <w:rPr>
                <w:sz w:val="20"/>
                <w:szCs w:val="20"/>
                <w:color w:val="auto"/>
              </w:rPr>
            </w:pPr>
            <w:r>
              <w:rPr>
                <w:rFonts w:ascii="Arial" w:cs="Arial" w:eastAsia="Arial" w:hAnsi="Arial"/>
                <w:sz w:val="20"/>
                <w:szCs w:val="20"/>
                <w:color w:val="0066CC"/>
                <w:w w:val="91"/>
              </w:rPr>
              <w:t>Reliance by Administrative Agent and the Brazilian Administrative Agent</w:t>
            </w:r>
          </w:p>
        </w:tc>
        <w:tc>
          <w:tcPr>
            <w:tcW w:w="3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88</w:t>
            </w:r>
          </w:p>
        </w:tc>
      </w:tr>
      <w:tr>
        <w:trPr>
          <w:trHeight w:val="264"/>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Borders>
              <w:bottom w:val="single" w:sz="8" w:color="0066CC"/>
            </w:tcBorders>
            <w:gridSpan w:val="11"/>
          </w:tcPr>
          <w:p>
            <w:pPr>
              <w:spacing w:after="0"/>
              <w:rPr>
                <w:sz w:val="20"/>
                <w:szCs w:val="20"/>
                <w:color w:val="auto"/>
              </w:rPr>
            </w:pPr>
            <w:r>
              <w:rPr>
                <w:rFonts w:ascii="Arial" w:cs="Arial" w:eastAsia="Arial" w:hAnsi="Arial"/>
                <w:sz w:val="20"/>
                <w:szCs w:val="20"/>
                <w:color w:val="0066CC"/>
                <w:w w:val="91"/>
              </w:rPr>
              <w:t>Notice of Default</w:t>
            </w:r>
          </w:p>
        </w:tc>
        <w:tc>
          <w:tcPr>
            <w:tcW w:w="4800" w:type="dxa"/>
            <w:vAlign w:val="bottom"/>
            <w:gridSpan w:val="27"/>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88</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80" w:type="dxa"/>
            <w:vAlign w:val="bottom"/>
            <w:tcBorders>
              <w:bottom w:val="single" w:sz="8" w:color="0066CC"/>
            </w:tcBorders>
            <w:gridSpan w:val="32"/>
          </w:tcPr>
          <w:p>
            <w:pPr>
              <w:spacing w:after="0"/>
              <w:rPr>
                <w:sz w:val="20"/>
                <w:szCs w:val="20"/>
                <w:color w:val="auto"/>
              </w:rPr>
            </w:pPr>
            <w:r>
              <w:rPr>
                <w:rFonts w:ascii="Arial" w:cs="Arial" w:eastAsia="Arial" w:hAnsi="Arial"/>
                <w:sz w:val="20"/>
                <w:szCs w:val="20"/>
                <w:color w:val="0066CC"/>
                <w:w w:val="88"/>
              </w:rPr>
              <w:t>Non-Reliance on Agents and Other Lenders</w:t>
            </w:r>
          </w:p>
        </w:tc>
        <w:tc>
          <w:tcPr>
            <w:tcW w:w="2700" w:type="dxa"/>
            <w:vAlign w:val="bottom"/>
            <w:gridSpan w:val="6"/>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FF0000"/>
                <w:strike w:val="1"/>
              </w:rPr>
              <w:t>88</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89</w:t>
            </w: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Borders>
              <w:bottom w:val="single" w:sz="8" w:color="0066CC"/>
            </w:tcBorders>
            <w:gridSpan w:val="10"/>
          </w:tcPr>
          <w:p>
            <w:pPr>
              <w:spacing w:after="0"/>
              <w:rPr>
                <w:sz w:val="20"/>
                <w:szCs w:val="20"/>
                <w:color w:val="auto"/>
              </w:rPr>
            </w:pPr>
            <w:r>
              <w:rPr>
                <w:rFonts w:ascii="Arial" w:cs="Arial" w:eastAsia="Arial" w:hAnsi="Arial"/>
                <w:sz w:val="20"/>
                <w:szCs w:val="20"/>
                <w:color w:val="0066CC"/>
                <w:w w:val="92"/>
              </w:rPr>
              <w:t>Indemnification</w:t>
            </w:r>
          </w:p>
        </w:tc>
        <w:tc>
          <w:tcPr>
            <w:tcW w:w="4920" w:type="dxa"/>
            <w:vAlign w:val="bottom"/>
            <w:gridSpan w:val="28"/>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89</w:t>
            </w:r>
          </w:p>
        </w:tc>
      </w:tr>
      <w:tr>
        <w:trPr>
          <w:trHeight w:val="264"/>
        </w:trPr>
        <w:tc>
          <w:tcPr>
            <w:tcW w:w="2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Agent in Its Individual Capacity</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89</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100" w:type="dxa"/>
            <w:vAlign w:val="bottom"/>
            <w:gridSpan w:val="2"/>
            <w:shd w:val="clear" w:color="auto" w:fill="0066CC"/>
          </w:tcPr>
          <w:p>
            <w:pPr>
              <w:spacing w:after="0" w:line="20" w:lineRule="exact"/>
              <w:rPr>
                <w:sz w:val="1"/>
                <w:szCs w:val="1"/>
                <w:color w:val="auto"/>
              </w:rPr>
            </w:pPr>
          </w:p>
        </w:tc>
        <w:tc>
          <w:tcPr>
            <w:tcW w:w="360" w:type="dxa"/>
            <w:vAlign w:val="bottom"/>
            <w:gridSpan w:val="4"/>
            <w:shd w:val="clear" w:color="auto" w:fill="0066CC"/>
          </w:tcPr>
          <w:p>
            <w:pPr>
              <w:spacing w:after="0" w:line="20" w:lineRule="exact"/>
              <w:rPr>
                <w:sz w:val="1"/>
                <w:szCs w:val="1"/>
                <w:color w:val="auto"/>
              </w:rPr>
            </w:pPr>
          </w:p>
        </w:tc>
        <w:tc>
          <w:tcPr>
            <w:tcW w:w="160" w:type="dxa"/>
            <w:vAlign w:val="bottom"/>
            <w:gridSpan w:val="4"/>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40" w:type="dxa"/>
            <w:vAlign w:val="bottom"/>
            <w:tcBorders>
              <w:right w:val="single" w:sz="8" w:color="0066CC"/>
            </w:tcBorders>
            <w:gridSpan w:val="2"/>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220" w:type="dxa"/>
            <w:vAlign w:val="bottom"/>
            <w:gridSpan w:val="2"/>
            <w:shd w:val="clear" w:color="auto" w:fill="0066CC"/>
          </w:tcPr>
          <w:p>
            <w:pPr>
              <w:spacing w:after="0" w:line="20" w:lineRule="exact"/>
              <w:rPr>
                <w:sz w:val="1"/>
                <w:szCs w:val="1"/>
                <w:color w:val="auto"/>
              </w:rPr>
            </w:pPr>
          </w:p>
        </w:tc>
        <w:tc>
          <w:tcPr>
            <w:tcW w:w="460" w:type="dxa"/>
            <w:vAlign w:val="bottom"/>
            <w:gridSpan w:val="2"/>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4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78"/>
              </w:rPr>
              <w:t>9.</w:t>
            </w:r>
            <w:r>
              <w:rPr>
                <w:rFonts w:ascii="Arial" w:cs="Arial" w:eastAsia="Arial" w:hAnsi="Arial"/>
                <w:sz w:val="20"/>
                <w:szCs w:val="20"/>
                <w:u w:val="single" w:color="auto"/>
                <w:color w:val="0066CC"/>
                <w:w w:val="78"/>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60" w:type="dxa"/>
            <w:vAlign w:val="bottom"/>
            <w:tcBorders>
              <w:bottom w:val="single" w:sz="8" w:color="0066CC"/>
            </w:tcBorders>
            <w:gridSpan w:val="26"/>
          </w:tcPr>
          <w:p>
            <w:pPr>
              <w:spacing w:after="0"/>
              <w:rPr>
                <w:sz w:val="20"/>
                <w:szCs w:val="20"/>
                <w:color w:val="auto"/>
              </w:rPr>
            </w:pPr>
            <w:r>
              <w:rPr>
                <w:rFonts w:ascii="Arial" w:cs="Arial" w:eastAsia="Arial" w:hAnsi="Arial"/>
                <w:sz w:val="20"/>
                <w:szCs w:val="20"/>
                <w:color w:val="0066CC"/>
                <w:w w:val="89"/>
              </w:rPr>
              <w:t>Successor Administrative Agent</w:t>
            </w:r>
          </w:p>
        </w:tc>
        <w:tc>
          <w:tcPr>
            <w:tcW w:w="3620" w:type="dxa"/>
            <w:vAlign w:val="bottom"/>
            <w:gridSpan w:val="12"/>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FF0000"/>
                <w:strike w:val="1"/>
              </w:rPr>
              <w:t>89</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90</w:t>
            </w:r>
          </w:p>
        </w:tc>
      </w:tr>
      <w:tr>
        <w:trPr>
          <w:trHeight w:val="263"/>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9.</w:t>
            </w:r>
            <w:r>
              <w:rPr>
                <w:rFonts w:ascii="Arial" w:cs="Arial" w:eastAsia="Arial" w:hAnsi="Arial"/>
                <w:sz w:val="20"/>
                <w:szCs w:val="20"/>
                <w:u w:val="single" w:color="auto"/>
                <w:color w:val="0066CC"/>
                <w:w w:val="82"/>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Replacement of Brazilian Administrative Agent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90</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100" w:type="dxa"/>
            <w:vAlign w:val="bottom"/>
            <w:gridSpan w:val="2"/>
            <w:shd w:val="clear" w:color="auto" w:fill="0066CC"/>
          </w:tcPr>
          <w:p>
            <w:pPr>
              <w:spacing w:after="0" w:line="20" w:lineRule="exact"/>
              <w:rPr>
                <w:sz w:val="1"/>
                <w:szCs w:val="1"/>
                <w:color w:val="auto"/>
              </w:rPr>
            </w:pPr>
          </w:p>
        </w:tc>
        <w:tc>
          <w:tcPr>
            <w:tcW w:w="360" w:type="dxa"/>
            <w:vAlign w:val="bottom"/>
            <w:gridSpan w:val="4"/>
            <w:shd w:val="clear" w:color="auto" w:fill="0066CC"/>
          </w:tcPr>
          <w:p>
            <w:pPr>
              <w:spacing w:after="0" w:line="20" w:lineRule="exact"/>
              <w:rPr>
                <w:sz w:val="1"/>
                <w:szCs w:val="1"/>
                <w:color w:val="auto"/>
              </w:rPr>
            </w:pPr>
          </w:p>
        </w:tc>
        <w:tc>
          <w:tcPr>
            <w:tcW w:w="160" w:type="dxa"/>
            <w:vAlign w:val="bottom"/>
            <w:gridSpan w:val="4"/>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40" w:type="dxa"/>
            <w:vAlign w:val="bottom"/>
            <w:tcBorders>
              <w:right w:val="single" w:sz="8" w:color="0066CC"/>
            </w:tcBorders>
            <w:gridSpan w:val="2"/>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220" w:type="dxa"/>
            <w:vAlign w:val="bottom"/>
            <w:gridSpan w:val="2"/>
            <w:shd w:val="clear" w:color="auto" w:fill="0066CC"/>
          </w:tcPr>
          <w:p>
            <w:pPr>
              <w:spacing w:after="0" w:line="20" w:lineRule="exact"/>
              <w:rPr>
                <w:sz w:val="1"/>
                <w:szCs w:val="1"/>
                <w:color w:val="auto"/>
              </w:rPr>
            </w:pPr>
          </w:p>
        </w:tc>
        <w:tc>
          <w:tcPr>
            <w:tcW w:w="620" w:type="dxa"/>
            <w:vAlign w:val="bottom"/>
            <w:gridSpan w:val="4"/>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580" w:type="dxa"/>
            <w:vAlign w:val="bottom"/>
            <w:gridSpan w:val="2"/>
            <w:shd w:val="clear" w:color="auto" w:fill="0066CC"/>
          </w:tcPr>
          <w:p>
            <w:pPr>
              <w:spacing w:after="0" w:line="20" w:lineRule="exact"/>
              <w:rPr>
                <w:sz w:val="1"/>
                <w:szCs w:val="1"/>
                <w:color w:val="auto"/>
              </w:rPr>
            </w:pPr>
          </w:p>
        </w:tc>
        <w:tc>
          <w:tcPr>
            <w:tcW w:w="360" w:type="dxa"/>
            <w:vAlign w:val="bottom"/>
            <w:gridSpan w:val="2"/>
            <w:shd w:val="clear" w:color="auto" w:fill="0066CC"/>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9.</w:t>
            </w:r>
            <w:r>
              <w:rPr>
                <w:rFonts w:ascii="Arial" w:cs="Arial" w:eastAsia="Arial" w:hAnsi="Arial"/>
                <w:sz w:val="20"/>
                <w:szCs w:val="20"/>
                <w:u w:val="single" w:color="auto"/>
                <w:color w:val="0066CC"/>
                <w:w w:val="82"/>
              </w:rPr>
              <w:t>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Bookrunners, Lead Arrangers, Global and Regional Coordinators,</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100" w:type="dxa"/>
            <w:vAlign w:val="bottom"/>
            <w:gridSpan w:val="2"/>
            <w:shd w:val="clear" w:color="auto" w:fill="0066CC"/>
          </w:tcPr>
          <w:p>
            <w:pPr>
              <w:spacing w:after="0" w:line="20" w:lineRule="exact"/>
              <w:rPr>
                <w:sz w:val="1"/>
                <w:szCs w:val="1"/>
                <w:color w:val="auto"/>
              </w:rPr>
            </w:pPr>
          </w:p>
        </w:tc>
        <w:tc>
          <w:tcPr>
            <w:tcW w:w="360" w:type="dxa"/>
            <w:vAlign w:val="bottom"/>
            <w:gridSpan w:val="4"/>
            <w:shd w:val="clear" w:color="auto" w:fill="0066CC"/>
          </w:tcPr>
          <w:p>
            <w:pPr>
              <w:spacing w:after="0" w:line="20" w:lineRule="exact"/>
              <w:rPr>
                <w:sz w:val="1"/>
                <w:szCs w:val="1"/>
                <w:color w:val="auto"/>
              </w:rPr>
            </w:pPr>
          </w:p>
        </w:tc>
        <w:tc>
          <w:tcPr>
            <w:tcW w:w="160" w:type="dxa"/>
            <w:vAlign w:val="bottom"/>
            <w:gridSpan w:val="4"/>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40" w:type="dxa"/>
            <w:vAlign w:val="bottom"/>
            <w:tcBorders>
              <w:right w:val="single" w:sz="8" w:color="0066CC"/>
            </w:tcBorders>
            <w:gridSpan w:val="2"/>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220" w:type="dxa"/>
            <w:vAlign w:val="bottom"/>
            <w:gridSpan w:val="2"/>
            <w:shd w:val="clear" w:color="auto" w:fill="0066CC"/>
          </w:tcPr>
          <w:p>
            <w:pPr>
              <w:spacing w:after="0" w:line="20" w:lineRule="exact"/>
              <w:rPr>
                <w:sz w:val="1"/>
                <w:szCs w:val="1"/>
                <w:color w:val="auto"/>
              </w:rPr>
            </w:pPr>
          </w:p>
        </w:tc>
        <w:tc>
          <w:tcPr>
            <w:tcW w:w="620" w:type="dxa"/>
            <w:vAlign w:val="bottom"/>
            <w:gridSpan w:val="4"/>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580" w:type="dxa"/>
            <w:vAlign w:val="bottom"/>
            <w:gridSpan w:val="2"/>
            <w:shd w:val="clear" w:color="auto" w:fill="0066CC"/>
          </w:tcPr>
          <w:p>
            <w:pPr>
              <w:spacing w:after="0" w:line="20" w:lineRule="exact"/>
              <w:rPr>
                <w:sz w:val="1"/>
                <w:szCs w:val="1"/>
                <w:color w:val="auto"/>
              </w:rPr>
            </w:pPr>
          </w:p>
        </w:tc>
        <w:tc>
          <w:tcPr>
            <w:tcW w:w="1060" w:type="dxa"/>
            <w:vAlign w:val="bottom"/>
            <w:gridSpan w:val="3"/>
            <w:shd w:val="clear" w:color="auto" w:fill="0066CC"/>
          </w:tcPr>
          <w:p>
            <w:pPr>
              <w:spacing w:after="0" w:line="20" w:lineRule="exact"/>
              <w:rPr>
                <w:sz w:val="1"/>
                <w:szCs w:val="1"/>
                <w:color w:val="auto"/>
              </w:rPr>
            </w:pPr>
          </w:p>
        </w:tc>
        <w:tc>
          <w:tcPr>
            <w:tcW w:w="740" w:type="dxa"/>
            <w:vAlign w:val="bottom"/>
            <w:shd w:val="clear" w:color="auto" w:fill="0066C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80" w:type="dxa"/>
            <w:vAlign w:val="bottom"/>
            <w:gridSpan w:val="38"/>
          </w:tcPr>
          <w:p>
            <w:pPr>
              <w:spacing w:after="0" w:line="209" w:lineRule="exact"/>
              <w:rPr>
                <w:sz w:val="20"/>
                <w:szCs w:val="20"/>
                <w:color w:val="auto"/>
              </w:rPr>
            </w:pPr>
            <w:r>
              <w:rPr>
                <w:rFonts w:ascii="Arial" w:cs="Arial" w:eastAsia="Arial" w:hAnsi="Arial"/>
                <w:sz w:val="20"/>
                <w:szCs w:val="20"/>
                <w:color w:val="0066CC"/>
              </w:rPr>
              <w:t>Documentation Agents, Syndication Agent and Co-Syndication Agent</w:t>
            </w:r>
          </w:p>
        </w:tc>
        <w:tc>
          <w:tcPr>
            <w:tcW w:w="880" w:type="dxa"/>
            <w:vAlign w:val="bottom"/>
            <w:gridSpan w:val="3"/>
          </w:tcPr>
          <w:p>
            <w:pPr>
              <w:jc w:val="right"/>
              <w:spacing w:after="0" w:line="209" w:lineRule="exact"/>
              <w:rPr>
                <w:sz w:val="20"/>
                <w:szCs w:val="20"/>
                <w:color w:val="auto"/>
              </w:rPr>
            </w:pPr>
            <w:r>
              <w:rPr>
                <w:rFonts w:ascii="Arial" w:cs="Arial" w:eastAsia="Arial" w:hAnsi="Arial"/>
                <w:sz w:val="20"/>
                <w:szCs w:val="20"/>
                <w:color w:val="auto"/>
              </w:rPr>
              <w:t>90</w:t>
            </w:r>
          </w:p>
        </w:tc>
      </w:tr>
      <w:tr>
        <w:trPr>
          <w:trHeight w:val="264"/>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9.</w:t>
            </w:r>
            <w:r>
              <w:rPr>
                <w:rFonts w:ascii="Arial" w:cs="Arial" w:eastAsia="Arial" w:hAnsi="Arial"/>
                <w:sz w:val="20"/>
                <w:szCs w:val="20"/>
                <w:u w:val="single" w:color="auto"/>
                <w:color w:val="0066CC"/>
                <w:w w:val="82"/>
              </w:rPr>
              <w:t>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tcBorders>
              <w:top w:val="single" w:sz="8" w:color="0066CC"/>
              <w:bottom w:val="single" w:sz="8" w:color="0066CC"/>
            </w:tcBorders>
            <w:gridSpan w:val="21"/>
          </w:tcPr>
          <w:p>
            <w:pPr>
              <w:spacing w:after="0"/>
              <w:rPr>
                <w:sz w:val="20"/>
                <w:szCs w:val="20"/>
                <w:color w:val="auto"/>
              </w:rPr>
            </w:pPr>
            <w:r>
              <w:rPr>
                <w:rFonts w:ascii="Arial" w:cs="Arial" w:eastAsia="Arial" w:hAnsi="Arial"/>
                <w:sz w:val="20"/>
                <w:szCs w:val="20"/>
                <w:color w:val="0066CC"/>
                <w:w w:val="90"/>
              </w:rPr>
              <w:t>Certain ERISA Matters</w:t>
            </w:r>
          </w:p>
        </w:tc>
        <w:tc>
          <w:tcPr>
            <w:tcW w:w="3700" w:type="dxa"/>
            <w:vAlign w:val="bottom"/>
            <w:tcBorders>
              <w:top w:val="single" w:sz="8" w:color="0066CC"/>
            </w:tcBorders>
            <w:gridSpan w:val="15"/>
          </w:tcPr>
          <w:p>
            <w:pPr>
              <w:spacing w:after="0"/>
              <w:rPr>
                <w:sz w:val="22"/>
                <w:szCs w:val="22"/>
                <w:color w:val="auto"/>
              </w:rPr>
            </w:pPr>
          </w:p>
        </w:tc>
        <w:tc>
          <w:tcPr>
            <w:tcW w:w="620" w:type="dxa"/>
            <w:vAlign w:val="bottom"/>
            <w:gridSpan w:val="2"/>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FF0000"/>
                <w:strike w:val="1"/>
              </w:rPr>
              <w:t>90</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91</w:t>
            </w:r>
          </w:p>
        </w:tc>
      </w:tr>
      <w:tr>
        <w:trPr>
          <w:trHeight w:val="493"/>
        </w:trPr>
        <w:tc>
          <w:tcPr>
            <w:tcW w:w="1140" w:type="dxa"/>
            <w:vAlign w:val="bottom"/>
            <w:gridSpan w:val="6"/>
          </w:tcPr>
          <w:p>
            <w:pPr>
              <w:spacing w:after="0"/>
              <w:rPr>
                <w:sz w:val="20"/>
                <w:szCs w:val="20"/>
                <w:color w:val="auto"/>
              </w:rPr>
            </w:pPr>
            <w:r>
              <w:rPr>
                <w:rFonts w:ascii="Arial" w:cs="Arial" w:eastAsia="Arial" w:hAnsi="Arial"/>
                <w:sz w:val="20"/>
                <w:szCs w:val="20"/>
                <w:color w:val="0066CC"/>
                <w:w w:val="91"/>
              </w:rPr>
              <w:t>SECTION 10.</w:t>
            </w:r>
          </w:p>
        </w:tc>
        <w:tc>
          <w:tcPr>
            <w:tcW w:w="160" w:type="dxa"/>
            <w:vAlign w:val="bottom"/>
          </w:tcPr>
          <w:p>
            <w:pPr>
              <w:spacing w:after="0"/>
              <w:rPr>
                <w:sz w:val="24"/>
                <w:szCs w:val="24"/>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MISCELLANEOUS</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92</w:t>
            </w:r>
          </w:p>
        </w:tc>
      </w:tr>
      <w:tr>
        <w:trPr>
          <w:trHeight w:val="20"/>
        </w:trPr>
        <w:tc>
          <w:tcPr>
            <w:tcW w:w="580" w:type="dxa"/>
            <w:vAlign w:val="bottom"/>
            <w:gridSpan w:val="3"/>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36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160" w:type="dxa"/>
            <w:vAlign w:val="bottom"/>
            <w:gridSpan w:val="2"/>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100" w:type="dxa"/>
            <w:vAlign w:val="bottom"/>
            <w:gridSpan w:val="2"/>
            <w:shd w:val="clear" w:color="auto" w:fill="0066CC"/>
          </w:tcPr>
          <w:p>
            <w:pPr>
              <w:spacing w:after="0" w:line="20" w:lineRule="exact"/>
              <w:rPr>
                <w:sz w:val="1"/>
                <w:szCs w:val="1"/>
                <w:color w:val="auto"/>
              </w:rPr>
            </w:pPr>
          </w:p>
        </w:tc>
        <w:tc>
          <w:tcPr>
            <w:tcW w:w="360" w:type="dxa"/>
            <w:vAlign w:val="bottom"/>
            <w:gridSpan w:val="4"/>
            <w:shd w:val="clear" w:color="auto" w:fill="0066CC"/>
          </w:tcPr>
          <w:p>
            <w:pPr>
              <w:spacing w:after="0" w:line="20" w:lineRule="exact"/>
              <w:rPr>
                <w:sz w:val="1"/>
                <w:szCs w:val="1"/>
                <w:color w:val="auto"/>
              </w:rPr>
            </w:pPr>
          </w:p>
        </w:tc>
        <w:tc>
          <w:tcPr>
            <w:tcW w:w="160" w:type="dxa"/>
            <w:vAlign w:val="bottom"/>
            <w:gridSpan w:val="4"/>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93"/>
        </w:trPr>
        <w:tc>
          <w:tcPr>
            <w:tcW w:w="240" w:type="dxa"/>
            <w:vAlign w:val="bottom"/>
          </w:tcPr>
          <w:p>
            <w:pPr>
              <w:spacing w:after="0"/>
              <w:rPr>
                <w:sz w:val="24"/>
                <w:szCs w:val="24"/>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Borders>
              <w:bottom w:val="single" w:sz="8" w:color="0066CC"/>
            </w:tcBorders>
            <w:gridSpan w:val="23"/>
          </w:tcPr>
          <w:p>
            <w:pPr>
              <w:spacing w:after="0"/>
              <w:rPr>
                <w:sz w:val="20"/>
                <w:szCs w:val="20"/>
                <w:color w:val="auto"/>
              </w:rPr>
            </w:pPr>
            <w:r>
              <w:rPr>
                <w:rFonts w:ascii="Arial" w:cs="Arial" w:eastAsia="Arial" w:hAnsi="Arial"/>
                <w:sz w:val="20"/>
                <w:szCs w:val="20"/>
                <w:color w:val="0066CC"/>
                <w:w w:val="87"/>
              </w:rPr>
              <w:t>Amendments and Waivers</w:t>
            </w:r>
          </w:p>
        </w:tc>
        <w:tc>
          <w:tcPr>
            <w:tcW w:w="4100" w:type="dxa"/>
            <w:vAlign w:val="bottom"/>
            <w:gridSpan w:val="15"/>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92</w:t>
            </w: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Borders>
              <w:bottom w:val="single" w:sz="8" w:color="0066CC"/>
            </w:tcBorders>
          </w:tcPr>
          <w:p>
            <w:pPr>
              <w:spacing w:after="0"/>
              <w:rPr>
                <w:sz w:val="20"/>
                <w:szCs w:val="20"/>
                <w:color w:val="auto"/>
              </w:rPr>
            </w:pPr>
            <w:r>
              <w:rPr>
                <w:rFonts w:ascii="Arial" w:cs="Arial" w:eastAsia="Arial" w:hAnsi="Arial"/>
                <w:sz w:val="20"/>
                <w:szCs w:val="20"/>
                <w:color w:val="0066CC"/>
                <w:w w:val="86"/>
              </w:rPr>
              <w:t>Notices</w:t>
            </w:r>
          </w:p>
        </w:tc>
        <w:tc>
          <w:tcPr>
            <w:tcW w:w="5580" w:type="dxa"/>
            <w:vAlign w:val="bottom"/>
            <w:gridSpan w:val="37"/>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95</w:t>
            </w: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No Waiver; Cumulative Remedies</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98</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66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100" w:type="dxa"/>
            <w:vAlign w:val="bottom"/>
            <w:gridSpan w:val="2"/>
            <w:shd w:val="clear" w:color="auto" w:fill="0066CC"/>
          </w:tcPr>
          <w:p>
            <w:pPr>
              <w:spacing w:after="0" w:line="20" w:lineRule="exact"/>
              <w:rPr>
                <w:sz w:val="1"/>
                <w:szCs w:val="1"/>
                <w:color w:val="auto"/>
              </w:rPr>
            </w:pPr>
          </w:p>
        </w:tc>
        <w:tc>
          <w:tcPr>
            <w:tcW w:w="360" w:type="dxa"/>
            <w:vAlign w:val="bottom"/>
            <w:gridSpan w:val="4"/>
            <w:shd w:val="clear" w:color="auto" w:fill="0066CC"/>
          </w:tcPr>
          <w:p>
            <w:pPr>
              <w:spacing w:after="0" w:line="20" w:lineRule="exact"/>
              <w:rPr>
                <w:sz w:val="1"/>
                <w:szCs w:val="1"/>
                <w:color w:val="auto"/>
              </w:rPr>
            </w:pPr>
          </w:p>
        </w:tc>
        <w:tc>
          <w:tcPr>
            <w:tcW w:w="180" w:type="dxa"/>
            <w:vAlign w:val="bottom"/>
            <w:gridSpan w:val="5"/>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140" w:type="dxa"/>
            <w:vAlign w:val="bottom"/>
            <w:tcBorders>
              <w:right w:val="single" w:sz="8" w:color="0066CC"/>
            </w:tcBorders>
            <w:gridSpan w:val="2"/>
            <w:shd w:val="clear" w:color="auto" w:fill="0066CC"/>
          </w:tcPr>
          <w:p>
            <w:pPr>
              <w:spacing w:after="0" w:line="20" w:lineRule="exact"/>
              <w:rPr>
                <w:sz w:val="1"/>
                <w:szCs w:val="1"/>
                <w:color w:val="auto"/>
              </w:rPr>
            </w:pPr>
          </w:p>
        </w:tc>
        <w:tc>
          <w:tcPr>
            <w:tcW w:w="860" w:type="dxa"/>
            <w:vAlign w:val="bottom"/>
            <w:gridSpan w:val="7"/>
            <w:shd w:val="clear" w:color="auto" w:fill="0066C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Survival of Representations and Warranties</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98</w:t>
            </w:r>
          </w:p>
        </w:tc>
      </w:tr>
      <w:tr>
        <w:trPr>
          <w:trHeight w:val="263"/>
        </w:trPr>
        <w:tc>
          <w:tcPr>
            <w:tcW w:w="240" w:type="dxa"/>
            <w:vAlign w:val="bottom"/>
          </w:tcPr>
          <w:p>
            <w:pPr>
              <w:spacing w:after="0"/>
              <w:rPr>
                <w:sz w:val="22"/>
                <w:szCs w:val="22"/>
                <w:color w:val="auto"/>
              </w:rPr>
            </w:pPr>
          </w:p>
        </w:tc>
        <w:tc>
          <w:tcPr>
            <w:tcW w:w="340" w:type="dxa"/>
            <w:vAlign w:val="bottom"/>
            <w:tcBorders>
              <w:top w:val="single" w:sz="8" w:color="0066CC"/>
              <w:bottom w:val="single" w:sz="8" w:color="0066CC"/>
            </w:tcBorders>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Borders>
              <w:top w:val="single" w:sz="8" w:color="0066CC"/>
              <w:bottom w:val="single" w:sz="8" w:color="0066CC"/>
            </w:tcBorders>
            <w:gridSpan w:val="18"/>
          </w:tcPr>
          <w:p>
            <w:pPr>
              <w:spacing w:after="0"/>
              <w:rPr>
                <w:sz w:val="20"/>
                <w:szCs w:val="20"/>
                <w:color w:val="auto"/>
              </w:rPr>
            </w:pPr>
            <w:r>
              <w:rPr>
                <w:rFonts w:ascii="Arial" w:cs="Arial" w:eastAsia="Arial" w:hAnsi="Arial"/>
                <w:sz w:val="20"/>
                <w:szCs w:val="20"/>
                <w:color w:val="0066CC"/>
                <w:w w:val="86"/>
              </w:rPr>
              <w:t>Payment of Expenses</w:t>
            </w:r>
          </w:p>
        </w:tc>
        <w:tc>
          <w:tcPr>
            <w:tcW w:w="1720" w:type="dxa"/>
            <w:vAlign w:val="bottom"/>
            <w:tcBorders>
              <w:top w:val="single" w:sz="8" w:color="0066CC"/>
            </w:tcBorders>
            <w:gridSpan w:val="13"/>
          </w:tcPr>
          <w:p>
            <w:pPr>
              <w:spacing w:after="0"/>
              <w:rPr>
                <w:sz w:val="22"/>
                <w:szCs w:val="22"/>
                <w:color w:val="auto"/>
              </w:rPr>
            </w:pPr>
          </w:p>
        </w:tc>
        <w:tc>
          <w:tcPr>
            <w:tcW w:w="2760" w:type="dxa"/>
            <w:vAlign w:val="bottom"/>
            <w:gridSpan w:val="7"/>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98</w:t>
            </w:r>
          </w:p>
        </w:tc>
      </w:tr>
      <w:tr>
        <w:trPr>
          <w:trHeight w:val="264"/>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80" w:type="dxa"/>
            <w:vAlign w:val="bottom"/>
            <w:tcBorders>
              <w:bottom w:val="single" w:sz="8" w:color="0066CC"/>
            </w:tcBorders>
            <w:gridSpan w:val="34"/>
          </w:tcPr>
          <w:p>
            <w:pPr>
              <w:spacing w:after="0"/>
              <w:rPr>
                <w:sz w:val="20"/>
                <w:szCs w:val="20"/>
                <w:color w:val="auto"/>
              </w:rPr>
            </w:pPr>
            <w:r>
              <w:rPr>
                <w:rFonts w:ascii="Arial" w:cs="Arial" w:eastAsia="Arial" w:hAnsi="Arial"/>
                <w:sz w:val="20"/>
                <w:szCs w:val="20"/>
                <w:color w:val="0066CC"/>
                <w:w w:val="87"/>
              </w:rPr>
              <w:t>Successors and Assigns; Participations and Assignments</w:t>
            </w:r>
          </w:p>
        </w:tc>
        <w:tc>
          <w:tcPr>
            <w:tcW w:w="1700" w:type="dxa"/>
            <w:vAlign w:val="bottom"/>
            <w:gridSpan w:val="4"/>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FF0000"/>
                <w:strike w:val="1"/>
              </w:rPr>
              <w:t>100</w:t>
            </w:r>
          </w:p>
        </w:tc>
        <w:tc>
          <w:tcPr>
            <w:tcW w:w="1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1"/>
              </w:rPr>
              <w:t>99</w:t>
            </w:r>
          </w:p>
        </w:tc>
      </w:tr>
      <w:tr>
        <w:trPr>
          <w:trHeight w:val="263"/>
        </w:trPr>
        <w:tc>
          <w:tcPr>
            <w:tcW w:w="240" w:type="dxa"/>
            <w:vAlign w:val="bottom"/>
          </w:tcPr>
          <w:p>
            <w:pPr>
              <w:spacing w:after="0"/>
              <w:rPr>
                <w:sz w:val="22"/>
                <w:szCs w:val="22"/>
                <w:color w:val="auto"/>
              </w:rPr>
            </w:pPr>
          </w:p>
        </w:tc>
        <w:tc>
          <w:tcPr>
            <w:tcW w:w="34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Borders>
              <w:bottom w:val="single" w:sz="8" w:color="0066CC"/>
            </w:tcBorders>
            <w:gridSpan w:val="6"/>
          </w:tcPr>
          <w:p>
            <w:pPr>
              <w:spacing w:after="0"/>
              <w:rPr>
                <w:sz w:val="20"/>
                <w:szCs w:val="20"/>
                <w:color w:val="auto"/>
              </w:rPr>
            </w:pPr>
            <w:r>
              <w:rPr>
                <w:rFonts w:ascii="Arial" w:cs="Arial" w:eastAsia="Arial" w:hAnsi="Arial"/>
                <w:sz w:val="20"/>
                <w:szCs w:val="20"/>
                <w:color w:val="0066CC"/>
                <w:w w:val="89"/>
              </w:rPr>
              <w:t>Adjustments</w:t>
            </w:r>
          </w:p>
        </w:tc>
        <w:tc>
          <w:tcPr>
            <w:tcW w:w="5160" w:type="dxa"/>
            <w:vAlign w:val="bottom"/>
            <w:gridSpan w:val="32"/>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103</w:t>
            </w:r>
          </w:p>
        </w:tc>
      </w:tr>
      <w:tr>
        <w:trPr>
          <w:trHeight w:val="264"/>
        </w:trPr>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 xml:space="preserve">Counterparts; </w:t>
            </w:r>
            <w:r>
              <w:rPr>
                <w:rFonts w:ascii="Arial" w:cs="Arial" w:eastAsia="Arial" w:hAnsi="Arial"/>
                <w:sz w:val="20"/>
                <w:szCs w:val="20"/>
                <w:color w:val="006EBF"/>
              </w:rPr>
              <w:t>Electronic Execution</w:t>
            </w:r>
          </w:p>
        </w:tc>
        <w:tc>
          <w:tcPr>
            <w:tcW w:w="600" w:type="dxa"/>
            <w:vAlign w:val="bottom"/>
          </w:tcPr>
          <w:p>
            <w:pPr>
              <w:jc w:val="right"/>
              <w:spacing w:after="0"/>
              <w:rPr>
                <w:sz w:val="20"/>
                <w:szCs w:val="20"/>
                <w:color w:val="auto"/>
              </w:rPr>
            </w:pPr>
            <w:r>
              <w:rPr>
                <w:rFonts w:ascii="Arial" w:cs="Arial" w:eastAsia="Arial" w:hAnsi="Arial"/>
                <w:sz w:val="20"/>
                <w:szCs w:val="20"/>
                <w:color w:val="FF0000"/>
                <w:strike w:val="1"/>
              </w:rPr>
              <w:t>104</w:t>
            </w:r>
          </w:p>
        </w:tc>
        <w:tc>
          <w:tcPr>
            <w:tcW w:w="280" w:type="dxa"/>
            <w:vAlign w:val="bottom"/>
            <w:gridSpan w:val="2"/>
          </w:tcPr>
          <w:p>
            <w:pPr>
              <w:jc w:val="right"/>
              <w:spacing w:after="0"/>
              <w:rPr>
                <w:sz w:val="20"/>
                <w:szCs w:val="20"/>
                <w:color w:val="auto"/>
              </w:rPr>
            </w:pPr>
            <w:r>
              <w:rPr>
                <w:rFonts w:ascii="Arial" w:cs="Arial" w:eastAsia="Arial" w:hAnsi="Arial"/>
                <w:sz w:val="20"/>
                <w:szCs w:val="20"/>
                <w:color w:val="006EBF"/>
                <w:w w:val="77"/>
              </w:rPr>
              <w:t>103</w:t>
            </w:r>
          </w:p>
        </w:tc>
      </w:tr>
      <w:tr>
        <w:trPr>
          <w:trHeight w:val="263"/>
        </w:trPr>
        <w:tc>
          <w:tcPr>
            <w:tcW w:w="240" w:type="dxa"/>
            <w:vAlign w:val="bottom"/>
          </w:tcPr>
          <w:p>
            <w:pPr>
              <w:spacing w:after="0"/>
              <w:rPr>
                <w:sz w:val="22"/>
                <w:szCs w:val="22"/>
                <w:color w:val="auto"/>
              </w:rPr>
            </w:pPr>
          </w:p>
        </w:tc>
        <w:tc>
          <w:tcPr>
            <w:tcW w:w="340" w:type="dxa"/>
            <w:vAlign w:val="bottom"/>
            <w:tcBorders>
              <w:top w:val="single" w:sz="8" w:color="0066CC"/>
              <w:bottom w:val="single" w:sz="8" w:color="0066CC"/>
            </w:tcBorders>
            <w:gridSpan w:val="2"/>
          </w:tcPr>
          <w:p>
            <w:pPr>
              <w:spacing w:after="0"/>
              <w:rPr>
                <w:sz w:val="20"/>
                <w:szCs w:val="20"/>
                <w:color w:val="auto"/>
              </w:rPr>
            </w:pPr>
            <w:r>
              <w:rPr>
                <w:rFonts w:ascii="Arial" w:cs="Arial" w:eastAsia="Arial" w:hAnsi="Arial"/>
                <w:sz w:val="20"/>
                <w:szCs w:val="20"/>
                <w:color w:val="0066CC"/>
                <w:w w:val="82"/>
              </w:rPr>
              <w:t>10.</w:t>
            </w:r>
            <w:r>
              <w:rPr>
                <w:rFonts w:ascii="Arial" w:cs="Arial" w:eastAsia="Arial" w:hAnsi="Arial"/>
                <w:sz w:val="20"/>
                <w:szCs w:val="20"/>
                <w:u w:val="single" w:color="auto"/>
                <w:color w:val="0066CC"/>
                <w:w w:val="82"/>
              </w:rPr>
              <w:t>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Borders>
              <w:top w:val="single" w:sz="8" w:color="0066CC"/>
              <w:bottom w:val="single" w:sz="8" w:color="0066CC"/>
            </w:tcBorders>
            <w:gridSpan w:val="5"/>
          </w:tcPr>
          <w:p>
            <w:pPr>
              <w:spacing w:after="0"/>
              <w:rPr>
                <w:sz w:val="20"/>
                <w:szCs w:val="20"/>
                <w:color w:val="auto"/>
              </w:rPr>
            </w:pPr>
            <w:r>
              <w:rPr>
                <w:rFonts w:ascii="Arial" w:cs="Arial" w:eastAsia="Arial" w:hAnsi="Arial"/>
                <w:sz w:val="20"/>
                <w:szCs w:val="20"/>
                <w:color w:val="0066CC"/>
                <w:w w:val="90"/>
              </w:rPr>
              <w:t>Severability</w:t>
            </w:r>
          </w:p>
        </w:tc>
        <w:tc>
          <w:tcPr>
            <w:tcW w:w="160" w:type="dxa"/>
            <w:vAlign w:val="bottom"/>
            <w:tcBorders>
              <w:top w:val="single" w:sz="8" w:color="0066CC"/>
            </w:tcBorders>
            <w:gridSpan w:val="3"/>
          </w:tcPr>
          <w:p>
            <w:pPr>
              <w:spacing w:after="0"/>
              <w:rPr>
                <w:sz w:val="22"/>
                <w:szCs w:val="22"/>
                <w:color w:val="auto"/>
              </w:rPr>
            </w:pPr>
          </w:p>
        </w:tc>
        <w:tc>
          <w:tcPr>
            <w:tcW w:w="1660" w:type="dxa"/>
            <w:vAlign w:val="bottom"/>
            <w:tcBorders>
              <w:top w:val="single" w:sz="8" w:color="006EBF"/>
            </w:tcBorders>
            <w:gridSpan w:val="20"/>
          </w:tcPr>
          <w:p>
            <w:pPr>
              <w:spacing w:after="0"/>
              <w:rPr>
                <w:sz w:val="22"/>
                <w:szCs w:val="22"/>
                <w:color w:val="auto"/>
              </w:rPr>
            </w:pPr>
          </w:p>
        </w:tc>
        <w:tc>
          <w:tcPr>
            <w:tcW w:w="3400" w:type="dxa"/>
            <w:vAlign w:val="bottom"/>
            <w:gridSpan w:val="10"/>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FF0000"/>
                <w:strike w:val="1"/>
              </w:rPr>
              <w:t>104</w:t>
            </w:r>
          </w:p>
        </w:tc>
        <w:tc>
          <w:tcPr>
            <w:tcW w:w="280" w:type="dxa"/>
            <w:vAlign w:val="bottom"/>
            <w:tcBorders>
              <w:top w:val="single" w:sz="8" w:color="006EBF"/>
              <w:bottom w:val="single" w:sz="8" w:color="006EBF"/>
            </w:tcBorders>
            <w:gridSpan w:val="2"/>
          </w:tcPr>
          <w:p>
            <w:pPr>
              <w:jc w:val="right"/>
              <w:spacing w:after="0"/>
              <w:rPr>
                <w:sz w:val="20"/>
                <w:szCs w:val="20"/>
                <w:color w:val="auto"/>
              </w:rPr>
            </w:pPr>
            <w:r>
              <w:rPr>
                <w:rFonts w:ascii="Arial" w:cs="Arial" w:eastAsia="Arial" w:hAnsi="Arial"/>
                <w:sz w:val="20"/>
                <w:szCs w:val="20"/>
                <w:color w:val="006EBF"/>
                <w:w w:val="77"/>
              </w:rPr>
              <w:t>103</w:t>
            </w:r>
          </w:p>
        </w:tc>
      </w:tr>
      <w:tr>
        <w:trPr>
          <w:trHeight w:val="264"/>
        </w:trPr>
        <w:tc>
          <w:tcPr>
            <w:tcW w:w="240" w:type="dxa"/>
            <w:vAlign w:val="bottom"/>
          </w:tcPr>
          <w:p>
            <w:pPr>
              <w:spacing w:after="0"/>
              <w:rPr>
                <w:sz w:val="22"/>
                <w:szCs w:val="22"/>
                <w:color w:val="auto"/>
              </w:rPr>
            </w:pPr>
          </w:p>
        </w:tc>
        <w:tc>
          <w:tcPr>
            <w:tcW w:w="440" w:type="dxa"/>
            <w:vAlign w:val="bottom"/>
            <w:gridSpan w:val="3"/>
          </w:tcPr>
          <w:p>
            <w:pPr>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10</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Integration</w:t>
            </w:r>
          </w:p>
        </w:tc>
        <w:tc>
          <w:tcPr>
            <w:tcW w:w="600" w:type="dxa"/>
            <w:vAlign w:val="bottom"/>
          </w:tcPr>
          <w:p>
            <w:pPr>
              <w:jc w:val="right"/>
              <w:spacing w:after="0"/>
              <w:rPr>
                <w:sz w:val="20"/>
                <w:szCs w:val="20"/>
                <w:color w:val="auto"/>
              </w:rPr>
            </w:pPr>
            <w:r>
              <w:rPr>
                <w:rFonts w:ascii="Arial" w:cs="Arial" w:eastAsia="Arial" w:hAnsi="Arial"/>
                <w:sz w:val="20"/>
                <w:szCs w:val="20"/>
                <w:color w:val="FF0000"/>
                <w:strike w:val="1"/>
              </w:rPr>
              <w:t>104</w:t>
            </w:r>
          </w:p>
        </w:tc>
        <w:tc>
          <w:tcPr>
            <w:tcW w:w="280" w:type="dxa"/>
            <w:vAlign w:val="bottom"/>
            <w:gridSpan w:val="2"/>
          </w:tcPr>
          <w:p>
            <w:pPr>
              <w:jc w:val="right"/>
              <w:spacing w:after="0"/>
              <w:rPr>
                <w:sz w:val="20"/>
                <w:szCs w:val="20"/>
                <w:color w:val="auto"/>
              </w:rPr>
            </w:pPr>
            <w:r>
              <w:rPr>
                <w:rFonts w:ascii="Arial" w:cs="Arial" w:eastAsia="Arial" w:hAnsi="Arial"/>
                <w:sz w:val="20"/>
                <w:szCs w:val="20"/>
                <w:color w:val="006EBF"/>
                <w:w w:val="77"/>
              </w:rPr>
              <w:t>103</w:t>
            </w:r>
          </w:p>
        </w:tc>
      </w:tr>
      <w:tr>
        <w:trPr>
          <w:trHeight w:val="20"/>
        </w:trPr>
        <w:tc>
          <w:tcPr>
            <w:tcW w:w="240" w:type="dxa"/>
            <w:vAlign w:val="bottom"/>
          </w:tcPr>
          <w:p>
            <w:pPr>
              <w:spacing w:after="0" w:line="20" w:lineRule="exact"/>
              <w:rPr>
                <w:sz w:val="1"/>
                <w:szCs w:val="1"/>
                <w:color w:val="auto"/>
              </w:rPr>
            </w:pPr>
          </w:p>
        </w:tc>
        <w:tc>
          <w:tcPr>
            <w:tcW w:w="440" w:type="dxa"/>
            <w:vAlign w:val="bottom"/>
            <w:gridSpan w:val="3"/>
            <w:shd w:val="clear" w:color="auto" w:fill="0066C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6EBF"/>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440" w:type="dxa"/>
            <w:vAlign w:val="bottom"/>
            <w:tcBorders>
              <w:bottom w:val="single" w:sz="8" w:color="0066CC"/>
            </w:tcBorders>
            <w:gridSpan w:val="3"/>
          </w:tcPr>
          <w:p>
            <w:pPr>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Borders>
              <w:bottom w:val="single" w:sz="8" w:color="0066CC"/>
            </w:tcBorders>
            <w:gridSpan w:val="17"/>
          </w:tcPr>
          <w:p>
            <w:pPr>
              <w:spacing w:after="0"/>
              <w:rPr>
                <w:sz w:val="20"/>
                <w:szCs w:val="20"/>
                <w:color w:val="auto"/>
              </w:rPr>
            </w:pPr>
            <w:r>
              <w:rPr>
                <w:rFonts w:ascii="Arial" w:cs="Arial" w:eastAsia="Arial" w:hAnsi="Arial"/>
                <w:sz w:val="20"/>
                <w:szCs w:val="20"/>
                <w:color w:val="0066CC"/>
                <w:w w:val="95"/>
              </w:rPr>
              <w:t>GOVERNING LAW</w:t>
            </w:r>
          </w:p>
        </w:tc>
        <w:tc>
          <w:tcPr>
            <w:tcW w:w="4520" w:type="dxa"/>
            <w:vAlign w:val="bottom"/>
            <w:gridSpan w:val="21"/>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104</w:t>
            </w:r>
          </w:p>
        </w:tc>
      </w:tr>
      <w:tr>
        <w:trPr>
          <w:trHeight w:val="263"/>
        </w:trPr>
        <w:tc>
          <w:tcPr>
            <w:tcW w:w="240" w:type="dxa"/>
            <w:vAlign w:val="bottom"/>
          </w:tcPr>
          <w:p>
            <w:pPr>
              <w:spacing w:after="0"/>
              <w:rPr>
                <w:sz w:val="22"/>
                <w:szCs w:val="22"/>
                <w:color w:val="auto"/>
              </w:rPr>
            </w:pPr>
          </w:p>
        </w:tc>
        <w:tc>
          <w:tcPr>
            <w:tcW w:w="440" w:type="dxa"/>
            <w:vAlign w:val="bottom"/>
            <w:gridSpan w:val="3"/>
          </w:tcPr>
          <w:p>
            <w:pPr>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12</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Submission to Jurisdiction; Waivers</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104</w:t>
            </w:r>
          </w:p>
        </w:tc>
      </w:tr>
      <w:tr>
        <w:trPr>
          <w:trHeight w:val="264"/>
        </w:trPr>
        <w:tc>
          <w:tcPr>
            <w:tcW w:w="240" w:type="dxa"/>
            <w:vAlign w:val="bottom"/>
          </w:tcPr>
          <w:p>
            <w:pPr>
              <w:spacing w:after="0"/>
              <w:rPr>
                <w:sz w:val="22"/>
                <w:szCs w:val="22"/>
                <w:color w:val="auto"/>
              </w:rPr>
            </w:pPr>
          </w:p>
        </w:tc>
        <w:tc>
          <w:tcPr>
            <w:tcW w:w="440" w:type="dxa"/>
            <w:vAlign w:val="bottom"/>
            <w:tcBorders>
              <w:top w:val="single" w:sz="8" w:color="0066CC"/>
            </w:tcBorders>
            <w:gridSpan w:val="3"/>
          </w:tcPr>
          <w:p>
            <w:pPr>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tcBorders>
              <w:top w:val="single" w:sz="8" w:color="0066CC"/>
            </w:tcBorders>
            <w:gridSpan w:val="29"/>
          </w:tcPr>
          <w:p>
            <w:pPr>
              <w:spacing w:after="0"/>
              <w:rPr>
                <w:sz w:val="20"/>
                <w:szCs w:val="20"/>
                <w:color w:val="auto"/>
              </w:rPr>
            </w:pPr>
            <w:r>
              <w:rPr>
                <w:rFonts w:ascii="Arial" w:cs="Arial" w:eastAsia="Arial" w:hAnsi="Arial"/>
                <w:sz w:val="20"/>
                <w:szCs w:val="20"/>
                <w:color w:val="0066CC"/>
              </w:rPr>
              <w:t>Judgment</w:t>
            </w:r>
          </w:p>
        </w:tc>
        <w:tc>
          <w:tcPr>
            <w:tcW w:w="3340" w:type="dxa"/>
            <w:vAlign w:val="bottom"/>
            <w:gridSpan w:val="9"/>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105</w:t>
            </w:r>
          </w:p>
        </w:tc>
      </w:tr>
      <w:tr>
        <w:trPr>
          <w:trHeight w:val="20"/>
        </w:trPr>
        <w:tc>
          <w:tcPr>
            <w:tcW w:w="240" w:type="dxa"/>
            <w:vAlign w:val="bottom"/>
          </w:tcPr>
          <w:p>
            <w:pPr>
              <w:spacing w:after="0" w:line="20" w:lineRule="exact"/>
              <w:rPr>
                <w:sz w:val="1"/>
                <w:szCs w:val="1"/>
                <w:color w:val="auto"/>
              </w:rPr>
            </w:pPr>
          </w:p>
        </w:tc>
        <w:tc>
          <w:tcPr>
            <w:tcW w:w="440" w:type="dxa"/>
            <w:vAlign w:val="bottom"/>
            <w:gridSpan w:val="3"/>
            <w:shd w:val="clear" w:color="auto" w:fill="0066C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66CC"/>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4340" w:type="dxa"/>
            <w:vAlign w:val="bottom"/>
            <w:gridSpan w:val="1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440" w:type="dxa"/>
            <w:vAlign w:val="bottom"/>
            <w:tcBorders>
              <w:bottom w:val="single" w:sz="8" w:color="0066CC"/>
            </w:tcBorders>
            <w:gridSpan w:val="3"/>
          </w:tcPr>
          <w:p>
            <w:pPr>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Borders>
              <w:bottom w:val="single" w:sz="8" w:color="0066CC"/>
            </w:tcBorders>
            <w:gridSpan w:val="12"/>
          </w:tcPr>
          <w:p>
            <w:pPr>
              <w:spacing w:after="0"/>
              <w:rPr>
                <w:sz w:val="20"/>
                <w:szCs w:val="20"/>
                <w:color w:val="auto"/>
              </w:rPr>
            </w:pPr>
            <w:r>
              <w:rPr>
                <w:rFonts w:ascii="Arial" w:cs="Arial" w:eastAsia="Arial" w:hAnsi="Arial"/>
                <w:sz w:val="20"/>
                <w:szCs w:val="20"/>
                <w:color w:val="0066CC"/>
                <w:w w:val="89"/>
              </w:rPr>
              <w:t>Acknowledgments</w:t>
            </w:r>
          </w:p>
        </w:tc>
        <w:tc>
          <w:tcPr>
            <w:tcW w:w="4700" w:type="dxa"/>
            <w:vAlign w:val="bottom"/>
            <w:gridSpan w:val="26"/>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105</w:t>
            </w:r>
          </w:p>
        </w:tc>
      </w:tr>
      <w:tr>
        <w:trPr>
          <w:trHeight w:val="264"/>
        </w:trPr>
        <w:tc>
          <w:tcPr>
            <w:tcW w:w="240" w:type="dxa"/>
            <w:vAlign w:val="bottom"/>
          </w:tcPr>
          <w:p>
            <w:pPr>
              <w:spacing w:after="0"/>
              <w:rPr>
                <w:sz w:val="22"/>
                <w:szCs w:val="22"/>
                <w:color w:val="auto"/>
              </w:rPr>
            </w:pPr>
          </w:p>
        </w:tc>
        <w:tc>
          <w:tcPr>
            <w:tcW w:w="440" w:type="dxa"/>
            <w:vAlign w:val="bottom"/>
            <w:gridSpan w:val="3"/>
          </w:tcPr>
          <w:p>
            <w:pPr>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15</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80" w:type="dxa"/>
            <w:vAlign w:val="bottom"/>
            <w:gridSpan w:val="38"/>
          </w:tcPr>
          <w:p>
            <w:pPr>
              <w:spacing w:after="0"/>
              <w:rPr>
                <w:sz w:val="20"/>
                <w:szCs w:val="20"/>
                <w:color w:val="auto"/>
              </w:rPr>
            </w:pPr>
            <w:r>
              <w:rPr>
                <w:rFonts w:ascii="Arial" w:cs="Arial" w:eastAsia="Arial" w:hAnsi="Arial"/>
                <w:sz w:val="20"/>
                <w:szCs w:val="20"/>
                <w:color w:val="0066CC"/>
              </w:rPr>
              <w:t>Releases of Guarantees</w:t>
            </w:r>
          </w:p>
        </w:tc>
        <w:tc>
          <w:tcPr>
            <w:tcW w:w="600" w:type="dxa"/>
            <w:vAlign w:val="bottom"/>
          </w:tcPr>
          <w:p>
            <w:pPr>
              <w:jc w:val="right"/>
              <w:spacing w:after="0"/>
              <w:rPr>
                <w:sz w:val="20"/>
                <w:szCs w:val="20"/>
                <w:color w:val="auto"/>
              </w:rPr>
            </w:pPr>
            <w:r>
              <w:rPr>
                <w:rFonts w:ascii="Arial" w:cs="Arial" w:eastAsia="Arial" w:hAnsi="Arial"/>
                <w:sz w:val="20"/>
                <w:szCs w:val="20"/>
                <w:color w:val="FF0000"/>
                <w:strike w:val="1"/>
              </w:rPr>
              <w:t>106</w:t>
            </w:r>
          </w:p>
        </w:tc>
        <w:tc>
          <w:tcPr>
            <w:tcW w:w="280" w:type="dxa"/>
            <w:vAlign w:val="bottom"/>
            <w:gridSpan w:val="2"/>
          </w:tcPr>
          <w:p>
            <w:pPr>
              <w:jc w:val="right"/>
              <w:spacing w:after="0"/>
              <w:rPr>
                <w:sz w:val="20"/>
                <w:szCs w:val="20"/>
                <w:color w:val="auto"/>
              </w:rPr>
            </w:pPr>
            <w:r>
              <w:rPr>
                <w:rFonts w:ascii="Arial" w:cs="Arial" w:eastAsia="Arial" w:hAnsi="Arial"/>
                <w:sz w:val="20"/>
                <w:szCs w:val="20"/>
                <w:color w:val="006EBF"/>
                <w:w w:val="77"/>
              </w:rPr>
              <w:t>105</w:t>
            </w:r>
          </w:p>
        </w:tc>
      </w:tr>
      <w:tr>
        <w:trPr>
          <w:trHeight w:val="20"/>
        </w:trPr>
        <w:tc>
          <w:tcPr>
            <w:tcW w:w="240" w:type="dxa"/>
            <w:vAlign w:val="bottom"/>
          </w:tcPr>
          <w:p>
            <w:pPr>
              <w:spacing w:after="0" w:line="20" w:lineRule="exact"/>
              <w:rPr>
                <w:sz w:val="1"/>
                <w:szCs w:val="1"/>
                <w:color w:val="auto"/>
              </w:rPr>
            </w:pPr>
          </w:p>
        </w:tc>
        <w:tc>
          <w:tcPr>
            <w:tcW w:w="24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14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tcBorders>
              <w:right w:val="single" w:sz="8" w:color="0066CC"/>
            </w:tcBorders>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8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12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60" w:type="dxa"/>
            <w:vAlign w:val="bottom"/>
            <w:shd w:val="clear" w:color="auto" w:fill="0066CC"/>
          </w:tcPr>
          <w:p>
            <w:pPr>
              <w:spacing w:after="0" w:line="20" w:lineRule="exact"/>
              <w:rPr>
                <w:sz w:val="1"/>
                <w:szCs w:val="1"/>
                <w:color w:val="auto"/>
              </w:rPr>
            </w:pPr>
          </w:p>
        </w:tc>
        <w:tc>
          <w:tcPr>
            <w:tcW w:w="80" w:type="dxa"/>
            <w:vAlign w:val="bottom"/>
            <w:tcBorders>
              <w:right w:val="single" w:sz="8" w:color="0066CC"/>
            </w:tcBorders>
            <w:shd w:val="clear" w:color="auto" w:fill="0066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6EBF"/>
          </w:tcPr>
          <w:p>
            <w:pPr>
              <w:spacing w:after="0" w:line="20" w:lineRule="exact"/>
              <w:rPr>
                <w:sz w:val="1"/>
                <w:szCs w:val="1"/>
                <w:color w:val="auto"/>
              </w:rPr>
            </w:pPr>
          </w:p>
        </w:tc>
        <w:tc>
          <w:tcPr>
            <w:tcW w:w="180" w:type="dxa"/>
            <w:vAlign w:val="bottom"/>
            <w:shd w:val="clear" w:color="auto" w:fill="006EBF"/>
          </w:tcPr>
          <w:p>
            <w:pPr>
              <w:spacing w:after="0" w:line="20" w:lineRule="exact"/>
              <w:rPr>
                <w:sz w:val="1"/>
                <w:szCs w:val="1"/>
                <w:color w:val="auto"/>
              </w:rPr>
            </w:pPr>
          </w:p>
        </w:tc>
      </w:tr>
    </w:tbl>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9019"/>
          </w:cols>
          <w:pgMar w:left="1440" w:top="724" w:right="1440" w:bottom="1440" w:gutter="0" w:footer="0" w:header="0"/>
        </w:sectPr>
      </w:pPr>
    </w:p>
    <w:bookmarkStart w:id="56" w:name="page57"/>
    <w:bookmarkEnd w:id="56"/>
    <w:tbl>
      <w:tblPr>
        <w:tblLayout w:type="fixed"/>
        <w:tblInd w:w="56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Page</w:t>
            </w:r>
          </w:p>
        </w:tc>
      </w:tr>
      <w:tr>
        <w:trPr>
          <w:trHeight w:val="455"/>
        </w:trPr>
        <w:tc>
          <w:tcPr>
            <w:tcW w:w="440" w:type="dxa"/>
            <w:vAlign w:val="bottom"/>
            <w:tcBorders>
              <w:bottom w:val="single" w:sz="8" w:color="0066CC"/>
            </w:tcBorders>
          </w:tcPr>
          <w:p>
            <w:pPr>
              <w:jc w:val="right"/>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16</w:t>
            </w:r>
          </w:p>
        </w:tc>
        <w:tc>
          <w:tcPr>
            <w:tcW w:w="620" w:type="dxa"/>
            <w:vAlign w:val="bottom"/>
          </w:tcPr>
          <w:p>
            <w:pPr>
              <w:spacing w:after="0"/>
              <w:rPr>
                <w:sz w:val="24"/>
                <w:szCs w:val="24"/>
                <w:color w:val="auto"/>
              </w:rPr>
            </w:pPr>
          </w:p>
        </w:tc>
        <w:tc>
          <w:tcPr>
            <w:tcW w:w="1200" w:type="dxa"/>
            <w:vAlign w:val="bottom"/>
            <w:tcBorders>
              <w:bottom w:val="single" w:sz="8" w:color="0066CC"/>
            </w:tcBorders>
            <w:gridSpan w:val="3"/>
          </w:tcPr>
          <w:p>
            <w:pPr>
              <w:spacing w:after="0"/>
              <w:rPr>
                <w:sz w:val="20"/>
                <w:szCs w:val="20"/>
                <w:color w:val="auto"/>
              </w:rPr>
            </w:pPr>
            <w:r>
              <w:rPr>
                <w:rFonts w:ascii="Arial" w:cs="Arial" w:eastAsia="Arial" w:hAnsi="Arial"/>
                <w:sz w:val="20"/>
                <w:szCs w:val="20"/>
                <w:color w:val="0066CC"/>
                <w:w w:val="93"/>
              </w:rPr>
              <w:t>Confidentiality</w:t>
            </w:r>
          </w:p>
        </w:tc>
        <w:tc>
          <w:tcPr>
            <w:tcW w:w="476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FF0000"/>
                <w:strike w:val="1"/>
              </w:rPr>
              <w:t>107</w:t>
            </w:r>
          </w:p>
        </w:tc>
        <w:tc>
          <w:tcPr>
            <w:tcW w:w="280" w:type="dxa"/>
            <w:vAlign w:val="bottom"/>
            <w:tcBorders>
              <w:bottom w:val="single" w:sz="8" w:color="006EBF"/>
            </w:tcBorders>
          </w:tcPr>
          <w:p>
            <w:pPr>
              <w:jc w:val="right"/>
              <w:spacing w:after="0"/>
              <w:rPr>
                <w:sz w:val="20"/>
                <w:szCs w:val="20"/>
                <w:color w:val="auto"/>
              </w:rPr>
            </w:pPr>
            <w:r>
              <w:rPr>
                <w:rFonts w:ascii="Arial" w:cs="Arial" w:eastAsia="Arial" w:hAnsi="Arial"/>
                <w:sz w:val="20"/>
                <w:szCs w:val="20"/>
                <w:color w:val="006EBF"/>
                <w:w w:val="77"/>
              </w:rPr>
              <w:t>106</w:t>
            </w:r>
          </w:p>
        </w:tc>
      </w:tr>
      <w:tr>
        <w:trPr>
          <w:trHeight w:val="263"/>
        </w:trPr>
        <w:tc>
          <w:tcPr>
            <w:tcW w:w="440" w:type="dxa"/>
            <w:vAlign w:val="bottom"/>
          </w:tcPr>
          <w:p>
            <w:pPr>
              <w:jc w:val="right"/>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17</w:t>
            </w:r>
          </w:p>
        </w:tc>
        <w:tc>
          <w:tcPr>
            <w:tcW w:w="620" w:type="dxa"/>
            <w:vAlign w:val="bottom"/>
          </w:tcPr>
          <w:p>
            <w:pPr>
              <w:spacing w:after="0"/>
              <w:rPr>
                <w:sz w:val="22"/>
                <w:szCs w:val="22"/>
                <w:color w:val="auto"/>
              </w:rPr>
            </w:pPr>
          </w:p>
        </w:tc>
        <w:tc>
          <w:tcPr>
            <w:tcW w:w="5960" w:type="dxa"/>
            <w:vAlign w:val="bottom"/>
            <w:gridSpan w:val="11"/>
          </w:tcPr>
          <w:p>
            <w:pPr>
              <w:spacing w:after="0"/>
              <w:rPr>
                <w:sz w:val="20"/>
                <w:szCs w:val="20"/>
                <w:color w:val="auto"/>
              </w:rPr>
            </w:pPr>
            <w:r>
              <w:rPr>
                <w:rFonts w:ascii="Arial" w:cs="Arial" w:eastAsia="Arial" w:hAnsi="Arial"/>
                <w:sz w:val="20"/>
                <w:szCs w:val="20"/>
                <w:color w:val="0066CC"/>
              </w:rPr>
              <w:t>WAIVERS OF JURY TRIAL</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107</w:t>
            </w:r>
          </w:p>
        </w:tc>
      </w:tr>
      <w:tr>
        <w:trPr>
          <w:trHeight w:val="263"/>
        </w:trPr>
        <w:tc>
          <w:tcPr>
            <w:tcW w:w="440" w:type="dxa"/>
            <w:vAlign w:val="bottom"/>
            <w:tcBorders>
              <w:top w:val="single" w:sz="8" w:color="0066CC"/>
            </w:tcBorders>
          </w:tcPr>
          <w:p>
            <w:pPr>
              <w:jc w:val="right"/>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18</w:t>
            </w:r>
          </w:p>
        </w:tc>
        <w:tc>
          <w:tcPr>
            <w:tcW w:w="620" w:type="dxa"/>
            <w:vAlign w:val="bottom"/>
          </w:tcPr>
          <w:p>
            <w:pPr>
              <w:spacing w:after="0"/>
              <w:rPr>
                <w:sz w:val="22"/>
                <w:szCs w:val="22"/>
                <w:color w:val="auto"/>
              </w:rPr>
            </w:pPr>
          </w:p>
        </w:tc>
        <w:tc>
          <w:tcPr>
            <w:tcW w:w="2340" w:type="dxa"/>
            <w:vAlign w:val="bottom"/>
            <w:tcBorders>
              <w:top w:val="single" w:sz="8" w:color="0066CC"/>
            </w:tcBorders>
            <w:gridSpan w:val="5"/>
          </w:tcPr>
          <w:p>
            <w:pPr>
              <w:spacing w:after="0"/>
              <w:rPr>
                <w:sz w:val="20"/>
                <w:szCs w:val="20"/>
                <w:color w:val="auto"/>
              </w:rPr>
            </w:pPr>
            <w:r>
              <w:rPr>
                <w:rFonts w:ascii="Arial" w:cs="Arial" w:eastAsia="Arial" w:hAnsi="Arial"/>
                <w:sz w:val="20"/>
                <w:szCs w:val="20"/>
                <w:color w:val="0066CC"/>
              </w:rPr>
              <w:t>USA Patriot Act</w:t>
            </w:r>
          </w:p>
        </w:tc>
        <w:tc>
          <w:tcPr>
            <w:tcW w:w="3620" w:type="dxa"/>
            <w:vAlign w:val="bottom"/>
            <w:gridSpan w:val="6"/>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107</w:t>
            </w:r>
          </w:p>
        </w:tc>
      </w:tr>
      <w:tr>
        <w:trPr>
          <w:trHeight w:val="263"/>
        </w:trPr>
        <w:tc>
          <w:tcPr>
            <w:tcW w:w="440" w:type="dxa"/>
            <w:vAlign w:val="bottom"/>
            <w:tcBorders>
              <w:top w:val="single" w:sz="8" w:color="0066CC"/>
            </w:tcBorders>
          </w:tcPr>
          <w:p>
            <w:pPr>
              <w:jc w:val="right"/>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19</w:t>
            </w:r>
          </w:p>
        </w:tc>
        <w:tc>
          <w:tcPr>
            <w:tcW w:w="620" w:type="dxa"/>
            <w:vAlign w:val="bottom"/>
          </w:tcPr>
          <w:p>
            <w:pPr>
              <w:spacing w:after="0"/>
              <w:rPr>
                <w:sz w:val="22"/>
                <w:szCs w:val="22"/>
                <w:color w:val="auto"/>
              </w:rPr>
            </w:pPr>
          </w:p>
        </w:tc>
        <w:tc>
          <w:tcPr>
            <w:tcW w:w="1300" w:type="dxa"/>
            <w:vAlign w:val="bottom"/>
            <w:tcBorders>
              <w:top w:val="single" w:sz="8" w:color="0066CC"/>
            </w:tcBorders>
            <w:gridSpan w:val="4"/>
          </w:tcPr>
          <w:p>
            <w:pPr>
              <w:spacing w:after="0"/>
              <w:rPr>
                <w:sz w:val="20"/>
                <w:szCs w:val="20"/>
                <w:color w:val="auto"/>
              </w:rPr>
            </w:pPr>
            <w:r>
              <w:rPr>
                <w:rFonts w:ascii="Arial" w:cs="Arial" w:eastAsia="Arial" w:hAnsi="Arial"/>
                <w:sz w:val="20"/>
                <w:szCs w:val="20"/>
                <w:color w:val="0066CC"/>
              </w:rPr>
              <w:t>No Novation</w:t>
            </w:r>
          </w:p>
        </w:tc>
        <w:tc>
          <w:tcPr>
            <w:tcW w:w="4660" w:type="dxa"/>
            <w:vAlign w:val="bottom"/>
            <w:gridSpan w:val="7"/>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107</w:t>
            </w:r>
          </w:p>
        </w:tc>
      </w:tr>
      <w:tr>
        <w:trPr>
          <w:trHeight w:val="20"/>
        </w:trPr>
        <w:tc>
          <w:tcPr>
            <w:tcW w:w="440" w:type="dxa"/>
            <w:vAlign w:val="bottom"/>
            <w:shd w:val="clear" w:color="auto" w:fill="0066CC"/>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66CC"/>
          </w:tcPr>
          <w:p>
            <w:pPr>
              <w:spacing w:after="0" w:line="20" w:lineRule="exact"/>
              <w:rPr>
                <w:sz w:val="1"/>
                <w:szCs w:val="1"/>
                <w:color w:val="auto"/>
              </w:rPr>
            </w:pPr>
          </w:p>
        </w:tc>
        <w:tc>
          <w:tcPr>
            <w:tcW w:w="140" w:type="dxa"/>
            <w:vAlign w:val="bottom"/>
            <w:shd w:val="clear" w:color="auto" w:fill="0066CC"/>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3"/>
        </w:trPr>
        <w:tc>
          <w:tcPr>
            <w:tcW w:w="440" w:type="dxa"/>
            <w:vAlign w:val="bottom"/>
            <w:tcBorders>
              <w:bottom w:val="single" w:sz="8" w:color="0066CC"/>
            </w:tcBorders>
          </w:tcPr>
          <w:p>
            <w:pPr>
              <w:jc w:val="right"/>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20</w:t>
            </w:r>
          </w:p>
        </w:tc>
        <w:tc>
          <w:tcPr>
            <w:tcW w:w="620" w:type="dxa"/>
            <w:vAlign w:val="bottom"/>
          </w:tcPr>
          <w:p>
            <w:pPr>
              <w:spacing w:after="0"/>
              <w:rPr>
                <w:sz w:val="22"/>
                <w:szCs w:val="22"/>
                <w:color w:val="auto"/>
              </w:rPr>
            </w:pPr>
          </w:p>
        </w:tc>
        <w:tc>
          <w:tcPr>
            <w:tcW w:w="3560" w:type="dxa"/>
            <w:vAlign w:val="bottom"/>
            <w:tcBorders>
              <w:bottom w:val="single" w:sz="8" w:color="0066CC"/>
            </w:tcBorders>
            <w:gridSpan w:val="6"/>
          </w:tcPr>
          <w:p>
            <w:pPr>
              <w:spacing w:after="0"/>
              <w:rPr>
                <w:sz w:val="20"/>
                <w:szCs w:val="20"/>
                <w:color w:val="auto"/>
              </w:rPr>
            </w:pPr>
            <w:r>
              <w:rPr>
                <w:rFonts w:ascii="Arial" w:cs="Arial" w:eastAsia="Arial" w:hAnsi="Arial"/>
                <w:sz w:val="20"/>
                <w:szCs w:val="20"/>
                <w:color w:val="0066CC"/>
                <w:w w:val="90"/>
              </w:rPr>
              <w:t>Acknowledgement and Consent to Bail-In of</w:t>
            </w:r>
          </w:p>
        </w:tc>
        <w:tc>
          <w:tcPr>
            <w:tcW w:w="4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20"/>
                <w:szCs w:val="20"/>
                <w:color w:val="EE2724"/>
                <w:strike w:val="1"/>
                <w:w w:val="89"/>
              </w:rPr>
              <w:t>EEA</w:t>
            </w:r>
          </w:p>
        </w:tc>
        <w:tc>
          <w:tcPr>
            <w:tcW w:w="1480" w:type="dxa"/>
            <w:vAlign w:val="bottom"/>
            <w:tcBorders>
              <w:bottom w:val="single" w:sz="8" w:color="0066CC"/>
            </w:tcBorders>
            <w:gridSpan w:val="2"/>
          </w:tcPr>
          <w:p>
            <w:pPr>
              <w:spacing w:after="0"/>
              <w:rPr>
                <w:sz w:val="20"/>
                <w:szCs w:val="20"/>
                <w:color w:val="auto"/>
              </w:rPr>
            </w:pPr>
            <w:r>
              <w:rPr>
                <w:rFonts w:ascii="Arial" w:cs="Arial" w:eastAsia="Arial" w:hAnsi="Arial"/>
                <w:sz w:val="20"/>
                <w:szCs w:val="20"/>
                <w:color w:val="0066CC"/>
                <w:w w:val="91"/>
              </w:rPr>
              <w:t>Affected Financial</w:t>
            </w: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10"/>
        </w:trPr>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960" w:type="dxa"/>
            <w:vAlign w:val="bottom"/>
            <w:gridSpan w:val="11"/>
          </w:tcPr>
          <w:p>
            <w:pPr>
              <w:spacing w:after="0" w:line="209" w:lineRule="exact"/>
              <w:rPr>
                <w:sz w:val="20"/>
                <w:szCs w:val="20"/>
                <w:color w:val="auto"/>
              </w:rPr>
            </w:pPr>
            <w:r>
              <w:rPr>
                <w:rFonts w:ascii="Arial" w:cs="Arial" w:eastAsia="Arial" w:hAnsi="Arial"/>
                <w:sz w:val="20"/>
                <w:szCs w:val="20"/>
                <w:color w:val="0066CC"/>
              </w:rPr>
              <w:t>Institutions</w:t>
            </w:r>
          </w:p>
        </w:tc>
        <w:tc>
          <w:tcPr>
            <w:tcW w:w="1100" w:type="dxa"/>
            <w:vAlign w:val="bottom"/>
            <w:gridSpan w:val="2"/>
          </w:tcPr>
          <w:p>
            <w:pPr>
              <w:jc w:val="right"/>
              <w:spacing w:after="0" w:line="209" w:lineRule="exact"/>
              <w:rPr>
                <w:sz w:val="20"/>
                <w:szCs w:val="20"/>
                <w:color w:val="auto"/>
              </w:rPr>
            </w:pPr>
            <w:r>
              <w:rPr>
                <w:rFonts w:ascii="Arial" w:cs="Arial" w:eastAsia="Arial" w:hAnsi="Arial"/>
                <w:sz w:val="20"/>
                <w:szCs w:val="20"/>
                <w:color w:val="0066CC"/>
              </w:rPr>
              <w:t>107</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66CC"/>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66CC"/>
          </w:tcPr>
          <w:p>
            <w:pPr>
              <w:spacing w:after="0" w:line="20" w:lineRule="exact"/>
              <w:rPr>
                <w:sz w:val="1"/>
                <w:szCs w:val="1"/>
                <w:color w:val="auto"/>
              </w:rPr>
            </w:pPr>
          </w:p>
        </w:tc>
      </w:tr>
      <w:tr>
        <w:trPr>
          <w:trHeight w:val="263"/>
        </w:trPr>
        <w:tc>
          <w:tcPr>
            <w:tcW w:w="440" w:type="dxa"/>
            <w:vAlign w:val="bottom"/>
          </w:tcPr>
          <w:p>
            <w:pPr>
              <w:jc w:val="right"/>
              <w:spacing w:after="0"/>
              <w:rPr>
                <w:sz w:val="20"/>
                <w:szCs w:val="20"/>
                <w:color w:val="auto"/>
              </w:rPr>
            </w:pPr>
            <w:r>
              <w:rPr>
                <w:rFonts w:ascii="Arial" w:cs="Arial" w:eastAsia="Arial" w:hAnsi="Arial"/>
                <w:sz w:val="20"/>
                <w:szCs w:val="20"/>
                <w:color w:val="0066CC"/>
                <w:w w:val="83"/>
              </w:rPr>
              <w:t>10.</w:t>
            </w:r>
            <w:r>
              <w:rPr>
                <w:rFonts w:ascii="Arial" w:cs="Arial" w:eastAsia="Arial" w:hAnsi="Arial"/>
                <w:sz w:val="20"/>
                <w:szCs w:val="20"/>
                <w:u w:val="single" w:color="auto"/>
                <w:color w:val="0066CC"/>
                <w:w w:val="83"/>
              </w:rPr>
              <w:t>21</w:t>
            </w:r>
          </w:p>
        </w:tc>
        <w:tc>
          <w:tcPr>
            <w:tcW w:w="620" w:type="dxa"/>
            <w:vAlign w:val="bottom"/>
          </w:tcPr>
          <w:p>
            <w:pPr>
              <w:spacing w:after="0"/>
              <w:rPr>
                <w:sz w:val="22"/>
                <w:szCs w:val="22"/>
                <w:color w:val="auto"/>
              </w:rPr>
            </w:pPr>
          </w:p>
        </w:tc>
        <w:tc>
          <w:tcPr>
            <w:tcW w:w="5960" w:type="dxa"/>
            <w:vAlign w:val="bottom"/>
            <w:gridSpan w:val="11"/>
          </w:tcPr>
          <w:p>
            <w:pPr>
              <w:spacing w:after="0"/>
              <w:rPr>
                <w:sz w:val="20"/>
                <w:szCs w:val="20"/>
                <w:color w:val="auto"/>
              </w:rPr>
            </w:pPr>
            <w:r>
              <w:rPr>
                <w:rFonts w:ascii="Arial" w:cs="Arial" w:eastAsia="Arial" w:hAnsi="Arial"/>
                <w:sz w:val="20"/>
                <w:szCs w:val="20"/>
                <w:color w:val="0066CC"/>
              </w:rPr>
              <w:t>Acknowledgement Regarding Any Supported QFCs</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108</w:t>
            </w:r>
          </w:p>
        </w:tc>
      </w:tr>
      <w:tr>
        <w:trPr>
          <w:trHeight w:val="20"/>
        </w:trPr>
        <w:tc>
          <w:tcPr>
            <w:tcW w:w="440" w:type="dxa"/>
            <w:vAlign w:val="bottom"/>
            <w:shd w:val="clear" w:color="auto" w:fill="0066CC"/>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66CC"/>
          </w:tcPr>
          <w:p>
            <w:pPr>
              <w:spacing w:after="0" w:line="20" w:lineRule="exact"/>
              <w:rPr>
                <w:sz w:val="1"/>
                <w:szCs w:val="1"/>
                <w:color w:val="auto"/>
              </w:rPr>
            </w:pPr>
          </w:p>
        </w:tc>
        <w:tc>
          <w:tcPr>
            <w:tcW w:w="140" w:type="dxa"/>
            <w:vAlign w:val="bottom"/>
            <w:shd w:val="clear" w:color="auto" w:fill="0066CC"/>
          </w:tcPr>
          <w:p>
            <w:pPr>
              <w:spacing w:after="0" w:line="20" w:lineRule="exact"/>
              <w:rPr>
                <w:sz w:val="1"/>
                <w:szCs w:val="1"/>
                <w:color w:val="auto"/>
              </w:rPr>
            </w:pPr>
          </w:p>
        </w:tc>
        <w:tc>
          <w:tcPr>
            <w:tcW w:w="180" w:type="dxa"/>
            <w:vAlign w:val="bottom"/>
            <w:shd w:val="clear" w:color="auto" w:fill="0066CC"/>
          </w:tcPr>
          <w:p>
            <w:pPr>
              <w:spacing w:after="0" w:line="20" w:lineRule="exact"/>
              <w:rPr>
                <w:sz w:val="1"/>
                <w:szCs w:val="1"/>
                <w:color w:val="auto"/>
              </w:rPr>
            </w:pPr>
          </w:p>
        </w:tc>
        <w:tc>
          <w:tcPr>
            <w:tcW w:w="100" w:type="dxa"/>
            <w:vAlign w:val="bottom"/>
            <w:shd w:val="clear" w:color="auto" w:fill="0066CC"/>
          </w:tcPr>
          <w:p>
            <w:pPr>
              <w:spacing w:after="0" w:line="20" w:lineRule="exact"/>
              <w:rPr>
                <w:sz w:val="1"/>
                <w:szCs w:val="1"/>
                <w:color w:val="auto"/>
              </w:rPr>
            </w:pPr>
          </w:p>
        </w:tc>
        <w:tc>
          <w:tcPr>
            <w:tcW w:w="1040" w:type="dxa"/>
            <w:vAlign w:val="bottom"/>
            <w:shd w:val="clear" w:color="auto" w:fill="0066CC"/>
          </w:tcPr>
          <w:p>
            <w:pPr>
              <w:spacing w:after="0" w:line="20" w:lineRule="exact"/>
              <w:rPr>
                <w:sz w:val="1"/>
                <w:szCs w:val="1"/>
                <w:color w:val="auto"/>
              </w:rPr>
            </w:pPr>
          </w:p>
        </w:tc>
        <w:tc>
          <w:tcPr>
            <w:tcW w:w="1220" w:type="dxa"/>
            <w:vAlign w:val="bottom"/>
            <w:shd w:val="clear" w:color="auto" w:fill="0066CC"/>
          </w:tcPr>
          <w:p>
            <w:pPr>
              <w:spacing w:after="0" w:line="20" w:lineRule="exact"/>
              <w:rPr>
                <w:sz w:val="1"/>
                <w:szCs w:val="1"/>
                <w:color w:val="auto"/>
              </w:rPr>
            </w:pPr>
          </w:p>
        </w:tc>
        <w:tc>
          <w:tcPr>
            <w:tcW w:w="40" w:type="dxa"/>
            <w:vAlign w:val="bottom"/>
            <w:shd w:val="clear" w:color="auto" w:fill="0066CC"/>
          </w:tcPr>
          <w:p>
            <w:pPr>
              <w:spacing w:after="0" w:line="20" w:lineRule="exact"/>
              <w:rPr>
                <w:sz w:val="1"/>
                <w:szCs w:val="1"/>
                <w:color w:val="auto"/>
              </w:rPr>
            </w:pPr>
          </w:p>
        </w:tc>
        <w:tc>
          <w:tcPr>
            <w:tcW w:w="380" w:type="dxa"/>
            <w:vAlign w:val="bottom"/>
            <w:shd w:val="clear" w:color="auto" w:fill="0066CC"/>
          </w:tcPr>
          <w:p>
            <w:pPr>
              <w:spacing w:after="0" w:line="20" w:lineRule="exact"/>
              <w:rPr>
                <w:sz w:val="1"/>
                <w:szCs w:val="1"/>
                <w:color w:val="auto"/>
              </w:rPr>
            </w:pPr>
          </w:p>
        </w:tc>
        <w:tc>
          <w:tcPr>
            <w:tcW w:w="140" w:type="dxa"/>
            <w:vAlign w:val="bottom"/>
            <w:shd w:val="clear" w:color="auto" w:fill="0066CC"/>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9019"/>
          </w:cols>
          <w:pgMar w:left="1440" w:top="724" w:right="1440"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SCHEDULES:</w:t>
      </w:r>
    </w:p>
    <w:p>
      <w:pPr>
        <w:spacing w:after="0" w:line="216"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1.1A</w:t>
      </w:r>
      <w:r>
        <w:rPr>
          <w:sz w:val="20"/>
          <w:szCs w:val="20"/>
          <w:color w:val="auto"/>
        </w:rPr>
        <w:tab/>
      </w:r>
      <w:r>
        <w:rPr>
          <w:rFonts w:ascii="Arial" w:cs="Arial" w:eastAsia="Arial" w:hAnsi="Arial"/>
          <w:sz w:val="16"/>
          <w:szCs w:val="16"/>
          <w:color w:val="auto"/>
        </w:rPr>
        <w:t>Commitments; Scheme Reference Number and Jurisdiction of Tax Residence</w:t>
      </w:r>
    </w:p>
    <w:p>
      <w:pPr>
        <w:spacing w:after="0" w:line="15"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1.1B</w:t>
      </w:r>
      <w:r>
        <w:rPr>
          <w:sz w:val="20"/>
          <w:szCs w:val="20"/>
          <w:color w:val="auto"/>
        </w:rPr>
        <w:tab/>
      </w:r>
      <w:r>
        <w:rPr>
          <w:rFonts w:ascii="Arial" w:cs="Arial" w:eastAsia="Arial" w:hAnsi="Arial"/>
          <w:sz w:val="18"/>
          <w:szCs w:val="18"/>
          <w:color w:val="auto"/>
        </w:rPr>
        <w:t>Initial Excluded Subsidiaries</w:t>
      </w:r>
    </w:p>
    <w:p>
      <w:pPr>
        <w:spacing w:after="0"/>
        <w:tabs>
          <w:tab w:leader="none" w:pos="560" w:val="left"/>
        </w:tabs>
        <w:rPr>
          <w:sz w:val="20"/>
          <w:szCs w:val="20"/>
          <w:color w:val="auto"/>
        </w:rPr>
      </w:pPr>
      <w:r>
        <w:rPr>
          <w:rFonts w:ascii="Arial" w:cs="Arial" w:eastAsia="Arial" w:hAnsi="Arial"/>
          <w:sz w:val="20"/>
          <w:szCs w:val="20"/>
          <w:color w:val="auto"/>
        </w:rPr>
        <w:t>1.1C</w:t>
      </w:r>
      <w:r>
        <w:rPr>
          <w:sz w:val="20"/>
          <w:szCs w:val="20"/>
          <w:color w:val="auto"/>
        </w:rPr>
        <w:tab/>
      </w:r>
      <w:r>
        <w:rPr>
          <w:rFonts w:ascii="Arial" w:cs="Arial" w:eastAsia="Arial" w:hAnsi="Arial"/>
          <w:sz w:val="18"/>
          <w:szCs w:val="18"/>
          <w:color w:val="auto"/>
        </w:rPr>
        <w:t>Applicable Pricing Grid</w:t>
      </w:r>
    </w:p>
    <w:p>
      <w:pPr>
        <w:spacing w:after="0"/>
        <w:tabs>
          <w:tab w:leader="none" w:pos="580" w:val="left"/>
        </w:tabs>
        <w:rPr>
          <w:sz w:val="20"/>
          <w:szCs w:val="20"/>
          <w:color w:val="auto"/>
        </w:rPr>
      </w:pPr>
      <w:r>
        <w:rPr>
          <w:rFonts w:ascii="Arial" w:cs="Arial" w:eastAsia="Arial" w:hAnsi="Arial"/>
          <w:sz w:val="20"/>
          <w:szCs w:val="20"/>
          <w:color w:val="auto"/>
        </w:rPr>
        <w:t>1.1D</w:t>
      </w:r>
      <w:r>
        <w:rPr>
          <w:sz w:val="20"/>
          <w:szCs w:val="20"/>
          <w:color w:val="auto"/>
        </w:rPr>
        <w:tab/>
      </w:r>
      <w:r>
        <w:rPr>
          <w:rFonts w:ascii="Arial" w:cs="Arial" w:eastAsia="Arial" w:hAnsi="Arial"/>
          <w:sz w:val="18"/>
          <w:szCs w:val="18"/>
          <w:color w:val="auto"/>
        </w:rPr>
        <w:t>Existing Liens</w:t>
      </w:r>
    </w:p>
    <w:p>
      <w:pPr>
        <w:spacing w:after="0"/>
        <w:tabs>
          <w:tab w:leader="none" w:pos="560" w:val="left"/>
        </w:tabs>
        <w:rPr>
          <w:sz w:val="20"/>
          <w:szCs w:val="20"/>
          <w:color w:val="auto"/>
        </w:rPr>
      </w:pPr>
      <w:r>
        <w:rPr>
          <w:rFonts w:ascii="Arial" w:cs="Arial" w:eastAsia="Arial" w:hAnsi="Arial"/>
          <w:sz w:val="20"/>
          <w:szCs w:val="20"/>
          <w:color w:val="auto"/>
        </w:rPr>
        <w:t>1.1E</w:t>
      </w:r>
      <w:r>
        <w:rPr>
          <w:sz w:val="20"/>
          <w:szCs w:val="20"/>
          <w:color w:val="auto"/>
        </w:rPr>
        <w:tab/>
      </w:r>
      <w:r>
        <w:rPr>
          <w:rFonts w:ascii="Arial" w:cs="Arial" w:eastAsia="Arial" w:hAnsi="Arial"/>
          <w:sz w:val="16"/>
          <w:szCs w:val="16"/>
          <w:color w:val="auto"/>
        </w:rPr>
        <w:t>Excluded Subsidiary Businesses</w:t>
      </w:r>
    </w:p>
    <w:p>
      <w:pPr>
        <w:spacing w:after="0"/>
        <w:tabs>
          <w:tab w:leader="none" w:pos="4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9"/>
          <w:szCs w:val="19"/>
          <w:color w:val="auto"/>
        </w:rPr>
        <w:t>Litigation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1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Form of Guarantee</w:t>
      </w:r>
    </w:p>
    <w:p>
      <w:pPr>
        <w:spacing w:after="0" w:line="16" w:lineRule="exact"/>
        <w:rPr>
          <w:sz w:val="20"/>
          <w:szCs w:val="20"/>
          <w:color w:val="auto"/>
        </w:rPr>
      </w:pPr>
    </w:p>
    <w:p>
      <w:pPr>
        <w:ind w:right="7099" w:firstLine="8"/>
        <w:spacing w:after="0" w:line="252" w:lineRule="auto"/>
        <w:tabs>
          <w:tab w:leader="none" w:pos="330" w:val="left"/>
        </w:tabs>
        <w:numPr>
          <w:ilvl w:val="0"/>
          <w:numId w:val="9"/>
        </w:numPr>
        <w:rPr>
          <w:rFonts w:ascii="Arial" w:cs="Arial" w:eastAsia="Arial" w:hAnsi="Arial"/>
          <w:sz w:val="19"/>
          <w:szCs w:val="19"/>
          <w:color w:val="auto"/>
        </w:rPr>
      </w:pPr>
      <w:r>
        <w:rPr>
          <w:rFonts w:ascii="Arial" w:cs="Arial" w:eastAsia="Arial" w:hAnsi="Arial"/>
          <w:sz w:val="19"/>
          <w:szCs w:val="19"/>
          <w:color w:val="auto"/>
        </w:rPr>
        <w:t>Form of Competitive Bid Request C Form of Competitive Bid</w:t>
      </w:r>
    </w:p>
    <w:p>
      <w:pPr>
        <w:ind w:right="6099"/>
        <w:spacing w:after="0" w:line="239" w:lineRule="auto"/>
        <w:rPr>
          <w:rFonts w:ascii="Arial" w:cs="Arial" w:eastAsia="Arial" w:hAnsi="Arial"/>
          <w:sz w:val="19"/>
          <w:szCs w:val="19"/>
          <w:color w:val="auto"/>
        </w:rPr>
      </w:pPr>
      <w:r>
        <w:rPr>
          <w:rFonts w:ascii="Arial" w:cs="Arial" w:eastAsia="Arial" w:hAnsi="Arial"/>
          <w:sz w:val="20"/>
          <w:szCs w:val="20"/>
          <w:color w:val="auto"/>
        </w:rPr>
        <w:t>D Form of Competitive Bid Accept/Reject Letter E Form of Incremental Loan Activation Notice F Form of Closing Certificate</w:t>
      </w:r>
    </w:p>
    <w:p>
      <w:pPr>
        <w:spacing w:after="0" w:line="1" w:lineRule="exact"/>
        <w:rPr>
          <w:rFonts w:ascii="Arial" w:cs="Arial" w:eastAsia="Arial" w:hAnsi="Arial"/>
          <w:sz w:val="19"/>
          <w:szCs w:val="19"/>
          <w:color w:val="auto"/>
        </w:rPr>
      </w:pPr>
    </w:p>
    <w:p>
      <w:pPr>
        <w:jc w:val="both"/>
        <w:ind w:right="6779"/>
        <w:spacing w:after="0" w:line="252" w:lineRule="auto"/>
        <w:rPr>
          <w:rFonts w:ascii="Arial" w:cs="Arial" w:eastAsia="Arial" w:hAnsi="Arial"/>
          <w:sz w:val="19"/>
          <w:szCs w:val="19"/>
          <w:color w:val="auto"/>
        </w:rPr>
      </w:pPr>
      <w:r>
        <w:rPr>
          <w:rFonts w:ascii="Arial" w:cs="Arial" w:eastAsia="Arial" w:hAnsi="Arial"/>
          <w:sz w:val="19"/>
          <w:szCs w:val="19"/>
          <w:color w:val="auto"/>
        </w:rPr>
        <w:t>G Form of Assignment and Assumption H Form of Borrower Joinder Agreement</w:t>
      </w:r>
    </w:p>
    <w:p>
      <w:pPr>
        <w:ind w:right="4119"/>
        <w:spacing w:after="0" w:line="266" w:lineRule="auto"/>
        <w:rPr>
          <w:rFonts w:ascii="Arial" w:cs="Arial" w:eastAsia="Arial" w:hAnsi="Arial"/>
          <w:sz w:val="19"/>
          <w:szCs w:val="19"/>
          <w:color w:val="auto"/>
        </w:rPr>
      </w:pPr>
      <w:r>
        <w:rPr>
          <w:rFonts w:ascii="Arial" w:cs="Arial" w:eastAsia="Arial" w:hAnsi="Arial"/>
          <w:sz w:val="18"/>
          <w:szCs w:val="18"/>
          <w:color w:val="auto"/>
        </w:rPr>
        <w:t>I-1 Form of Exemption Certificate for Non-Partnership Non-U.S. Lenders I-2 Form of Exemption Certificate for Partnership Non-U.S. Lenders</w:t>
      </w:r>
    </w:p>
    <w:p>
      <w:pPr>
        <w:ind w:right="3819"/>
        <w:spacing w:after="0" w:line="266" w:lineRule="auto"/>
        <w:rPr>
          <w:rFonts w:ascii="Arial" w:cs="Arial" w:eastAsia="Arial" w:hAnsi="Arial"/>
          <w:sz w:val="19"/>
          <w:szCs w:val="19"/>
          <w:color w:val="auto"/>
        </w:rPr>
      </w:pPr>
      <w:r>
        <w:rPr>
          <w:rFonts w:ascii="Arial" w:cs="Arial" w:eastAsia="Arial" w:hAnsi="Arial"/>
          <w:sz w:val="18"/>
          <w:szCs w:val="18"/>
          <w:color w:val="auto"/>
        </w:rPr>
        <w:t>I-3 Form of Exemption Certificate for Non-Partnership Non-U.S. Participants I-4 Form of Exemption Certificate for Partnership Non-U.S. Participants</w:t>
      </w:r>
    </w:p>
    <w:p>
      <w:pPr>
        <w:ind w:right="7319"/>
        <w:spacing w:after="0" w:line="239" w:lineRule="auto"/>
        <w:rPr>
          <w:rFonts w:ascii="Arial" w:cs="Arial" w:eastAsia="Arial" w:hAnsi="Arial"/>
          <w:sz w:val="19"/>
          <w:szCs w:val="19"/>
          <w:color w:val="auto"/>
        </w:rPr>
      </w:pPr>
      <w:r>
        <w:rPr>
          <w:rFonts w:ascii="Arial" w:cs="Arial" w:eastAsia="Arial" w:hAnsi="Arial"/>
          <w:sz w:val="20"/>
          <w:szCs w:val="20"/>
          <w:color w:val="auto"/>
        </w:rPr>
        <w:t>J Form of Compliance Certificate K Form of Note</w:t>
      </w:r>
    </w:p>
    <w:p>
      <w:pPr>
        <w:jc w:val="both"/>
        <w:ind w:right="7579"/>
        <w:spacing w:after="0" w:line="252" w:lineRule="auto"/>
        <w:rPr>
          <w:rFonts w:ascii="Arial" w:cs="Arial" w:eastAsia="Arial" w:hAnsi="Arial"/>
          <w:sz w:val="19"/>
          <w:szCs w:val="19"/>
          <w:color w:val="auto"/>
        </w:rPr>
      </w:pPr>
      <w:r>
        <w:rPr>
          <w:rFonts w:ascii="Arial" w:cs="Arial" w:eastAsia="Arial" w:hAnsi="Arial"/>
          <w:sz w:val="19"/>
          <w:szCs w:val="19"/>
          <w:color w:val="auto"/>
        </w:rPr>
        <w:t>L Form of Borrowing Request M Form of Company Consent</w:t>
      </w:r>
    </w:p>
    <w:p>
      <w:pPr>
        <w:spacing w:after="0"/>
        <w:rPr>
          <w:rFonts w:ascii="Arial" w:cs="Arial" w:eastAsia="Arial" w:hAnsi="Arial"/>
          <w:sz w:val="19"/>
          <w:szCs w:val="19"/>
          <w:color w:val="auto"/>
        </w:rPr>
      </w:pPr>
      <w:r>
        <w:rPr>
          <w:rFonts w:ascii="Arial" w:cs="Arial" w:eastAsia="Arial" w:hAnsi="Arial"/>
          <w:sz w:val="20"/>
          <w:szCs w:val="20"/>
          <w:color w:val="auto"/>
        </w:rPr>
        <w:t>N  Form of Letter of Credit Acknowledgment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139"/>
          </w:cols>
          <w:pgMar w:left="320" w:top="798" w:right="1440" w:bottom="1440" w:gutter="0" w:footer="0" w:header="0"/>
        </w:sectPr>
      </w:pPr>
    </w:p>
    <w:bookmarkStart w:id="58" w:name="page59"/>
    <w:bookmarkEnd w:id="58"/>
    <w:p>
      <w:pPr>
        <w:jc w:val="both"/>
        <w:ind w:firstLine="1296"/>
        <w:spacing w:after="0" w:line="271" w:lineRule="auto"/>
        <w:rPr>
          <w:sz w:val="20"/>
          <w:szCs w:val="20"/>
          <w:color w:val="auto"/>
        </w:rPr>
      </w:pPr>
      <w:r>
        <w:rPr>
          <w:rFonts w:ascii="Arial" w:cs="Arial" w:eastAsia="Arial" w:hAnsi="Arial"/>
          <w:sz w:val="18"/>
          <w:szCs w:val="18"/>
          <w:color w:val="auto"/>
        </w:rPr>
        <w:t>THIRD AMENDED AND RESTATED THREE YEAR REVOLVING CREDIT AGREEMENT, dated as of April 18, 2018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w:t>
      </w:r>
      <w:r>
        <w:rPr>
          <w:rFonts w:ascii="Arial" w:cs="Arial" w:eastAsia="Arial" w:hAnsi="Arial"/>
          <w:sz w:val="18"/>
          <w:szCs w:val="18"/>
          <w:u w:val="single" w:color="auto"/>
          <w:color w:val="auto"/>
        </w:rPr>
        <w:t>GMF</w:t>
      </w:r>
      <w:r>
        <w:rPr>
          <w:rFonts w:ascii="Arial" w:cs="Arial" w:eastAsia="Arial" w:hAnsi="Arial"/>
          <w:sz w:val="18"/>
          <w:szCs w:val="18"/>
          <w:color w:val="auto"/>
        </w:rPr>
        <w:t xml:space="preserve">”), </w:t>
      </w:r>
      <w:r>
        <w:rPr>
          <w:rFonts w:ascii="Arial" w:cs="Arial" w:eastAsia="Arial" w:hAnsi="Arial"/>
          <w:sz w:val="18"/>
          <w:szCs w:val="18"/>
          <w:color w:val="FF0000"/>
          <w:strike w:val="1"/>
        </w:rPr>
        <w:t>GM Global Treasury Centre Limited, a private limited company incorporated under the laws</w:t>
      </w:r>
      <w:r>
        <w:rPr>
          <w:rFonts w:ascii="Arial" w:cs="Arial" w:eastAsia="Arial" w:hAnsi="Arial"/>
          <w:sz w:val="18"/>
          <w:szCs w:val="18"/>
          <w:color w:val="auto"/>
        </w:rPr>
        <w:t xml:space="preserve"> </w:t>
      </w:r>
      <w:r>
        <w:rPr>
          <w:rFonts w:ascii="Arial" w:cs="Arial" w:eastAsia="Arial" w:hAnsi="Arial"/>
          <w:sz w:val="18"/>
          <w:szCs w:val="18"/>
          <w:color w:val="FF0000"/>
          <w:strike w:val="1"/>
        </w:rPr>
        <w:t>of England and Wales (“</w:t>
      </w:r>
      <w:r>
        <w:rPr>
          <w:rFonts w:ascii="Arial" w:cs="Arial" w:eastAsia="Arial" w:hAnsi="Arial"/>
          <w:sz w:val="18"/>
          <w:szCs w:val="18"/>
          <w:u w:val="single" w:color="auto"/>
          <w:color w:val="FF0000"/>
          <w:strike w:val="1"/>
        </w:rPr>
        <w:t>GMGTC</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0000"/>
        </w:rPr>
        <w:t>General Motors do Brasil Ltda., a Brazilian limited liability company (“</w:t>
      </w:r>
      <w:r>
        <w:rPr>
          <w:rFonts w:ascii="Arial" w:cs="Arial" w:eastAsia="Arial" w:hAnsi="Arial"/>
          <w:sz w:val="18"/>
          <w:szCs w:val="18"/>
          <w:u w:val="single" w:color="auto"/>
          <w:color w:val="000000"/>
        </w:rPr>
        <w:t>GMB</w:t>
      </w:r>
      <w:r>
        <w:rPr>
          <w:rFonts w:ascii="Arial" w:cs="Arial" w:eastAsia="Arial" w:hAnsi="Arial"/>
          <w:sz w:val="18"/>
          <w:szCs w:val="18"/>
          <w:color w:val="000000"/>
        </w:rPr>
        <w:t>”), the other Subsidiary</w:t>
      </w:r>
      <w:r>
        <w:rPr>
          <w:rFonts w:ascii="Arial" w:cs="Arial" w:eastAsia="Arial" w:hAnsi="Arial"/>
          <w:sz w:val="18"/>
          <w:szCs w:val="18"/>
          <w:color w:val="FF0000"/>
        </w:rPr>
        <w:t xml:space="preserve"> </w:t>
      </w:r>
      <w:r>
        <w:rPr>
          <w:rFonts w:ascii="Arial" w:cs="Arial" w:eastAsia="Arial" w:hAnsi="Arial"/>
          <w:sz w:val="18"/>
          <w:szCs w:val="18"/>
          <w:color w:val="000000"/>
        </w:rPr>
        <w:t>Borrowers (as defined herein) from time to time parties hereto, the several banks and other financial institutions or entities from time to time parties hereto, as lenders (collectively, the “</w:t>
      </w:r>
      <w:r>
        <w:rPr>
          <w:rFonts w:ascii="Arial" w:cs="Arial" w:eastAsia="Arial" w:hAnsi="Arial"/>
          <w:sz w:val="18"/>
          <w:szCs w:val="18"/>
          <w:u w:val="single" w:color="auto"/>
          <w:color w:val="000000"/>
        </w:rPr>
        <w:t>Lenders</w:t>
      </w:r>
      <w:r>
        <w:rPr>
          <w:rFonts w:ascii="Arial" w:cs="Arial" w:eastAsia="Arial" w:hAnsi="Arial"/>
          <w:sz w:val="18"/>
          <w:szCs w:val="18"/>
          <w:color w:val="000000"/>
        </w:rPr>
        <w:t xml:space="preserve"> ”), JPMORGAN CHASE BANK, N.A. (and any of its branches and affiliates acting on its behalf in such capacity), as administrative agent for the Lenders (in such capacity, the “</w:t>
      </w:r>
      <w:r>
        <w:rPr>
          <w:rFonts w:ascii="Arial" w:cs="Arial" w:eastAsia="Arial" w:hAnsi="Arial"/>
          <w:sz w:val="18"/>
          <w:szCs w:val="18"/>
          <w:u w:val="single" w:color="auto"/>
          <w:color w:val="000000"/>
        </w:rPr>
        <w:t>Administrative Agent</w:t>
      </w:r>
      <w:r>
        <w:rPr>
          <w:rFonts w:ascii="Arial" w:cs="Arial" w:eastAsia="Arial" w:hAnsi="Arial"/>
          <w:sz w:val="18"/>
          <w:szCs w:val="18"/>
          <w:color w:val="000000"/>
        </w:rPr>
        <w:t>”), BANCO DO BRASIL S.A. (and any of its branches and affiliates acting on its behalf in such capacity), as administrative agent for the Brazilian Lenders (in such capacity, the “</w:t>
      </w:r>
      <w:r>
        <w:rPr>
          <w:rFonts w:ascii="Arial" w:cs="Arial" w:eastAsia="Arial" w:hAnsi="Arial"/>
          <w:sz w:val="18"/>
          <w:szCs w:val="18"/>
          <w:u w:val="single" w:color="auto"/>
          <w:color w:val="000000"/>
        </w:rPr>
        <w:t>Brazilian Administrative Agent</w:t>
      </w:r>
      <w:r>
        <w:rPr>
          <w:rFonts w:ascii="Arial" w:cs="Arial" w:eastAsia="Arial" w:hAnsi="Arial"/>
          <w:sz w:val="18"/>
          <w:szCs w:val="18"/>
          <w:color w:val="000000"/>
        </w:rPr>
        <w:t>”), CITIBANK, N.A., as syndication agent (in such capacity, the “</w:t>
      </w:r>
      <w:r>
        <w:rPr>
          <w:rFonts w:ascii="Arial" w:cs="Arial" w:eastAsia="Arial" w:hAnsi="Arial"/>
          <w:sz w:val="18"/>
          <w:szCs w:val="18"/>
          <w:u w:val="single" w:color="auto"/>
          <w:color w:val="000000"/>
        </w:rPr>
        <w:t>Syndication Agent</w:t>
      </w:r>
      <w:r>
        <w:rPr>
          <w:rFonts w:ascii="Arial" w:cs="Arial" w:eastAsia="Arial" w:hAnsi="Arial"/>
          <w:sz w:val="18"/>
          <w:szCs w:val="18"/>
          <w:color w:val="000000"/>
        </w:rPr>
        <w:t>”) and BANK OF AMERICA, N.A., as co-syndication agent (in such capacity, the “</w:t>
      </w:r>
      <w:r>
        <w:rPr>
          <w:rFonts w:ascii="Arial" w:cs="Arial" w:eastAsia="Arial" w:hAnsi="Arial"/>
          <w:sz w:val="18"/>
          <w:szCs w:val="18"/>
          <w:u w:val="single" w:color="auto"/>
          <w:color w:val="000000"/>
        </w:rPr>
        <w:t>Co-Syndication Agent</w:t>
      </w:r>
      <w:r>
        <w:rPr>
          <w:rFonts w:ascii="Arial" w:cs="Arial" w:eastAsia="Arial" w:hAnsi="Arial"/>
          <w:sz w:val="18"/>
          <w:szCs w:val="18"/>
          <w:color w:val="000000"/>
        </w:rPr>
        <w:t>”).</w:t>
      </w:r>
    </w:p>
    <w:p>
      <w:pPr>
        <w:spacing w:after="0" w:line="174" w:lineRule="exact"/>
        <w:rPr>
          <w:sz w:val="20"/>
          <w:szCs w:val="20"/>
          <w:color w:val="auto"/>
        </w:rPr>
      </w:pPr>
    </w:p>
    <w:p>
      <w:pPr>
        <w:jc w:val="both"/>
        <w:ind w:firstLine="1377"/>
        <w:spacing w:after="0" w:line="282" w:lineRule="auto"/>
        <w:rPr>
          <w:sz w:val="20"/>
          <w:szCs w:val="20"/>
          <w:color w:val="auto"/>
        </w:rPr>
      </w:pPr>
      <w:r>
        <w:rPr>
          <w:rFonts w:ascii="Arial" w:cs="Arial" w:eastAsia="Arial" w:hAnsi="Arial"/>
          <w:sz w:val="18"/>
          <w:szCs w:val="18"/>
          <w:color w:val="auto"/>
        </w:rPr>
        <w:t>WHEREAS, the Company entered into that certain Second Amended and Restated Three Year Revolving Credit Agreement, dated as of May 26, 2016 (the “</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with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61" w:lineRule="exact"/>
        <w:rPr>
          <w:sz w:val="20"/>
          <w:szCs w:val="20"/>
          <w:color w:val="auto"/>
        </w:rPr>
      </w:pPr>
    </w:p>
    <w:p>
      <w:pPr>
        <w:jc w:val="both"/>
        <w:ind w:firstLine="1377"/>
        <w:spacing w:after="0" w:line="250" w:lineRule="auto"/>
        <w:rPr>
          <w:sz w:val="20"/>
          <w:szCs w:val="20"/>
          <w:color w:val="auto"/>
        </w:rPr>
      </w:pPr>
      <w:r>
        <w:rPr>
          <w:rFonts w:ascii="Arial" w:cs="Arial" w:eastAsia="Arial" w:hAnsi="Arial"/>
          <w:sz w:val="20"/>
          <w:szCs w:val="20"/>
          <w:color w:val="auto"/>
        </w:rPr>
        <w:t>WHEREAS, the parties have agreed to amend and restate the Existing Three Year Credit Agreement as provided in this Agreement, which Agreement shall become effective upon the satisfaction (or waiver pursuant to Section 10.1) of the conditions set forth in Section 5.1;</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NOW, THEREFORE, in consideration of the premises and the agreements, provisions and covenants herein contained, the parties hereto hereby agree that on the Closing Date (as defined below), the Existing Three Year Credit Agreement shall be amended and restated in its entirety as follows: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1.</w:t>
      </w:r>
      <w:r>
        <w:rPr>
          <w:sz w:val="20"/>
          <w:szCs w:val="20"/>
          <w:color w:val="auto"/>
        </w:rPr>
        <w:tab/>
      </w:r>
      <w:r>
        <w:rPr>
          <w:rFonts w:ascii="Arial" w:cs="Arial" w:eastAsia="Arial" w:hAnsi="Arial"/>
          <w:sz w:val="20"/>
          <w:szCs w:val="20"/>
          <w:b w:val="1"/>
          <w:bCs w:val="1"/>
          <w:u w:val="single" w:color="auto"/>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6610" cy="8890"/>
                    </a:xfrm>
                    <a:prstGeom prst="rect">
                      <a:avLst/>
                    </a:prstGeom>
                    <a:noFill/>
                  </pic:spPr>
                </pic:pic>
              </a:graphicData>
            </a:graphic>
          </wp:anchor>
        </w:drawing>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010000"/>
        </w:rPr>
        <w:t xml:space="preserve">1.1 </w:t>
      </w:r>
      <w:r>
        <w:rPr>
          <w:rFonts w:ascii="Arial" w:cs="Arial" w:eastAsia="Arial" w:hAnsi="Arial"/>
          <w:sz w:val="20"/>
          <w:szCs w:val="20"/>
          <w:color w:val="000000"/>
        </w:rPr>
        <w:t>Defined Terms. As used in this Agreement, the terms listed in this Section 1.1 shall have the respective meanings set</w:t>
      </w:r>
      <w:r>
        <w:rPr>
          <w:rFonts w:ascii="Arial" w:cs="Arial" w:eastAsia="Arial" w:hAnsi="Arial"/>
          <w:sz w:val="20"/>
          <w:szCs w:val="20"/>
          <w:color w:val="010000"/>
        </w:rPr>
        <w:t xml:space="preserve"> </w:t>
      </w:r>
      <w:r>
        <w:rPr>
          <w:rFonts w:ascii="Arial" w:cs="Arial" w:eastAsia="Arial" w:hAnsi="Arial"/>
          <w:sz w:val="20"/>
          <w:szCs w:val="20"/>
          <w:color w:val="000000"/>
        </w:rPr>
        <w:t>forth in this Section 1.1.</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2017 10-K</w:t>
      </w:r>
      <w:r>
        <w:rPr>
          <w:rFonts w:ascii="Arial" w:cs="Arial" w:eastAsia="Arial" w:hAnsi="Arial"/>
          <w:sz w:val="20"/>
          <w:szCs w:val="20"/>
          <w:color w:val="auto"/>
        </w:rPr>
        <w:t>” has the meaning assigned to such term in Section 4.1.</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“2020 Extending Lender” means an “Extending and Consenting Lender”, as such term is defined in the First Amendment, and any permitted assignee thereof.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“2020 Non-Extending Lender” means any Lender that is not a 2020 Extending Lender or a permitted assignee thereof.</w:t>
      </w:r>
    </w:p>
    <w:p>
      <w:pPr>
        <w:spacing w:after="0" w:line="22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5-Year Revolving Credit Agreement</w:t>
      </w:r>
      <w:r>
        <w:rPr>
          <w:rFonts w:ascii="Arial" w:cs="Arial" w:eastAsia="Arial" w:hAnsi="Arial"/>
          <w:sz w:val="20"/>
          <w:szCs w:val="20"/>
          <w:color w:val="auto"/>
        </w:rPr>
        <w:t>” means (i) that certain Third Amended and Restated Five Year Revolving Credit Agreement, dated as of the date hereof,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w:t>
      </w:r>
    </w:p>
    <w:p>
      <w:pPr>
        <w:sectPr>
          <w:pgSz w:w="11900" w:h="16838" w:orient="portrait"/>
          <w:cols w:equalWidth="0" w:num="1">
            <w:col w:w="11240"/>
          </w:cols>
          <w:pgMar w:left="320" w:top="568" w:right="339" w:bottom="1440" w:gutter="0" w:footer="0" w:header="0"/>
        </w:sectPr>
      </w:pPr>
    </w:p>
    <w:bookmarkStart w:id="59" w:name="page60"/>
    <w:bookmarkEnd w:id="59"/>
    <w:p>
      <w:pPr>
        <w:jc w:val="both"/>
        <w:spacing w:after="0" w:line="244" w:lineRule="auto"/>
        <w:rPr>
          <w:sz w:val="20"/>
          <w:szCs w:val="20"/>
          <w:color w:val="auto"/>
        </w:rPr>
      </w:pPr>
      <w:r>
        <w:rPr>
          <w:rFonts w:ascii="Arial" w:cs="Arial" w:eastAsia="Arial" w:hAnsi="Arial"/>
          <w:sz w:val="20"/>
          <w:szCs w:val="20"/>
          <w:color w:val="auto"/>
        </w:rPr>
        <w:t>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9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5-Year Total Available Commitments</w:t>
      </w:r>
      <w:r>
        <w:rPr>
          <w:rFonts w:ascii="Arial" w:cs="Arial" w:eastAsia="Arial" w:hAnsi="Arial"/>
          <w:sz w:val="20"/>
          <w:szCs w:val="20"/>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9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5-Year Total Commitments</w:t>
      </w:r>
      <w:r>
        <w:rPr>
          <w:rFonts w:ascii="Arial" w:cs="Arial" w:eastAsia="Arial" w:hAnsi="Arial"/>
          <w:sz w:val="20"/>
          <w:szCs w:val="20"/>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9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5-Year Total Extensions of Credit</w:t>
      </w:r>
      <w:r>
        <w:rPr>
          <w:rFonts w:ascii="Arial" w:cs="Arial" w:eastAsia="Arial" w:hAnsi="Arial"/>
          <w:sz w:val="20"/>
          <w:szCs w:val="20"/>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9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u w:val="single" w:color="auto"/>
          <w:color w:val="0000FF"/>
        </w:rPr>
        <w:t>“364-Day Revolving Credit Agreement” means (i) that certain Second Amended and Restated 364-Day Revolving Credit Agreement, dated as of April 14, 2020,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Second Amended and Restated 364-Day Revolving Credit Agreement referred to in clause (i) above or any other agreement or instrument referred to in this clause (ii) unless the Company notifies the Administrative Agent that it is not intended to be a “364-Day Revolving Credit Agreement” hereunder. All references to the “364-Day Revolving Credit Agreement” in this Agreement shall refer to any 364-Day Revolving Credit Agreement then extant.</w:t>
      </w:r>
    </w:p>
    <w:p>
      <w:pPr>
        <w:spacing w:after="0" w:line="17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u w:val="single" w:color="auto"/>
          <w:color w:val="0000FF"/>
        </w:rPr>
        <w:t>“364-Day Total Extensions of Credit” means the “Total Extensions of Credit” (or equivalent term) under, and as defined in, the 364-Day Revolving Credit Agreement (it being understood that if there is more than one 364-Day Revolving Credit Agreement in effect at any time, references hereunder to “364-Day Total Extensions of Credit” shall be deemed to mean the sum of the “364-Day Total Extensions of Credit” (as defined above) under each such agreement).</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½ of 1.00% and (c) the Eurocurrency Rate, calculated as of such date in respect of a proposed</w:t>
      </w:r>
    </w:p>
    <w:p>
      <w:pPr>
        <w:sectPr>
          <w:pgSz w:w="11900" w:h="16838" w:orient="portrait"/>
          <w:cols w:equalWidth="0" w:num="1">
            <w:col w:w="11240"/>
          </w:cols>
          <w:pgMar w:left="320" w:top="568" w:right="339" w:bottom="1440" w:gutter="0" w:footer="0" w:header="0"/>
        </w:sectPr>
      </w:pPr>
    </w:p>
    <w:bookmarkStart w:id="60" w:name="page61"/>
    <w:bookmarkEnd w:id="60"/>
    <w:p>
      <w:pPr>
        <w:jc w:val="both"/>
        <w:spacing w:after="0" w:line="243" w:lineRule="auto"/>
        <w:rPr>
          <w:sz w:val="20"/>
          <w:szCs w:val="20"/>
          <w:color w:val="auto"/>
        </w:rPr>
      </w:pPr>
      <w:r>
        <w:rPr>
          <w:rFonts w:ascii="Arial" w:cs="Arial" w:eastAsia="Arial" w:hAnsi="Arial"/>
          <w:sz w:val="20"/>
          <w:szCs w:val="20"/>
          <w:color w:val="auto"/>
        </w:rPr>
        <w:t xml:space="preserve">Eurocurrency Loan denominated in Dollars with a one-month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1.00%;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then the ABR shall be the greater of clause (a) and (b) above and shall be determined without reference to clause (c) above.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Loans</w:t>
      </w:r>
      <w:r>
        <w:rPr>
          <w:rFonts w:ascii="Arial" w:cs="Arial" w:eastAsia="Arial" w:hAnsi="Arial"/>
          <w:sz w:val="20"/>
          <w:szCs w:val="20"/>
          <w:color w:val="auto"/>
        </w:rPr>
        <w:t>” means Loans the rate of interest applicable to which is based upon the ABR.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has the meaning assigned to such term in the preamble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Foreign Currency</w:t>
      </w:r>
      <w:r>
        <w:rPr>
          <w:rFonts w:ascii="Arial" w:cs="Arial" w:eastAsia="Arial" w:hAnsi="Arial"/>
          <w:sz w:val="20"/>
          <w:szCs w:val="20"/>
          <w:color w:val="auto"/>
        </w:rPr>
        <w:t>” has the meaning assigned to such term in Section 2.18(a)(iii).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“Affected Financial Institution” means (a) any EEA Financial Institution or (b) any UK Financial Institution.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the Administrative Agent and the Brazilian Administrative Agent, collectively.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 hereto.</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Rate</w:t>
      </w:r>
      <w:r>
        <w:rPr>
          <w:rFonts w:ascii="Arial" w:cs="Arial" w:eastAsia="Arial" w:hAnsi="Arial"/>
          <w:sz w:val="20"/>
          <w:szCs w:val="20"/>
          <w:color w:val="auto"/>
        </w:rPr>
        <w:t>” means, for any day, the sum of (a) a rate per annum selected by the Administrative Agent, in its reasonable discretion based on market conditions in consultation with the Company (and any applicable Subsidiary Borrower) and the relevant Lenders, plus (b) the Applicable Margin for Eurocurrency Loans. When used in reference to any Loan, “Alternate Rate” refers to whether such Loan is bearing interest at a rate determined by reference to the Alternate Rate.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Borrower</w:t>
      </w:r>
      <w:r>
        <w:rPr>
          <w:rFonts w:ascii="Arial" w:cs="Arial" w:eastAsia="Arial" w:hAnsi="Arial"/>
          <w:sz w:val="20"/>
          <w:szCs w:val="20"/>
          <w:color w:val="auto"/>
        </w:rPr>
        <w:t>” has the meaning assigned to such term in Section 2.30(a).</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Commencement Date</w:t>
      </w:r>
      <w:r>
        <w:rPr>
          <w:rFonts w:ascii="Arial" w:cs="Arial" w:eastAsia="Arial" w:hAnsi="Arial"/>
          <w:sz w:val="20"/>
          <w:szCs w:val="20"/>
          <w:color w:val="auto"/>
        </w:rPr>
        <w:t>” means, in relation to an Ancillary Facility, the date on which such Ancillary Facility is first made available, which date shall be a Business Day within the Commitment Period for the applicable Ancillary Lender in respect of the Multicurrency Facility.</w:t>
      </w:r>
    </w:p>
    <w:p>
      <w:pPr>
        <w:spacing w:after="0" w:line="18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Commitment</w:t>
      </w:r>
      <w:r>
        <w:rPr>
          <w:rFonts w:ascii="Arial" w:cs="Arial" w:eastAsia="Arial" w:hAnsi="Arial"/>
          <w:sz w:val="20"/>
          <w:szCs w:val="20"/>
          <w:color w:val="auto"/>
        </w:rPr>
        <w:t xml:space="preserve">” means, with respect to any Ancillary Lender and Ancillary Facility, the maximum Dollar Equivalent of the amount that such Ancillary Lender has agreed to make available from time to time prior to the Termination Date under such Ancillary Facility pursuant to Section 2.30 (to the extent such amount is not cancelled or reduced under this Agreement or the Ancillary Facility Documents relating to that Ancillary Facility and, in each case, such Dollar Equivalent amount to be determined as of the applicable Ancillary Commencement Date, without giving effect to any currency fluctuations after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no time shall (a) the aggregate Ancillary Commitments of such Ancillary Lender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Multicurrency Extensions of Credit of such Ancillary Lender exceed (b) the Multicurrency Commitment of such Ancillary Lender (determined without giving effect to any reduction of such Commitment pursuant to Section 2.30).</w:t>
      </w:r>
    </w:p>
    <w:p>
      <w:pPr>
        <w:spacing w:after="0" w:line="19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Facility</w:t>
      </w:r>
      <w:r>
        <w:rPr>
          <w:rFonts w:ascii="Arial" w:cs="Arial" w:eastAsia="Arial" w:hAnsi="Arial"/>
          <w:sz w:val="19"/>
          <w:szCs w:val="19"/>
          <w:color w:val="auto"/>
        </w:rPr>
        <w:t>” means (a) any overdraft, automated payment, check drawing and/or other current account facility, (b) any credit order or short term loan facility, (c) any foreign exchange or foreign currency facility, (d) any documentary or stand-by letter of credit facility, suretyship, guarantee and/or bonding facility or any other instrument to provide a contingent liability, (e) any derivatives or hedging facility and/or (f) any other facility or financial accommodation that may be entered into by any Ancillary</w:t>
      </w:r>
    </w:p>
    <w:p>
      <w:pPr>
        <w:sectPr>
          <w:pgSz w:w="11900" w:h="16838" w:orient="portrait"/>
          <w:cols w:equalWidth="0" w:num="1">
            <w:col w:w="11240"/>
          </w:cols>
          <w:pgMar w:left="320" w:top="568" w:right="339" w:bottom="1440" w:gutter="0" w:footer="0" w:header="0"/>
        </w:sectPr>
      </w:pPr>
    </w:p>
    <w:bookmarkStart w:id="61" w:name="page62"/>
    <w:bookmarkEnd w:id="61"/>
    <w:p>
      <w:pPr>
        <w:jc w:val="both"/>
        <w:spacing w:after="0" w:line="260" w:lineRule="auto"/>
        <w:rPr>
          <w:sz w:val="20"/>
          <w:szCs w:val="20"/>
          <w:color w:val="auto"/>
        </w:rPr>
      </w:pPr>
      <w:r>
        <w:rPr>
          <w:rFonts w:ascii="Arial" w:cs="Arial" w:eastAsia="Arial" w:hAnsi="Arial"/>
          <w:sz w:val="20"/>
          <w:szCs w:val="20"/>
          <w:color w:val="auto"/>
        </w:rPr>
        <w:t>Borrower in connection with the business of the Company and/or any of its Subsidiaries, in each case made available by an Ancillary Lender in accordance with Section 2.30.</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Facility Document</w:t>
      </w:r>
      <w:r>
        <w:rPr>
          <w:rFonts w:ascii="Arial" w:cs="Arial" w:eastAsia="Arial" w:hAnsi="Arial"/>
          <w:sz w:val="20"/>
          <w:szCs w:val="20"/>
          <w:color w:val="auto"/>
        </w:rPr>
        <w:t>” means, with respect to any Ancillary Facility, each document or instrument between any Ancillary Borrower and the applicable Ancillary Lender thereunder governing such Ancillary Facility.</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Facility Outstandings</w:t>
      </w:r>
      <w:r>
        <w:rPr>
          <w:rFonts w:ascii="Arial" w:cs="Arial" w:eastAsia="Arial" w:hAnsi="Arial"/>
          <w:sz w:val="19"/>
          <w:szCs w:val="19"/>
          <w:color w:val="auto"/>
        </w:rPr>
        <w:t>” means, at any time, with respect to any Ancillary Lender and any Ancillary Facility then in effect, the Dollar Equivalent of the sum of the following amounts outstanding under such Ancillary Facility: (a) the principal amount under each overdraft facility and on-demand short term loan facility (net of any credit balance on any account of any Ancillary Borrower under any Ancillary Facility with the relevant Ancillary Lender to the extent that such credit balance is freely available to be set-off by such Ancillary Lender against liabilities owing by such Ancillary Borrower under such Ancillary Facility); (b) the face amount of each guarantee, bond and letter of credit under such Ancillary Facility (net of any cash collateral and otherwise as the maximum liability thereunder is reduced in accordance with its terms and by calls thereon which have been satisfied, and excluding any liability in respect of amounts of interest, fees and similar charges); and (c) the amount fairly representing the aggregate exposure (excluding interest, fees and similar charges) of such Ancillary Lender under each other type of accommodation provided under such Ancillary Facility, in each case as determined by such Ancillary Lender, acting reasonably in accordance with its normal banking practice and in accordance with the relevant Ancillary Facility Document.</w:t>
      </w:r>
    </w:p>
    <w:p>
      <w:pPr>
        <w:spacing w:after="0" w:line="18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Lender</w:t>
      </w:r>
      <w:r>
        <w:rPr>
          <w:rFonts w:ascii="Arial" w:cs="Arial" w:eastAsia="Arial" w:hAnsi="Arial"/>
          <w:sz w:val="20"/>
          <w:szCs w:val="20"/>
          <w:color w:val="auto"/>
        </w:rPr>
        <w:t>” means, with respect to any Ancillary Facility, the Lender (or an affiliate of such Lender) that has made (in its sole discretion) such Ancillary Facility available under Section 2.30.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the United States Foreign Corrupt Practices Act of 1977 and the UK Bribery Act.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Account Party</w:t>
      </w:r>
      <w:r>
        <w:rPr>
          <w:rFonts w:ascii="Arial" w:cs="Arial" w:eastAsia="Arial" w:hAnsi="Arial"/>
          <w:sz w:val="20"/>
          <w:szCs w:val="20"/>
          <w:color w:val="auto"/>
        </w:rPr>
        <w:t>” has the meaning assigned to such term in Section 3.1(a).</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Lending Office</w:t>
      </w:r>
      <w:r>
        <w:rPr>
          <w:rFonts w:ascii="Arial" w:cs="Arial" w:eastAsia="Arial" w:hAnsi="Arial"/>
          <w:sz w:val="19"/>
          <w:szCs w:val="19"/>
          <w:color w:val="auto"/>
        </w:rPr>
        <w:t>” means, for any Lender, such Lender’s office, branch or affiliate designated for Eurocurrency Loans denominated in the applicable Currency, ABR Loans, CDI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means, for any day, with respect to any ABR Loan, CDI Loan or Eurocurrency Loan, as the case may be, the applicable rate per annum set forth under the relevant column heading in the Applicable Pricing Grid, based upon the Applicable Rating in effect on such day.</w:t>
      </w:r>
    </w:p>
    <w:p>
      <w:pPr>
        <w:spacing w:after="0" w:line="18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 with respect to (i) any Loan held by, or Facility Fee owed to, a 2020 Non-Extending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Lender and (ii) prior to April 27, 2020, any Loan held by a 2020 Extending Lender (A)</w:t>
      </w:r>
      <w:r>
        <w:rPr>
          <w:rFonts w:ascii="Arial" w:cs="Arial" w:eastAsia="Arial" w:hAnsi="Arial"/>
          <w:sz w:val="18"/>
          <w:szCs w:val="18"/>
          <w:color w:val="0000FF"/>
        </w:rPr>
        <w:t xml:space="preserve"> </w:t>
      </w:r>
      <w:r>
        <w:rPr>
          <w:rFonts w:ascii="Arial" w:cs="Arial" w:eastAsia="Arial" w:hAnsi="Arial"/>
          <w:sz w:val="18"/>
          <w:szCs w:val="18"/>
          <w:color w:val="000000"/>
        </w:rPr>
        <w:t>in the case of any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such</w:t>
      </w:r>
      <w:r>
        <w:rPr>
          <w:rFonts w:ascii="Arial" w:cs="Arial" w:eastAsia="Arial" w:hAnsi="Arial"/>
          <w:sz w:val="18"/>
          <w:szCs w:val="18"/>
          <w:color w:val="0000FF"/>
        </w:rPr>
        <w:t xml:space="preserve"> </w:t>
      </w:r>
      <w:r>
        <w:rPr>
          <w:rFonts w:ascii="Arial" w:cs="Arial" w:eastAsia="Arial" w:hAnsi="Arial"/>
          <w:sz w:val="18"/>
          <w:szCs w:val="18"/>
          <w:color w:val="000000"/>
        </w:rPr>
        <w:t>Loan (other than a CDI Loan)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Facility Fee,</w:t>
      </w:r>
      <w:r>
        <w:rPr>
          <w:rFonts w:ascii="Arial" w:cs="Arial" w:eastAsia="Arial" w:hAnsi="Arial"/>
          <w:sz w:val="18"/>
          <w:szCs w:val="18"/>
          <w:color w:val="0000FF"/>
        </w:rPr>
        <w:t xml:space="preserve"> </w:t>
      </w:r>
      <w:r>
        <w:rPr>
          <w:rFonts w:ascii="Arial" w:cs="Arial" w:eastAsia="Arial" w:hAnsi="Arial"/>
          <w:sz w:val="18"/>
          <w:szCs w:val="18"/>
          <w:color w:val="000000"/>
        </w:rPr>
        <w:t>the table set forth</w:t>
      </w:r>
      <w:r>
        <w:rPr>
          <w:rFonts w:ascii="Arial" w:cs="Arial" w:eastAsia="Arial" w:hAnsi="Arial"/>
          <w:sz w:val="18"/>
          <w:szCs w:val="18"/>
          <w:color w:val="0000FF"/>
        </w:rPr>
        <w:t xml:space="preserve"> </w:t>
      </w:r>
      <w:r>
        <w:rPr>
          <w:rFonts w:ascii="Arial" w:cs="Arial" w:eastAsia="Arial" w:hAnsi="Arial"/>
          <w:sz w:val="18"/>
          <w:szCs w:val="18"/>
          <w:color w:val="FF0000"/>
          <w:strike w:val="1"/>
        </w:rPr>
        <w:t>on</w:t>
      </w:r>
      <w:r>
        <w:rPr>
          <w:rFonts w:ascii="Arial" w:cs="Arial" w:eastAsia="Arial" w:hAnsi="Arial"/>
          <w:sz w:val="18"/>
          <w:szCs w:val="18"/>
          <w:u w:val="single" w:color="auto"/>
          <w:color w:val="0000FF"/>
        </w:rPr>
        <w:t>in Part A of</w:t>
      </w:r>
      <w:r>
        <w:rPr>
          <w:rFonts w:ascii="Arial" w:cs="Arial" w:eastAsia="Arial" w:hAnsi="Arial"/>
          <w:sz w:val="18"/>
          <w:szCs w:val="18"/>
          <w:color w:val="0000FF"/>
        </w:rPr>
        <w:t xml:space="preserve"> </w:t>
      </w:r>
      <w:r>
        <w:rPr>
          <w:rFonts w:ascii="Arial" w:cs="Arial" w:eastAsia="Arial" w:hAnsi="Arial"/>
          <w:sz w:val="18"/>
          <w:szCs w:val="18"/>
          <w:color w:val="000000"/>
        </w:rPr>
        <w:t>Schedule 1.1C and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000000"/>
        </w:rPr>
        <w:t>) in the case of any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such</w:t>
      </w:r>
      <w:r>
        <w:rPr>
          <w:rFonts w:ascii="Arial" w:cs="Arial" w:eastAsia="Arial" w:hAnsi="Arial"/>
          <w:sz w:val="18"/>
          <w:szCs w:val="18"/>
          <w:color w:val="0000FF"/>
        </w:rPr>
        <w:t xml:space="preserve"> </w:t>
      </w:r>
      <w:r>
        <w:rPr>
          <w:rFonts w:ascii="Arial" w:cs="Arial" w:eastAsia="Arial" w:hAnsi="Arial"/>
          <w:sz w:val="18"/>
          <w:szCs w:val="18"/>
          <w:color w:val="000000"/>
        </w:rPr>
        <w:t>CDI Loan, the table set forth in Exhibit 3.2</w:t>
      </w:r>
      <w:r>
        <w:rPr>
          <w:rFonts w:ascii="Arial" w:cs="Arial" w:eastAsia="Arial" w:hAnsi="Arial"/>
          <w:sz w:val="18"/>
          <w:szCs w:val="18"/>
          <w:color w:val="0000FF"/>
        </w:rPr>
        <w:t xml:space="preserve"> </w:t>
      </w:r>
      <w:r>
        <w:rPr>
          <w:rFonts w:ascii="Arial" w:cs="Arial" w:eastAsia="Arial" w:hAnsi="Arial"/>
          <w:sz w:val="18"/>
          <w:szCs w:val="18"/>
          <w:color w:val="000000"/>
        </w:rPr>
        <w:t xml:space="preserve">in the applicable Brazilian Bank Certificate </w:t>
      </w:r>
      <w:r>
        <w:rPr>
          <w:rFonts w:ascii="Arial" w:cs="Arial" w:eastAsia="Arial" w:hAnsi="Arial"/>
          <w:sz w:val="18"/>
          <w:szCs w:val="18"/>
          <w:u w:val="single" w:color="auto"/>
          <w:color w:val="0000FF"/>
        </w:rPr>
        <w:t>and (b) (i) with respect to any Facility Fee owed to a 2020 Extending Lender and (ii) on and after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April 27, 2020, with respect to any Loan held by a 2020 Extending Lender, the table set forth in Part B of Schedule 1.1C</w:t>
      </w:r>
      <w:r>
        <w:rPr>
          <w:rFonts w:ascii="Arial" w:cs="Arial" w:eastAsia="Arial" w:hAnsi="Arial"/>
          <w:sz w:val="18"/>
          <w:szCs w:val="18"/>
          <w:color w:val="000000"/>
        </w:rPr>
        <w:t>.</w:t>
      </w:r>
    </w:p>
    <w:p>
      <w:pPr>
        <w:sectPr>
          <w:pgSz w:w="11900" w:h="16838" w:orient="portrait"/>
          <w:cols w:equalWidth="0" w:num="1">
            <w:col w:w="11240"/>
          </w:cols>
          <w:pgMar w:left="320" w:top="568" w:right="339" w:bottom="1440" w:gutter="0" w:footer="0" w:header="0"/>
        </w:sectPr>
      </w:pPr>
    </w:p>
    <w:bookmarkStart w:id="62" w:name="page63"/>
    <w:bookmarkEnd w:id="62"/>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Rating</w:t>
      </w:r>
      <w:r>
        <w:rPr>
          <w:rFonts w:ascii="Arial" w:cs="Arial" w:eastAsia="Arial" w:hAnsi="Arial"/>
          <w:sz w:val="20"/>
          <w:szCs w:val="20"/>
          <w:color w:val="auto"/>
        </w:rPr>
        <w:t xml:space="preserve">” means the Index Debt Rating; </w:t>
      </w:r>
      <w:r>
        <w:rPr>
          <w:rFonts w:ascii="Arial" w:cs="Arial" w:eastAsia="Arial" w:hAnsi="Arial"/>
          <w:sz w:val="20"/>
          <w:szCs w:val="20"/>
          <w:u w:val="single" w:color="auto"/>
          <w:color w:val="auto"/>
        </w:rPr>
        <w:t>provided</w:t>
      </w:r>
      <w:r>
        <w:rPr>
          <w:rFonts w:ascii="Arial" w:cs="Arial" w:eastAsia="Arial" w:hAnsi="Arial"/>
          <w:sz w:val="20"/>
          <w:szCs w:val="20"/>
          <w:color w:val="auto"/>
        </w:rPr>
        <w:t>, that in the event the Company has obtained or maintained a Facility Rating from at least two of Moody’s, S&amp;P or Fitch, the “Applicable Rating” shall be the Facility Rating in effect at any time of determination.</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Application</w:t>
      </w:r>
      <w:r>
        <w:rPr>
          <w:rFonts w:ascii="Arial" w:cs="Arial" w:eastAsia="Arial" w:hAnsi="Arial"/>
          <w:sz w:val="20"/>
          <w:szCs w:val="20"/>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has the meaning assigned to such term in Section 10.2(b).</w:t>
      </w:r>
    </w:p>
    <w:p>
      <w:pPr>
        <w:spacing w:after="0" w:line="216"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revolving bank loans and similar revolving extensions of credit in the ordinary course and that is administered or managed by (a) a Lender,</w:t>
      </w:r>
    </w:p>
    <w:p>
      <w:pPr>
        <w:spacing w:after="0" w:line="1" w:lineRule="exact"/>
        <w:rPr>
          <w:sz w:val="20"/>
          <w:szCs w:val="20"/>
          <w:color w:val="auto"/>
        </w:rPr>
      </w:pPr>
    </w:p>
    <w:p>
      <w:pPr>
        <w:ind w:left="1300" w:right="2820" w:hanging="1292"/>
        <w:spacing w:after="0" w:line="456" w:lineRule="auto"/>
        <w:tabs>
          <w:tab w:leader="none" w:pos="284"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affiliate of a Lender or (c) an entity or an affiliate of an entity that administers or manages a Lender. “</w:t>
      </w:r>
      <w:r>
        <w:rPr>
          <w:rFonts w:ascii="Arial" w:cs="Arial" w:eastAsia="Arial" w:hAnsi="Arial"/>
          <w:sz w:val="20"/>
          <w:szCs w:val="20"/>
          <w:u w:val="single" w:color="auto"/>
          <w:color w:val="auto"/>
        </w:rPr>
        <w:t>Arrangers</w:t>
      </w:r>
      <w:r>
        <w:rPr>
          <w:rFonts w:ascii="Arial" w:cs="Arial" w:eastAsia="Arial" w:hAnsi="Arial"/>
          <w:sz w:val="20"/>
          <w:szCs w:val="20"/>
          <w:color w:val="auto"/>
        </w:rPr>
        <w:t>” has the meaning assigned to such term in Section 9.11.</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has the meaning assigned to such term in Section 10.6(b).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means an Assignment and Assumption, substantially in the form of Exhibit G.</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Multicurrency Commitment</w:t>
      </w:r>
      <w:r>
        <w:rPr>
          <w:rFonts w:ascii="Arial" w:cs="Arial" w:eastAsia="Arial" w:hAnsi="Arial"/>
          <w:sz w:val="20"/>
          <w:szCs w:val="20"/>
          <w:color w:val="auto"/>
        </w:rPr>
        <w:t xml:space="preserve">” means, on any date of determination with respect to any Lender, (a) such Lender’s Multicurrency Commitment in effect on such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its Multicurrency Extensions of Credit on such date.</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xml:space="preserve">” means the exercise of any Write-Down and Conversion Powers by the applicable </w:t>
      </w:r>
      <w:r>
        <w:rPr>
          <w:rFonts w:ascii="Arial" w:cs="Arial" w:eastAsia="Arial" w:hAnsi="Arial"/>
          <w:sz w:val="20"/>
          <w:szCs w:val="20"/>
          <w:color w:val="FF0000"/>
          <w:strike w:val="1"/>
        </w:rPr>
        <w:t>EEA</w:t>
      </w:r>
      <w:r>
        <w:rPr>
          <w:rFonts w:ascii="Arial" w:cs="Arial" w:eastAsia="Arial" w:hAnsi="Arial"/>
          <w:sz w:val="20"/>
          <w:szCs w:val="20"/>
          <w:color w:val="auto"/>
        </w:rPr>
        <w:t xml:space="preserve"> Resolution Authority in respect of any liability of an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xml:space="preserve">” means,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9"/>
          <w:szCs w:val="19"/>
          <w:u w:val="single" w:color="auto"/>
          <w:color w:val="0000FF"/>
        </w:rPr>
        <w:t>, regulation, rule or requirement</w:t>
      </w:r>
      <w:r>
        <w:rPr>
          <w:rFonts w:ascii="Arial" w:cs="Arial" w:eastAsia="Arial" w:hAnsi="Arial"/>
          <w:sz w:val="19"/>
          <w:szCs w:val="19"/>
          <w:color w:val="auto"/>
        </w:rPr>
        <w:t xml:space="preserve"> for such EEA Member Country from time to time which is described in the EU Bail-In Legislation Schedule</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 (b) with respect to the United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“Beneficial Ownership Regulation” means 31 C.F.R. §1010.230.</w:t>
      </w:r>
    </w:p>
    <w:p>
      <w:pPr>
        <w:spacing w:after="0" w:line="216" w:lineRule="exact"/>
        <w:rPr>
          <w:sz w:val="20"/>
          <w:szCs w:val="20"/>
          <w:color w:val="auto"/>
        </w:rPr>
      </w:pPr>
    </w:p>
    <w:p>
      <w:pPr>
        <w:ind w:right="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Benefitted Lender</w:t>
      </w:r>
      <w:r>
        <w:rPr>
          <w:rFonts w:ascii="Arial" w:cs="Arial" w:eastAsia="Arial" w:hAnsi="Arial"/>
          <w:sz w:val="20"/>
          <w:szCs w:val="20"/>
          <w:color w:val="auto"/>
        </w:rPr>
        <w:t>” has the meaning assigned to such term in Section 10.7.</w:t>
      </w:r>
    </w:p>
    <w:p>
      <w:pPr>
        <w:spacing w:after="0" w:line="21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u w:val="single" w:color="auto"/>
          <w:color w:val="0000FF"/>
        </w:rPr>
        <w:t>“BHC Act Affiliate” of a party means an “affiliate” (as such term is defined under, and interpreted in accordance with, 12 U.S.C. 1841(k)) of such party.</w:t>
      </w:r>
    </w:p>
    <w:p>
      <w:pPr>
        <w:sectPr>
          <w:pgSz w:w="11900" w:h="16838" w:orient="portrait"/>
          <w:cols w:equalWidth="0" w:num="1">
            <w:col w:w="11240"/>
          </w:cols>
          <w:pgMar w:left="320" w:top="568" w:right="339" w:bottom="1440" w:gutter="0" w:footer="0" w:header="0"/>
        </w:sectPr>
      </w:pPr>
    </w:p>
    <w:bookmarkStart w:id="63" w:name="page64"/>
    <w:bookmarkEnd w:id="63"/>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(or any successor).</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means the Company, GMB, </w:t>
      </w:r>
      <w:r>
        <w:rPr>
          <w:rFonts w:ascii="Arial" w:cs="Arial" w:eastAsia="Arial" w:hAnsi="Arial"/>
          <w:sz w:val="20"/>
          <w:szCs w:val="20"/>
          <w:color w:val="FF0000"/>
          <w:strike w:val="1"/>
        </w:rPr>
        <w:t>GMGTC,</w:t>
      </w:r>
      <w:r>
        <w:rPr>
          <w:rFonts w:ascii="Arial" w:cs="Arial" w:eastAsia="Arial" w:hAnsi="Arial"/>
          <w:sz w:val="20"/>
          <w:szCs w:val="20"/>
          <w:color w:val="auto"/>
        </w:rPr>
        <w:t xml:space="preserve"> GMF or any other Subsidiary Borrower designated from time to time by the Company until (in the case of any Subsidiary Borrower) such time as such Subsidiary Borrower is removed as a party hereto pursuant to Section 10.1(d).</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Borrower DTTP Filing</w:t>
      </w:r>
      <w:r>
        <w:rPr>
          <w:rFonts w:ascii="Arial" w:cs="Arial" w:eastAsia="Arial" w:hAnsi="Arial"/>
          <w:sz w:val="18"/>
          <w:szCs w:val="18"/>
          <w:color w:val="FF0000"/>
          <w:strike w:val="1"/>
        </w:rPr>
        <w:t>” means an HMRC Form DTTP2, duly completed and filed by the relevant Borrower, which contains the scheme reference number and jurisdiction of tax residence provided by a UK Treaty Lender to the relevant UK Borrower and the Administrative Agent in accordance with Section 2.21(e) and which (a) where it relates to a UK Treaty Lender that is a Lender on the date of this Agreement, contains the scheme reference number and jurisdiction of tax residence stated opposite that Lender’s name in Schedule 1.1A to this Agreement, and (i) where the UK Borrower is a Borrower on the date of this Agreement, is filed with HMRC within 30 days of the date of this Agreement; or (ii) where the UK Borrower becomes a Borrower after the date of this Agreement, is filed with HMRC within 30 days of that date; or (b) where it relates to a UK Treaty Lender that is not a Lender on the date of this Agreement, contains the scheme reference number and jurisdiction of tax residence stated in respect of that Lender in the documentation which it executes on becoming a Lender; and (i) where the UK Borrower is a Borrower as at the date on which that UK Treaty Lender becomes a Lender, is filed with HMRC within 30 days of that date; or (ii) where the UK Borrower is not a Borrower as at the date on which that UK Treaty Lender becomes a Lender, is filed with HMRC within 30 days of the date on which that UK Borrower becomes a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Joinder Agreement</w:t>
      </w:r>
      <w:r>
        <w:rPr>
          <w:rFonts w:ascii="Arial" w:cs="Arial" w:eastAsia="Arial" w:hAnsi="Arial"/>
          <w:sz w:val="20"/>
          <w:szCs w:val="20"/>
          <w:color w:val="auto"/>
        </w:rPr>
        <w:t>” means a joinder agreement substantially in the form of Exhibit H.</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means any Business Day specified by the Company or any Subsidiary Borrower as a date on which the Company or such Subsidiary Borrower requests the relevant Lenders to make Loans hereunder.</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a request by any Borrower for a Domestic Loan, L/C Tranche Loan or Multicurrency Loan, in substantially the form of Exhibit L.</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Administrative Agent</w:t>
      </w:r>
      <w:r>
        <w:rPr>
          <w:rFonts w:ascii="Arial" w:cs="Arial" w:eastAsia="Arial" w:hAnsi="Arial"/>
          <w:sz w:val="20"/>
          <w:szCs w:val="20"/>
          <w:color w:val="auto"/>
        </w:rPr>
        <w:t>” has the meaning assigned to such term in the preamble hereto.</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Bank Certificate</w:t>
      </w:r>
      <w:r>
        <w:rPr>
          <w:rFonts w:ascii="Arial" w:cs="Arial" w:eastAsia="Arial" w:hAnsi="Arial"/>
          <w:sz w:val="20"/>
          <w:szCs w:val="20"/>
          <w:color w:val="auto"/>
        </w:rPr>
        <w:t>” means each bank credit certificate, issued by any Brazilian Subsidiary Borrower in favor of any Brazilian Lender pursuant to which such Brazilian Lender agrees to make Brazilian Loans.</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Brazilian Commitment</w:t>
      </w:r>
      <w:r>
        <w:rPr>
          <w:rFonts w:ascii="Arial" w:cs="Arial" w:eastAsia="Arial" w:hAnsi="Arial"/>
          <w:sz w:val="19"/>
          <w:szCs w:val="19"/>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 changed from time to time pursuant to the terms hereof. The aggregate principal amount in Brazilian Reais of the Brazilian Commitment shall be (i) calculated based on the Real/U.S. Dollars exchange rate, expressed as the amount of Reais for conversion into Dollars as reported by the Central Bank of Brazil and on its website (which, at the date hereof, is located at http://www.bcb.gov.br/?txcambio), under transaction “Cotações e Boletins” option “Cotações de fechamento de todas as moedas em uma data”, “Venda” (or any successor screen established by the Central Bank of Brazil) (such rate, the “PTAX”) on each valuation date of the exchange rates; (ii) the Brazilian Commitment shall be updated every quarter as</w:t>
      </w:r>
    </w:p>
    <w:p>
      <w:pPr>
        <w:sectPr>
          <w:pgSz w:w="11900" w:h="16838" w:orient="portrait"/>
          <w:cols w:equalWidth="0" w:num="1">
            <w:col w:w="11240"/>
          </w:cols>
          <w:pgMar w:left="320" w:top="568" w:right="339" w:bottom="1440" w:gutter="0" w:footer="0" w:header="0"/>
        </w:sectPr>
      </w:pPr>
    </w:p>
    <w:bookmarkStart w:id="64" w:name="page65"/>
    <w:bookmarkEnd w:id="64"/>
    <w:p>
      <w:pPr>
        <w:jc w:val="both"/>
        <w:spacing w:after="0" w:line="243" w:lineRule="auto"/>
        <w:rPr>
          <w:sz w:val="20"/>
          <w:szCs w:val="20"/>
          <w:color w:val="auto"/>
        </w:rPr>
      </w:pPr>
      <w:r>
        <w:rPr>
          <w:rFonts w:ascii="Arial" w:cs="Arial" w:eastAsia="Arial" w:hAnsi="Arial"/>
          <w:sz w:val="20"/>
          <w:szCs w:val="20"/>
          <w:color w:val="auto"/>
        </w:rPr>
        <w:t>of the issuance date of each Brazilian Bank Certificate based on the exchange rate above available on the Business Day prior to the date of issuance of a written amendment to the respective Brazilian Bank Certificate and (iii) 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GMB in its sole discretion shall be applied. Notwithstanding the foregoing, if such rate cannot be determined, the conversion rate shall be jointly defined by GMB and the Brazilian Lenders.</w:t>
      </w:r>
    </w:p>
    <w:p>
      <w:pPr>
        <w:spacing w:after="0" w:line="19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Extensions of Credit</w:t>
      </w:r>
      <w:r>
        <w:rPr>
          <w:rFonts w:ascii="Arial" w:cs="Arial" w:eastAsia="Arial" w:hAnsi="Arial"/>
          <w:sz w:val="20"/>
          <w:szCs w:val="20"/>
          <w:color w:val="auto"/>
        </w:rPr>
        <w:t>” means, as to any Brazilian Lender at any time, an amount equal to the Dollar Equivalent of the aggregate principal amount of all Brazilian Loans held by such Lender then outstanding.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Facility</w:t>
      </w:r>
      <w:r>
        <w:rPr>
          <w:rFonts w:ascii="Arial" w:cs="Arial" w:eastAsia="Arial" w:hAnsi="Arial"/>
          <w:sz w:val="20"/>
          <w:szCs w:val="20"/>
          <w:color w:val="auto"/>
        </w:rPr>
        <w:t>” means the Brazilian Commitments and the extensions of credit made thereunder.</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Intercreditor Agreement</w:t>
      </w:r>
      <w:r>
        <w:rPr>
          <w:rFonts w:ascii="Arial" w:cs="Arial" w:eastAsia="Arial" w:hAnsi="Arial"/>
          <w:sz w:val="20"/>
          <w:szCs w:val="20"/>
          <w:color w:val="auto"/>
        </w:rPr>
        <w:t>” means that certain third amended and restated intercreditor agreement, dated as of the date hereof, among the Brazilian Administrative Agent and the Brazilian Lenders.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Lender</w:t>
      </w:r>
      <w:r>
        <w:rPr>
          <w:rFonts w:ascii="Arial" w:cs="Arial" w:eastAsia="Arial" w:hAnsi="Arial"/>
          <w:sz w:val="20"/>
          <w:szCs w:val="20"/>
          <w:color w:val="auto"/>
        </w:rPr>
        <w:t>” means each Lender that has a Brazilian Commitment or that holds Brazilian Loans.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Loans</w:t>
      </w:r>
      <w:r>
        <w:rPr>
          <w:rFonts w:ascii="Arial" w:cs="Arial" w:eastAsia="Arial" w:hAnsi="Arial"/>
          <w:sz w:val="20"/>
          <w:szCs w:val="20"/>
          <w:color w:val="auto"/>
        </w:rPr>
        <w:t>” has the meaning assigned to such term in Section 2.5(a).</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Percentage</w:t>
      </w:r>
      <w:r>
        <w:rPr>
          <w:rFonts w:ascii="Arial" w:cs="Arial" w:eastAsia="Arial" w:hAnsi="Arial"/>
          <w:sz w:val="20"/>
          <w:szCs w:val="20"/>
          <w:color w:val="auto"/>
        </w:rPr>
        <w:t>” means as to any Brazilian Lender at any time, the percentage which such Lender’s Brazilian Commitment then constitutes of the aggregate amount of the Brazilian Commitments then in effect or, at any time after the Brazilian Commitments shall have expired or 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Reais</w:t>
      </w:r>
      <w:r>
        <w:rPr>
          <w:rFonts w:ascii="Arial" w:cs="Arial" w:eastAsia="Arial" w:hAnsi="Arial"/>
          <w:sz w:val="20"/>
          <w:szCs w:val="20"/>
          <w:color w:val="auto"/>
        </w:rPr>
        <w:t>” and “</w:t>
      </w:r>
      <w:r>
        <w:rPr>
          <w:rFonts w:ascii="Arial" w:cs="Arial" w:eastAsia="Arial" w:hAnsi="Arial"/>
          <w:sz w:val="20"/>
          <w:szCs w:val="20"/>
          <w:u w:val="single" w:color="auto"/>
          <w:color w:val="auto"/>
        </w:rPr>
        <w:t>R$</w:t>
      </w:r>
      <w:r>
        <w:rPr>
          <w:rFonts w:ascii="Arial" w:cs="Arial" w:eastAsia="Arial" w:hAnsi="Arial"/>
          <w:sz w:val="20"/>
          <w:szCs w:val="20"/>
          <w:color w:val="auto"/>
        </w:rPr>
        <w:t>” mean the lawful currency of the Federative Republic of Brazil.</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Brazilian Subsidiary</w:t>
      </w:r>
      <w:r>
        <w:rPr>
          <w:rFonts w:ascii="Arial" w:cs="Arial" w:eastAsia="Arial" w:hAnsi="Arial"/>
          <w:sz w:val="19"/>
          <w:szCs w:val="19"/>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70"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Subsidiary Borrower</w:t>
      </w:r>
      <w:r>
        <w:rPr>
          <w:rFonts w:ascii="Arial" w:cs="Arial" w:eastAsia="Arial" w:hAnsi="Arial"/>
          <w:sz w:val="20"/>
          <w:szCs w:val="20"/>
          <w:color w:val="auto"/>
        </w:rPr>
        <w:t>” means GMB and any Subsidiary Borrower that is a Subsidiary of GMF or GMB and which is a Brazilian Subsidiary.</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other than a Saturday, Sunday or other day on which banks in New York City and, solely in connection with matters relating to the Brazilian Lenders, São Paulo and São Caetano do Sul, both in the State of São Paulo, Brazil, are permitted to close;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when used in connection with (a) a Eurocurrency Loan or Ancillary Facility, the term “Business Day” shall also exclude any day on which banks are not open for dealings in Dollar deposits or deposits in any Optional Currency (or in the case of any Ancillary Facility, any other applicable currency), as applicable, in the</w:t>
      </w:r>
    </w:p>
    <w:p>
      <w:pPr>
        <w:sectPr>
          <w:pgSz w:w="11900" w:h="16838" w:orient="portrait"/>
          <w:cols w:equalWidth="0" w:num="1">
            <w:col w:w="11240"/>
          </w:cols>
          <w:pgMar w:left="320" w:top="568" w:right="339" w:bottom="1440" w:gutter="0" w:footer="0" w:header="0"/>
        </w:sectPr>
      </w:pPr>
    </w:p>
    <w:bookmarkStart w:id="65" w:name="page66"/>
    <w:bookmarkEnd w:id="65"/>
    <w:p>
      <w:pPr>
        <w:jc w:val="both"/>
        <w:ind w:firstLine="1296"/>
        <w:spacing w:after="0" w:line="263" w:lineRule="auto"/>
        <w:rPr>
          <w:sz w:val="20"/>
          <w:szCs w:val="20"/>
          <w:color w:val="auto"/>
        </w:rPr>
      </w:pPr>
      <w:r>
        <w:rPr>
          <w:rFonts w:ascii="Arial" w:cs="Arial" w:eastAsia="Arial" w:hAnsi="Arial"/>
          <w:sz w:val="19"/>
          <w:szCs w:val="19"/>
          <w:color w:val="FF0000"/>
          <w:strike w:val="1"/>
        </w:rPr>
        <w:t>I</w:t>
      </w:r>
      <w:r>
        <w:rPr>
          <w:rFonts w:ascii="Arial" w:cs="Arial" w:eastAsia="Arial" w:hAnsi="Arial"/>
          <w:sz w:val="19"/>
          <w:szCs w:val="19"/>
          <w:u w:val="single" w:color="auto"/>
          <w:color w:val="0000FF"/>
        </w:rPr>
        <w:t>i</w:t>
      </w:r>
      <w:r>
        <w:rPr>
          <w:rFonts w:ascii="Arial" w:cs="Arial" w:eastAsia="Arial" w:hAnsi="Arial"/>
          <w:sz w:val="19"/>
          <w:szCs w:val="19"/>
          <w:color w:val="000000"/>
        </w:rPr>
        <w:t>nterbank market, (b) an extension of credit denominated in Euros (including under any Ancillary Facility), the term</w:t>
      </w:r>
      <w:r>
        <w:rPr>
          <w:rFonts w:ascii="Arial" w:cs="Arial" w:eastAsia="Arial" w:hAnsi="Arial"/>
          <w:sz w:val="19"/>
          <w:szCs w:val="19"/>
          <w:color w:val="FF0000"/>
        </w:rPr>
        <w:t xml:space="preserve"> </w:t>
      </w:r>
      <w:r>
        <w:rPr>
          <w:rFonts w:ascii="Arial" w:cs="Arial" w:eastAsia="Arial" w:hAnsi="Arial"/>
          <w:sz w:val="19"/>
          <w:szCs w:val="19"/>
          <w:color w:val="000000"/>
        </w:rPr>
        <w:t>“Business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6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CDI</w:t>
      </w:r>
      <w:r>
        <w:rPr>
          <w:rFonts w:ascii="Arial" w:cs="Arial" w:eastAsia="Arial" w:hAnsi="Arial"/>
          <w:sz w:val="20"/>
          <w:szCs w:val="20"/>
          <w:color w:val="auto"/>
        </w:rPr>
        <w:t>” means the daily average rate of the DI – Depósitos Interfinanceiros de um dia, “over extra-grupo”, expressed in the form of a percentage per annum, based upon 252 business days, calculated and published daily by the B3 S.A. – Brasil, Bolsa, Balcão, at the website http://www.cetip.com.br.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CDI Loans</w:t>
      </w:r>
      <w:r>
        <w:rPr>
          <w:rFonts w:ascii="Arial" w:cs="Arial" w:eastAsia="Arial" w:hAnsi="Arial"/>
          <w:sz w:val="20"/>
          <w:szCs w:val="20"/>
          <w:color w:val="auto"/>
        </w:rPr>
        <w:t>” means Loans the rate of interest applicable to which is based upon the CDI.</w:t>
      </w:r>
    </w:p>
    <w:p>
      <w:pPr>
        <w:spacing w:after="0" w:line="21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w:t>
      </w:r>
    </w:p>
    <w:p>
      <w:pPr>
        <w:spacing w:after="0" w:line="1" w:lineRule="exact"/>
        <w:rPr>
          <w:sz w:val="20"/>
          <w:szCs w:val="20"/>
          <w:color w:val="auto"/>
        </w:rPr>
      </w:pPr>
    </w:p>
    <w:p>
      <w:pPr>
        <w:jc w:val="both"/>
        <w:ind w:firstLine="8"/>
        <w:spacing w:after="0" w:line="254" w:lineRule="auto"/>
        <w:tabs>
          <w:tab w:leader="none" w:pos="274"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compliance by any Lender or Issuing Lender (or, for purposes of Section 2.20,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Tax Law</w:t>
      </w:r>
      <w:r>
        <w:rPr>
          <w:rFonts w:ascii="Arial" w:cs="Arial" w:eastAsia="Arial" w:hAnsi="Arial"/>
          <w:sz w:val="20"/>
          <w:szCs w:val="20"/>
          <w:color w:val="auto"/>
        </w:rPr>
        <w:t>” has the meaning assigned to such term in Section 2.21(a).</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the occurrence of any of the following events: (a) any “</w:t>
      </w:r>
      <w:r>
        <w:rPr>
          <w:rFonts w:ascii="Arial" w:cs="Arial" w:eastAsia="Arial" w:hAnsi="Arial"/>
          <w:sz w:val="20"/>
          <w:szCs w:val="20"/>
          <w:u w:val="single" w:color="auto"/>
          <w:color w:val="auto"/>
        </w:rPr>
        <w:t>person</w:t>
      </w:r>
      <w:r>
        <w:rPr>
          <w:rFonts w:ascii="Arial" w:cs="Arial" w:eastAsia="Arial" w:hAnsi="Arial"/>
          <w:sz w:val="20"/>
          <w:szCs w:val="20"/>
          <w:color w:val="auto"/>
        </w:rPr>
        <w:t>” or “</w:t>
      </w:r>
      <w:r>
        <w:rPr>
          <w:rFonts w:ascii="Arial" w:cs="Arial" w:eastAsia="Arial" w:hAnsi="Arial"/>
          <w:sz w:val="20"/>
          <w:szCs w:val="20"/>
          <w:u w:val="single" w:color="auto"/>
          <w:color w:val="auto"/>
        </w:rPr>
        <w:t>group</w:t>
      </w:r>
      <w:r>
        <w:rPr>
          <w:rFonts w:ascii="Arial" w:cs="Arial" w:eastAsia="Arial" w:hAnsi="Arial"/>
          <w:sz w:val="20"/>
          <w:szCs w:val="20"/>
          <w:color w:val="auto"/>
        </w:rPr>
        <w:t>” (as such terms are used in Sections 13(d) and 14(d) of the Exchange Act) shall become, or obtain rights (whether by means of warrants, options or otherwise) to become, the “</w:t>
      </w:r>
      <w:r>
        <w:rPr>
          <w:rFonts w:ascii="Arial" w:cs="Arial" w:eastAsia="Arial" w:hAnsi="Arial"/>
          <w:sz w:val="20"/>
          <w:szCs w:val="20"/>
          <w:u w:val="single" w:color="auto"/>
          <w:color w:val="auto"/>
        </w:rPr>
        <w:t>beneficial owner</w:t>
      </w:r>
      <w:r>
        <w:rPr>
          <w:rFonts w:ascii="Arial" w:cs="Arial" w:eastAsia="Arial" w:hAnsi="Arial"/>
          <w:sz w:val="20"/>
          <w:szCs w:val="20"/>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9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w:t>
      </w:r>
      <w:r>
        <w:rPr>
          <w:rFonts w:ascii="Arial" w:cs="Arial" w:eastAsia="Arial" w:hAnsi="Arial"/>
          <w:sz w:val="20"/>
          <w:szCs w:val="20"/>
          <w:color w:val="auto"/>
        </w:rPr>
        <w:t>” means any person that is primarily engaged in the issuance of securities based on, collateralized by or otherwise backed by one or more pools of assets consisting primarily of bank loans.</w:t>
      </w:r>
    </w:p>
    <w:p>
      <w:pPr>
        <w:sectPr>
          <w:pgSz w:w="11900" w:h="16838" w:orient="portrait"/>
          <w:cols w:equalWidth="0" w:num="1">
            <w:col w:w="11240"/>
          </w:cols>
          <w:pgMar w:left="320" w:top="568" w:right="339" w:bottom="1440" w:gutter="0" w:footer="0" w:header="0"/>
        </w:sectPr>
      </w:pPr>
    </w:p>
    <w:bookmarkStart w:id="66" w:name="page67"/>
    <w:bookmarkEnd w:id="66"/>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on which the conditions precedent set forth in Section 5.1 shall have been satisfied, which date is April 18, 2018.</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Co-Syndication Agent</w:t>
      </w:r>
      <w:r>
        <w:rPr>
          <w:rFonts w:ascii="Arial" w:cs="Arial" w:eastAsia="Arial" w:hAnsi="Arial"/>
          <w:sz w:val="20"/>
          <w:szCs w:val="20"/>
          <w:color w:val="auto"/>
        </w:rPr>
        <w:t>” has the meaning assigned to such term in the preamble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w:t>
      </w:r>
      <w:r>
        <w:rPr>
          <w:rFonts w:ascii="Arial" w:cs="Arial" w:eastAsia="Arial" w:hAnsi="Arial"/>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individually and collectively, the Brazilian Commitments, the Domestic Commitments, the L/C Tranche Commitments and the Multicurrency Commitments. To the extent any Incremental Facility or New Local Facility is established, the “Commitments” shall, to the extent appropriate, include commitments under such Facilities.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Increase</w:t>
      </w:r>
      <w:r>
        <w:rPr>
          <w:rFonts w:ascii="Arial" w:cs="Arial" w:eastAsia="Arial" w:hAnsi="Arial"/>
          <w:sz w:val="20"/>
          <w:szCs w:val="20"/>
          <w:color w:val="auto"/>
        </w:rPr>
        <w:t>” has the meaning assigned to such term in Section 2.28(a).</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Increase Date</w:t>
      </w:r>
      <w:r>
        <w:rPr>
          <w:rFonts w:ascii="Arial" w:cs="Arial" w:eastAsia="Arial" w:hAnsi="Arial"/>
          <w:sz w:val="20"/>
          <w:szCs w:val="20"/>
          <w:color w:val="auto"/>
        </w:rPr>
        <w:t>” means, as to any Commitment Increase, the date (which shall be a Business Day) specified in the related Incremental Loan Activation Notice as the date on which such Commitment Increase shall be effective.</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Period</w:t>
      </w:r>
      <w:r>
        <w:rPr>
          <w:rFonts w:ascii="Arial" w:cs="Arial" w:eastAsia="Arial" w:hAnsi="Arial"/>
          <w:sz w:val="19"/>
          <w:szCs w:val="19"/>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the other Loan Documents or the Brazilian Intercreditor Agreement.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assigned to such term in the preamble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Competitive Bid</w:t>
      </w:r>
      <w:r>
        <w:rPr>
          <w:rFonts w:ascii="Arial" w:cs="Arial" w:eastAsia="Arial" w:hAnsi="Arial"/>
          <w:sz w:val="20"/>
          <w:szCs w:val="20"/>
          <w:color w:val="auto"/>
        </w:rPr>
        <w:t>” means an offer by a Lender to make a Competitive Loan in accordance with Section 2.9.</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Competitive Bid Accept/Reject Letter</w:t>
      </w:r>
      <w:r>
        <w:rPr>
          <w:rFonts w:ascii="Arial" w:cs="Arial" w:eastAsia="Arial" w:hAnsi="Arial"/>
          <w:sz w:val="20"/>
          <w:szCs w:val="20"/>
          <w:color w:val="auto"/>
        </w:rPr>
        <w:t>” means a notification made by the Company pursuant to Section 2.9, substantially in the form of Exhibit D.</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Competitive Bid Rate</w:t>
      </w:r>
      <w:r>
        <w:rPr>
          <w:rFonts w:ascii="Arial" w:cs="Arial" w:eastAsia="Arial" w:hAnsi="Arial"/>
          <w:sz w:val="20"/>
          <w:szCs w:val="20"/>
          <w:color w:val="auto"/>
        </w:rPr>
        <w:t xml:space="preserve">” means, with respect to any Competitive Bid (a) in the case of a Eurocurrency Competitive Loan, the Eurocurrency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minus</w:t>
      </w:r>
      <w:r>
        <w:rPr>
          <w:rFonts w:ascii="Arial" w:cs="Arial" w:eastAsia="Arial" w:hAnsi="Arial"/>
          <w:sz w:val="20"/>
          <w:szCs w:val="20"/>
          <w:color w:val="auto"/>
        </w:rPr>
        <w:t>) the Margin and (b) in the case of a Fixed Rate Loan, the fixed rate of interest per annum, in each case specified by the Lender making such Competitive Loan in its related Competitive Bid.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Competitive Bid Request</w:t>
      </w:r>
      <w:r>
        <w:rPr>
          <w:rFonts w:ascii="Arial" w:cs="Arial" w:eastAsia="Arial" w:hAnsi="Arial"/>
          <w:sz w:val="20"/>
          <w:szCs w:val="20"/>
          <w:color w:val="auto"/>
        </w:rPr>
        <w:t>” means a request made pursuant to Section 2.9, substantially in the form of Exhibit B.</w:t>
      </w:r>
    </w:p>
    <w:p>
      <w:pPr>
        <w:sectPr>
          <w:pgSz w:w="11900" w:h="16838" w:orient="portrait"/>
          <w:cols w:equalWidth="0" w:num="1">
            <w:col w:w="11240"/>
          </w:cols>
          <w:pgMar w:left="320" w:top="568" w:right="339" w:bottom="1440" w:gutter="0" w:footer="0" w:header="0"/>
        </w:sectPr>
      </w:pPr>
    </w:p>
    <w:bookmarkStart w:id="67" w:name="page68"/>
    <w:bookmarkEnd w:id="67"/>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Competitive Loan</w:t>
      </w:r>
      <w:r>
        <w:rPr>
          <w:rFonts w:ascii="Arial" w:cs="Arial" w:eastAsia="Arial" w:hAnsi="Arial"/>
          <w:sz w:val="20"/>
          <w:szCs w:val="20"/>
          <w:color w:val="auto"/>
        </w:rPr>
        <w:t>” means a Loan made pursuant to Section 2.9.</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3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Domestic Liquidity</w:t>
      </w:r>
      <w:r>
        <w:rPr>
          <w:rFonts w:ascii="Arial" w:cs="Arial" w:eastAsia="Arial" w:hAnsi="Arial"/>
          <w:sz w:val="18"/>
          <w:szCs w:val="18"/>
          <w:color w:val="auto"/>
        </w:rPr>
        <w:t xml:space="preserve">” means, as of any date of determination, the sum of (a) the Total Available Commitments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5-Year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Domestic Subsidiary (including any Ancillary Commitments, which may at such time be reallocated to provide availability to the Company or any Domestic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6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Global Liquidity</w:t>
      </w:r>
      <w:r>
        <w:rPr>
          <w:rFonts w:ascii="Arial" w:cs="Arial" w:eastAsia="Arial" w:hAnsi="Arial"/>
          <w:sz w:val="19"/>
          <w:szCs w:val="19"/>
          <w:color w:val="auto"/>
        </w:rPr>
        <w:t xml:space="preserve">” means as of any date of determination, the sum of (a) the Total Available Commitments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5-Year Total Available Commitments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total available commitments (after giving effect to any applicable borrowing base limitations) under other then-effective committed credit facilities of the Company or any of its Subsidiaries (including any Ancillary Commitments available to the Company or any of its Subsidiaries, if applicable)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Tangible Assets</w:t>
      </w:r>
      <w:r>
        <w:rPr>
          <w:rFonts w:ascii="Arial" w:cs="Arial" w:eastAsia="Arial" w:hAnsi="Arial"/>
          <w:sz w:val="20"/>
          <w:szCs w:val="20"/>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91"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3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w:t>
      </w:r>
      <w:r>
        <w:rPr>
          <w:rFonts w:ascii="Arial" w:cs="Arial" w:eastAsia="Arial" w:hAnsi="Arial"/>
          <w:sz w:val="20"/>
          <w:szCs w:val="20"/>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200" w:lineRule="exact"/>
        <w:rPr>
          <w:sz w:val="20"/>
          <w:szCs w:val="20"/>
          <w:color w:val="auto"/>
        </w:rPr>
      </w:pP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“Covered Entity” means any of the following:</w:t>
      </w:r>
    </w:p>
    <w:p>
      <w:pPr>
        <w:spacing w:after="0" w:line="229"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20"/>
          <w:szCs w:val="20"/>
          <w:u w:val="single" w:color="auto"/>
          <w:color w:val="0000FF"/>
        </w:rPr>
        <w:t>(i)</w:t>
      </w:r>
      <w:r>
        <w:rPr>
          <w:sz w:val="20"/>
          <w:szCs w:val="20"/>
          <w:color w:val="auto"/>
        </w:rPr>
        <w:tab/>
      </w:r>
      <w:r>
        <w:rPr>
          <w:rFonts w:ascii="Arial" w:cs="Arial" w:eastAsia="Arial" w:hAnsi="Arial"/>
          <w:sz w:val="18"/>
          <w:szCs w:val="18"/>
          <w:u w:val="single" w:color="auto"/>
          <w:color w:val="0000FF"/>
        </w:rPr>
        <w:t>a “covered entity” as that term is defined in, and interpreted in accordance with, 12 C.F.R. § 252.82(b);</w:t>
      </w:r>
    </w:p>
    <w:p>
      <w:pPr>
        <w:sectPr>
          <w:pgSz w:w="11900" w:h="16838" w:orient="portrait"/>
          <w:cols w:equalWidth="0" w:num="1">
            <w:col w:w="11240"/>
          </w:cols>
          <w:pgMar w:left="320" w:top="568" w:right="339" w:bottom="1440" w:gutter="0" w:footer="0" w:header="0"/>
        </w:sectPr>
      </w:pPr>
    </w:p>
    <w:bookmarkStart w:id="68" w:name="page69"/>
    <w:bookmarkEnd w:id="68"/>
    <w:p>
      <w:pPr>
        <w:ind w:left="1740" w:hanging="436"/>
        <w:spacing w:after="0"/>
        <w:tabs>
          <w:tab w:leader="none" w:pos="1740" w:val="left"/>
        </w:tabs>
        <w:numPr>
          <w:ilvl w:val="0"/>
          <w:numId w:val="1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 “covered bank” as that term is defined in, and interpreted in accordance with, 12 C.F.R. § 47.3(b); or</w:t>
      </w:r>
    </w:p>
    <w:p>
      <w:pPr>
        <w:spacing w:after="0" w:line="229" w:lineRule="exact"/>
        <w:rPr>
          <w:rFonts w:ascii="Arial" w:cs="Arial" w:eastAsia="Arial" w:hAnsi="Arial"/>
          <w:sz w:val="20"/>
          <w:szCs w:val="20"/>
          <w:u w:val="single" w:color="auto"/>
          <w:color w:val="0000FF"/>
        </w:rPr>
      </w:pPr>
    </w:p>
    <w:p>
      <w:pPr>
        <w:ind w:left="1300" w:right="1560" w:firstLine="4"/>
        <w:spacing w:after="0" w:line="464" w:lineRule="auto"/>
        <w:tabs>
          <w:tab w:leader="none" w:pos="1794" w:val="left"/>
        </w:tabs>
        <w:numPr>
          <w:ilvl w:val="0"/>
          <w:numId w:val="1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 “covered FSI” as that term is defined in, and interpreted in accordance with, 12 C.F.R. § 382.2(b). “Covered Party” has the meaning assigned to it in Section 10.21.</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Currency</w:t>
      </w:r>
      <w:r>
        <w:rPr>
          <w:rFonts w:ascii="Arial" w:cs="Arial" w:eastAsia="Arial" w:hAnsi="Arial"/>
          <w:sz w:val="20"/>
          <w:szCs w:val="20"/>
          <w:color w:val="auto"/>
        </w:rPr>
        <w:t>” means Dollars or any Optional Currency.</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w:t>
      </w:r>
      <w:r>
        <w:rPr>
          <w:rFonts w:ascii="Arial" w:cs="Arial" w:eastAsia="Arial" w:hAnsi="Arial"/>
          <w:sz w:val="20"/>
          <w:szCs w:val="20"/>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of the events specified in Section 8, whether or not any requirement for the giving of notice, the lapse of time, or both, has been satisfied.</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“Default Right” has the meaning assigned to that term in, and shall be interpreted in accordance with, 12 C.F.R. §§ 252.81, 47.2 or 382.1, as applicable.</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Letters of Credit</w:t>
      </w:r>
      <w:r>
        <w:rPr>
          <w:rFonts w:ascii="Arial" w:cs="Arial" w:eastAsia="Arial" w:hAnsi="Arial"/>
          <w:sz w:val="20"/>
          <w:szCs w:val="20"/>
          <w:color w:val="auto"/>
        </w:rPr>
        <w:t>” has the meaning assigned to such term in Section 3.11(b).</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Principal Trade Name</w:t>
      </w:r>
      <w:r>
        <w:rPr>
          <w:rFonts w:ascii="Arial" w:cs="Arial" w:eastAsia="Arial" w:hAnsi="Arial"/>
          <w:sz w:val="19"/>
          <w:szCs w:val="19"/>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avoidance of doubt, only one Principal Trade Name may be designated as a “Designated Principal Trade Name” during the term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Designation Date</w:t>
      </w:r>
      <w:r>
        <w:rPr>
          <w:rFonts w:ascii="Arial" w:cs="Arial" w:eastAsia="Arial" w:hAnsi="Arial"/>
          <w:sz w:val="20"/>
          <w:szCs w:val="20"/>
          <w:color w:val="auto"/>
        </w:rPr>
        <w:t>” has the meaning assigned to such term in Section 3.11(b).</w:t>
      </w:r>
    </w:p>
    <w:p>
      <w:pPr>
        <w:spacing w:after="0" w:line="21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means, with respect to any property, any sale, transfer or other disposition thereof; and the terms “Dispose” and “Disposed of” shall have correlative meanings;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ectPr>
          <w:pgSz w:w="11900" w:h="16838" w:orient="portrait"/>
          <w:cols w:equalWidth="0" w:num="1">
            <w:col w:w="11240"/>
          </w:cols>
          <w:pgMar w:left="320" w:top="798" w:right="339" w:bottom="1440" w:gutter="0" w:footer="0" w:header="0"/>
        </w:sectPr>
      </w:pPr>
    </w:p>
    <w:bookmarkStart w:id="69" w:name="page70"/>
    <w:bookmarkEnd w:id="69"/>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money of the United States.</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Commitment</w:t>
      </w:r>
      <w:r>
        <w:rPr>
          <w:rFonts w:ascii="Arial" w:cs="Arial" w:eastAsia="Arial" w:hAnsi="Arial"/>
          <w:sz w:val="20"/>
          <w:szCs w:val="20"/>
          <w:color w:val="auto"/>
        </w:rPr>
        <w:t>” means as to any Lender, the obligation of such Lender, if any, to make Domestic Loans in an aggregate principal amount not to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Competitive Loan</w:t>
      </w:r>
      <w:r>
        <w:rPr>
          <w:rFonts w:ascii="Arial" w:cs="Arial" w:eastAsia="Arial" w:hAnsi="Arial"/>
          <w:sz w:val="20"/>
          <w:szCs w:val="20"/>
          <w:color w:val="auto"/>
        </w:rPr>
        <w:t>” means a Competitive Loan made under the Domestic Facility.</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Extensions of Credit</w:t>
      </w:r>
      <w:r>
        <w:rPr>
          <w:rFonts w:ascii="Arial" w:cs="Arial" w:eastAsia="Arial" w:hAnsi="Arial"/>
          <w:sz w:val="20"/>
          <w:szCs w:val="20"/>
          <w:color w:val="auto"/>
        </w:rPr>
        <w:t>” means, as to any Domestic Lender at any time, an amount equal to the aggregate principal amount of all Domestic Loans held by such Lender then outstanding.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Facility</w:t>
      </w:r>
      <w:r>
        <w:rPr>
          <w:rFonts w:ascii="Arial" w:cs="Arial" w:eastAsia="Arial" w:hAnsi="Arial"/>
          <w:sz w:val="20"/>
          <w:szCs w:val="20"/>
          <w:color w:val="auto"/>
        </w:rPr>
        <w:t>” means the Domestic Commitments and the extensions of credit made thereunder.</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Lender</w:t>
      </w:r>
      <w:r>
        <w:rPr>
          <w:rFonts w:ascii="Arial" w:cs="Arial" w:eastAsia="Arial" w:hAnsi="Arial"/>
          <w:sz w:val="20"/>
          <w:szCs w:val="20"/>
          <w:color w:val="auto"/>
        </w:rPr>
        <w:t>” means each Lender that has a Domestic Commitment or that holds Domestic Loans or other Loans made under the Domestic Facility.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Loans</w:t>
      </w:r>
      <w:r>
        <w:rPr>
          <w:rFonts w:ascii="Arial" w:cs="Arial" w:eastAsia="Arial" w:hAnsi="Arial"/>
          <w:sz w:val="20"/>
          <w:szCs w:val="20"/>
          <w:color w:val="auto"/>
        </w:rPr>
        <w:t>” has the meaning assigned to such term in Section 2.1.</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Percentage</w:t>
      </w:r>
      <w:r>
        <w:rPr>
          <w:rFonts w:ascii="Arial" w:cs="Arial" w:eastAsia="Arial" w:hAnsi="Arial"/>
          <w:sz w:val="19"/>
          <w:szCs w:val="19"/>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8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 Borrower</w:t>
      </w:r>
      <w:r>
        <w:rPr>
          <w:rFonts w:ascii="Arial" w:cs="Arial" w:eastAsia="Arial" w:hAnsi="Arial"/>
          <w:sz w:val="20"/>
          <w:szCs w:val="20"/>
          <w:color w:val="auto"/>
        </w:rPr>
        <w:t>” means any Subsidiary Borrower which is a Domestic Subsidiary.</w:t>
      </w:r>
    </w:p>
    <w:p>
      <w:pPr>
        <w:sectPr>
          <w:pgSz w:w="11900" w:h="16838" w:orient="portrait"/>
          <w:cols w:equalWidth="0" w:num="1">
            <w:col w:w="11240"/>
          </w:cols>
          <w:pgMar w:left="320" w:top="568" w:right="339" w:bottom="1440" w:gutter="0" w:footer="0" w:header="0"/>
        </w:sectPr>
      </w:pPr>
    </w:p>
    <w:bookmarkStart w:id="70" w:name="page71"/>
    <w:bookmarkEnd w:id="70"/>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means (a) any institution established in any EEA Member Country which is subject to the supervision of </w:t>
      </w:r>
      <w:r>
        <w:rPr>
          <w:rFonts w:ascii="Arial" w:cs="Arial" w:eastAsia="Arial" w:hAnsi="Arial"/>
          <w:sz w:val="19"/>
          <w:szCs w:val="19"/>
          <w:color w:val="FF0000"/>
          <w:strike w:val="1"/>
        </w:rPr>
        <w:t>an EEA</w:t>
      </w:r>
      <w:r>
        <w:rPr>
          <w:rFonts w:ascii="Arial" w:cs="Arial" w:eastAsia="Arial" w:hAnsi="Arial"/>
          <w:sz w:val="19"/>
          <w:szCs w:val="19"/>
          <w:u w:val="single" w:color="auto"/>
          <w:color w:val="0000FF"/>
        </w:rPr>
        <w:t>the applicable</w:t>
      </w:r>
      <w:r>
        <w:rPr>
          <w:rFonts w:ascii="Arial" w:cs="Arial" w:eastAsia="Arial" w:hAnsi="Arial"/>
          <w:sz w:val="19"/>
          <w:szCs w:val="19"/>
          <w:color w:val="auto"/>
        </w:rPr>
        <w:t xml:space="preserv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“Electronic Signature” means an electronic symbol or process attached to a contract or other record and adopted by a Person with the intent to sign, authenticate or accept such contract or record.</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Default</w:t>
      </w:r>
      <w:r>
        <w:rPr>
          <w:rFonts w:ascii="Arial" w:cs="Arial" w:eastAsia="Arial" w:hAnsi="Arial"/>
          <w:sz w:val="19"/>
          <w:szCs w:val="19"/>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9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ectPr>
          <w:pgSz w:w="11900" w:h="16838" w:orient="portrait"/>
          <w:cols w:equalWidth="0" w:num="1">
            <w:col w:w="11240"/>
          </w:cols>
          <w:pgMar w:left="320" w:top="568" w:right="339" w:bottom="1440" w:gutter="0" w:footer="0" w:header="0"/>
        </w:sectPr>
      </w:pPr>
    </w:p>
    <w:bookmarkStart w:id="71" w:name="page72"/>
    <w:bookmarkEnd w:id="71"/>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means the single currency of the Participating Member States.</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Base Rate</w:t>
      </w:r>
      <w:r>
        <w:rPr>
          <w:rFonts w:ascii="Arial" w:cs="Arial" w:eastAsia="Arial" w:hAnsi="Arial"/>
          <w:sz w:val="18"/>
          <w:szCs w:val="18"/>
          <w:color w:val="auto"/>
        </w:rPr>
        <w:t xml:space="preserve">” means, with respect to each day during each Interest Period pertaining to a Eurocurrency Loan, the London </w:t>
      </w:r>
      <w:r>
        <w:rPr>
          <w:rFonts w:ascii="Arial" w:cs="Arial" w:eastAsia="Arial" w:hAnsi="Arial"/>
          <w:sz w:val="18"/>
          <w:szCs w:val="18"/>
          <w:color w:val="FF0000"/>
          <w:strike w:val="1"/>
        </w:rPr>
        <w:t>I</w:t>
      </w:r>
      <w:r>
        <w:rPr>
          <w:rFonts w:ascii="Arial" w:cs="Arial" w:eastAsia="Arial" w:hAnsi="Arial"/>
          <w:sz w:val="18"/>
          <w:szCs w:val="18"/>
          <w:u w:val="single" w:color="auto"/>
          <w:color w:val="0000FF"/>
        </w:rPr>
        <w:t>i</w:t>
      </w:r>
      <w:r>
        <w:rPr>
          <w:rFonts w:ascii="Arial" w:cs="Arial" w:eastAsia="Arial" w:hAnsi="Arial"/>
          <w:sz w:val="18"/>
          <w:szCs w:val="18"/>
          <w:color w:val="auto"/>
        </w:rPr>
        <w:t xml:space="preserve">nterbank offered rate as administered by the ICE Benchmark Administration (or any other Person that takes over the administration of such rate) for the applicable Currency for a period equal to such Interest Period commencing on the first day of such Interest Period as displayed on page LIBOR01 or LIBOR02 of the </w:t>
      </w:r>
      <w:r>
        <w:rPr>
          <w:rFonts w:ascii="Arial" w:cs="Arial" w:eastAsia="Arial" w:hAnsi="Arial"/>
          <w:sz w:val="18"/>
          <w:szCs w:val="18"/>
          <w:u w:val="single" w:color="auto"/>
          <w:color w:val="0000FF"/>
        </w:rPr>
        <w:t>Thomson</w:t>
      </w:r>
      <w:r>
        <w:rPr>
          <w:rFonts w:ascii="Arial" w:cs="Arial" w:eastAsia="Arial" w:hAnsi="Arial"/>
          <w:sz w:val="18"/>
          <w:szCs w:val="18"/>
          <w:color w:val="auto"/>
        </w:rPr>
        <w:t xml:space="preserve"> Reuters </w:t>
      </w:r>
      <w:r>
        <w:rPr>
          <w:rFonts w:ascii="Arial" w:cs="Arial" w:eastAsia="Arial" w:hAnsi="Arial"/>
          <w:sz w:val="18"/>
          <w:szCs w:val="18"/>
          <w:u w:val="single" w:color="auto"/>
          <w:color w:val="0000FF"/>
        </w:rPr>
        <w:t>Corp., Refinitiv, or any successor thereto (“Reuters”)</w:t>
      </w:r>
      <w:r>
        <w:rPr>
          <w:rFonts w:ascii="Arial" w:cs="Arial" w:eastAsia="Arial" w:hAnsi="Arial"/>
          <w:sz w:val="18"/>
          <w:szCs w:val="18"/>
          <w:color w:val="auto"/>
        </w:rPr>
        <w:t xml:space="preserve"> </w:t>
      </w:r>
      <w:r>
        <w:rPr>
          <w:rFonts w:ascii="Arial" w:cs="Arial" w:eastAsia="Arial" w:hAnsi="Arial"/>
          <w:sz w:val="18"/>
          <w:szCs w:val="18"/>
          <w:color w:val="FF0000"/>
          <w:strike w:val="1"/>
        </w:rPr>
        <w:t>S</w:t>
      </w:r>
      <w:r>
        <w:rPr>
          <w:rFonts w:ascii="Arial" w:cs="Arial" w:eastAsia="Arial" w:hAnsi="Arial"/>
          <w:sz w:val="18"/>
          <w:szCs w:val="18"/>
          <w:u w:val="single" w:color="auto"/>
          <w:color w:val="0000FF"/>
        </w:rPr>
        <w:t>s</w:t>
      </w:r>
      <w:r>
        <w:rPr>
          <w:rFonts w:ascii="Arial" w:cs="Arial" w:eastAsia="Arial" w:hAnsi="Arial"/>
          <w:sz w:val="18"/>
          <w:szCs w:val="18"/>
          <w:color w:val="000000"/>
        </w:rPr>
        <w:t>creen that displays such rate (or, in the event such rate does not appear on a Reuters page or screen, on any successor or substitute page on</w:t>
      </w:r>
      <w:r>
        <w:rPr>
          <w:rFonts w:ascii="Arial" w:cs="Arial" w:eastAsia="Arial" w:hAnsi="Arial"/>
          <w:sz w:val="18"/>
          <w:szCs w:val="18"/>
          <w:color w:val="FF0000"/>
        </w:rPr>
        <w:t xml:space="preserve"> </w:t>
      </w:r>
      <w:r>
        <w:rPr>
          <w:rFonts w:ascii="Arial" w:cs="Arial" w:eastAsia="Arial" w:hAnsi="Arial"/>
          <w:sz w:val="18"/>
          <w:szCs w:val="18"/>
          <w:color w:val="000000"/>
        </w:rPr>
        <w:t>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8"/>
          <w:szCs w:val="18"/>
          <w:u w:val="single" w:color="auto"/>
          <w:color w:val="000000"/>
        </w:rPr>
        <w:t>Screen Rate</w:t>
      </w:r>
      <w:r>
        <w:rPr>
          <w:rFonts w:ascii="Arial" w:cs="Arial" w:eastAsia="Arial" w:hAnsi="Arial"/>
          <w:sz w:val="18"/>
          <w:szCs w:val="18"/>
          <w:color w:val="000000"/>
        </w:rPr>
        <w:t xml:space="preserve">”) as of 11:00 A.M., London time, on the Quotation Date; </w:t>
      </w:r>
      <w:r>
        <w:rPr>
          <w:rFonts w:ascii="Arial" w:cs="Arial" w:eastAsia="Arial" w:hAnsi="Arial"/>
          <w:sz w:val="18"/>
          <w:szCs w:val="18"/>
          <w:u w:val="single" w:color="auto"/>
          <w:color w:val="000000"/>
        </w:rPr>
        <w:t>provided</w:t>
      </w:r>
      <w:r>
        <w:rPr>
          <w:rFonts w:ascii="Arial" w:cs="Arial" w:eastAsia="Arial" w:hAnsi="Arial"/>
          <w:sz w:val="18"/>
          <w:szCs w:val="18"/>
          <w:color w:val="000000"/>
        </w:rPr>
        <w:t>, that, if the Screen Rate shall not be available at such time for such Interest Period (an “</w:t>
      </w:r>
      <w:r>
        <w:rPr>
          <w:rFonts w:ascii="Arial" w:cs="Arial" w:eastAsia="Arial" w:hAnsi="Arial"/>
          <w:sz w:val="18"/>
          <w:szCs w:val="18"/>
          <w:u w:val="single" w:color="auto"/>
          <w:color w:val="000000"/>
        </w:rPr>
        <w:t>Impacted Interest Period</w:t>
      </w:r>
      <w:r>
        <w:rPr>
          <w:rFonts w:ascii="Arial" w:cs="Arial" w:eastAsia="Arial" w:hAnsi="Arial"/>
          <w:sz w:val="18"/>
          <w:szCs w:val="18"/>
          <w:color w:val="000000"/>
        </w:rPr>
        <w:t xml:space="preserve">”) with respect to the applicable Currency, then the Eurocurrency Base Rate shall be the Interpolated Rate at such time;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if the Screen Rate shall be less than zero, such rate shall be deemed to be zero for purposes of this Agreement. “</w:t>
      </w:r>
      <w:r>
        <w:rPr>
          <w:rFonts w:ascii="Arial" w:cs="Arial" w:eastAsia="Arial" w:hAnsi="Arial"/>
          <w:sz w:val="18"/>
          <w:szCs w:val="18"/>
          <w:u w:val="single" w:color="auto"/>
          <w:color w:val="000000"/>
        </w:rPr>
        <w:t>Interpolated Rate</w:t>
      </w:r>
      <w:r>
        <w:rPr>
          <w:rFonts w:ascii="Arial" w:cs="Arial" w:eastAsia="Arial" w:hAnsi="Arial"/>
          <w:sz w:val="18"/>
          <w:szCs w:val="18"/>
          <w:color w:val="000000"/>
        </w:rPr>
        <w:t xml:space="preserv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 </w:t>
      </w:r>
      <w:r>
        <w:rPr>
          <w:rFonts w:ascii="Arial" w:cs="Arial" w:eastAsia="Arial" w:hAnsi="Arial"/>
          <w:sz w:val="18"/>
          <w:szCs w:val="18"/>
          <w:u w:val="single" w:color="auto"/>
          <w:color w:val="000000"/>
        </w:rPr>
        <w:t>provided</w:t>
      </w:r>
      <w:r>
        <w:rPr>
          <w:rFonts w:ascii="Arial" w:cs="Arial" w:eastAsia="Arial" w:hAnsi="Arial"/>
          <w:sz w:val="18"/>
          <w:szCs w:val="18"/>
          <w:color w:val="000000"/>
        </w:rPr>
        <w:t>, that if the Interpolated Rate shall be less than zero, such rate shall be deemed to be zero for purposes of this Agreement.</w:t>
      </w:r>
    </w:p>
    <w:p>
      <w:pPr>
        <w:spacing w:after="0" w:line="17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Competitive Loans</w:t>
      </w:r>
      <w:r>
        <w:rPr>
          <w:rFonts w:ascii="Arial" w:cs="Arial" w:eastAsia="Arial" w:hAnsi="Arial"/>
          <w:sz w:val="20"/>
          <w:szCs w:val="20"/>
          <w:color w:val="auto"/>
        </w:rPr>
        <w:t>” means Competitive Loans bearing interest at a rate determined by reference to the Eurocurrency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Loans</w:t>
      </w:r>
      <w:r>
        <w:rPr>
          <w:rFonts w:ascii="Arial" w:cs="Arial" w:eastAsia="Arial" w:hAnsi="Arial"/>
          <w:sz w:val="19"/>
          <w:szCs w:val="19"/>
          <w:color w:val="auto"/>
        </w:rPr>
        <w:t>” means Loans the rate of interest applicable to which is based upon the Eurocurrency Rate.</w:t>
      </w:r>
    </w:p>
    <w:p>
      <w:pPr>
        <w:spacing w:after="0" w:line="227" w:lineRule="exact"/>
        <w:rPr>
          <w:sz w:val="20"/>
          <w:szCs w:val="20"/>
          <w:color w:val="auto"/>
        </w:rPr>
      </w:pPr>
    </w:p>
    <w:p>
      <w:pPr>
        <w:ind w:right="2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292" w:lineRule="exact"/>
        <w:rPr>
          <w:sz w:val="20"/>
          <w:szCs w:val="20"/>
          <w:color w:val="auto"/>
        </w:rPr>
      </w:pPr>
    </w:p>
    <w:p>
      <w:pPr>
        <w:jc w:val="center"/>
        <w:ind w:right="2480"/>
        <w:spacing w:after="0"/>
        <w:rPr>
          <w:sz w:val="20"/>
          <w:szCs w:val="20"/>
          <w:color w:val="auto"/>
        </w:rPr>
      </w:pPr>
      <w:r>
        <w:rPr>
          <w:rFonts w:ascii="Arial" w:cs="Arial" w:eastAsia="Arial" w:hAnsi="Arial"/>
          <w:sz w:val="20"/>
          <w:szCs w:val="20"/>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27305</wp:posOffset>
            </wp:positionV>
            <wp:extent cx="2802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47" w:lineRule="exact"/>
        <w:rPr>
          <w:sz w:val="20"/>
          <w:szCs w:val="20"/>
          <w:color w:val="auto"/>
        </w:rPr>
      </w:pPr>
    </w:p>
    <w:p>
      <w:pPr>
        <w:jc w:val="center"/>
        <w:ind w:right="2480"/>
        <w:spacing w:after="0"/>
        <w:rPr>
          <w:sz w:val="20"/>
          <w:szCs w:val="20"/>
          <w:color w:val="auto"/>
        </w:rPr>
      </w:pPr>
      <w:r>
        <w:rPr>
          <w:rFonts w:ascii="Arial" w:cs="Arial" w:eastAsia="Arial" w:hAnsi="Arial"/>
          <w:sz w:val="20"/>
          <w:szCs w:val="20"/>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27305</wp:posOffset>
            </wp:positionV>
            <wp:extent cx="2802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1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ectPr>
          <w:pgSz w:w="11900" w:h="16838" w:orient="portrait"/>
          <w:cols w:equalWidth="0" w:num="1">
            <w:col w:w="11240"/>
          </w:cols>
          <w:pgMar w:left="320" w:top="568" w:right="339" w:bottom="1440" w:gutter="0" w:footer="0" w:header="0"/>
        </w:sectPr>
      </w:pPr>
    </w:p>
    <w:bookmarkStart w:id="72" w:name="page73"/>
    <w:bookmarkEnd w:id="72"/>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Tranche</w:t>
      </w:r>
      <w:r>
        <w:rPr>
          <w:rFonts w:ascii="Arial" w:cs="Arial" w:eastAsia="Arial" w:hAnsi="Arial"/>
          <w:sz w:val="20"/>
          <w:szCs w:val="20"/>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any of the events specified in Section 8, </w:t>
      </w:r>
      <w:r>
        <w:rPr>
          <w:rFonts w:ascii="Arial" w:cs="Arial" w:eastAsia="Arial" w:hAnsi="Arial"/>
          <w:sz w:val="20"/>
          <w:szCs w:val="20"/>
          <w:u w:val="single" w:color="auto"/>
          <w:color w:val="auto"/>
        </w:rPr>
        <w:t>provided</w:t>
      </w:r>
      <w:r>
        <w:rPr>
          <w:rFonts w:ascii="Arial" w:cs="Arial" w:eastAsia="Arial" w:hAnsi="Arial"/>
          <w:sz w:val="20"/>
          <w:szCs w:val="20"/>
          <w:color w:val="auto"/>
        </w:rPr>
        <w:t>, that any requirement for the giving of notice, the lapse of time, or both, has been satisfied.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and Exchange Act of 1934, as amended.</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 (ii) Brazilian Reais, the exchange rate (</w:t>
      </w:r>
      <w:r>
        <w:rPr>
          <w:rFonts w:ascii="Arial" w:cs="Arial" w:eastAsia="Arial" w:hAnsi="Arial"/>
          <w:sz w:val="18"/>
          <w:szCs w:val="18"/>
          <w:i w:val="1"/>
          <w:iCs w:val="1"/>
          <w:color w:val="auto"/>
        </w:rPr>
        <w:t>taxa de</w:t>
      </w:r>
      <w:r>
        <w:rPr>
          <w:rFonts w:ascii="Arial" w:cs="Arial" w:eastAsia="Arial" w:hAnsi="Arial"/>
          <w:sz w:val="18"/>
          <w:szCs w:val="18"/>
          <w:color w:val="auto"/>
        </w:rPr>
        <w:t xml:space="preserve"> câmbio) at which such currency may be exchanged into Dollars disclosed by the Central Bank of Brazil on its website (which, at the date hereof, is located at http://www.bcb.gov</w:t>
      </w:r>
      <w:r>
        <w:rPr>
          <w:rFonts w:ascii="Arial" w:cs="Arial" w:eastAsia="Arial" w:hAnsi="Arial"/>
          <w:sz w:val="18"/>
          <w:szCs w:val="18"/>
          <w:color w:val="FF0000"/>
          <w:strike w:val="1"/>
        </w:rPr>
        <w:t>.br</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txcambio</w:t>
      </w:r>
      <w:r>
        <w:rPr>
          <w:rFonts w:ascii="Arial" w:cs="Arial" w:eastAsia="Arial" w:hAnsi="Arial"/>
          <w:sz w:val="18"/>
          <w:szCs w:val="18"/>
          <w:u w:val="single" w:color="auto"/>
          <w:color w:val="0000FF"/>
        </w:rPr>
        <w:t>brestabilidadefinanceira/historicocotacoes</w:t>
      </w:r>
      <w:r>
        <w:rPr>
          <w:rFonts w:ascii="Arial" w:cs="Arial" w:eastAsia="Arial" w:hAnsi="Arial"/>
          <w:sz w:val="18"/>
          <w:szCs w:val="18"/>
          <w:color w:val="000000"/>
        </w:rPr>
        <w:t>), under</w:t>
      </w:r>
      <w:r>
        <w:rPr>
          <w:rFonts w:ascii="Arial" w:cs="Arial" w:eastAsia="Arial" w:hAnsi="Arial"/>
          <w:sz w:val="18"/>
          <w:szCs w:val="18"/>
          <w:color w:val="FF0000"/>
        </w:rPr>
        <w:t xml:space="preserve"> </w:t>
      </w:r>
      <w:r>
        <w:rPr>
          <w:rFonts w:ascii="Arial" w:cs="Arial" w:eastAsia="Arial" w:hAnsi="Arial"/>
          <w:sz w:val="18"/>
          <w:szCs w:val="18"/>
          <w:color w:val="FF0000"/>
          <w:strike w:val="1"/>
        </w:rPr>
        <w:t>transaction “Cotações e Boletins”</w:t>
      </w:r>
      <w:r>
        <w:rPr>
          <w:rFonts w:ascii="Arial" w:cs="Arial" w:eastAsia="Arial" w:hAnsi="Arial"/>
          <w:sz w:val="18"/>
          <w:szCs w:val="18"/>
          <w:color w:val="FF0000"/>
        </w:rPr>
        <w:t xml:space="preserve"> </w:t>
      </w:r>
      <w:r>
        <w:rPr>
          <w:rFonts w:ascii="Arial" w:cs="Arial" w:eastAsia="Arial" w:hAnsi="Arial"/>
          <w:sz w:val="18"/>
          <w:szCs w:val="18"/>
          <w:color w:val="000000"/>
        </w:rPr>
        <w:t>option “Cotações de fechamento de todas as</w:t>
      </w:r>
      <w:r>
        <w:rPr>
          <w:rFonts w:ascii="Arial" w:cs="Arial" w:eastAsia="Arial" w:hAnsi="Arial"/>
          <w:sz w:val="18"/>
          <w:szCs w:val="18"/>
          <w:color w:val="FF0000"/>
        </w:rPr>
        <w:t xml:space="preserve"> </w:t>
      </w:r>
      <w:r>
        <w:rPr>
          <w:rFonts w:ascii="Arial" w:cs="Arial" w:eastAsia="Arial" w:hAnsi="Arial"/>
          <w:sz w:val="18"/>
          <w:szCs w:val="18"/>
          <w:color w:val="000000"/>
        </w:rPr>
        <w:t xml:space="preserve">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w:t>
      </w:r>
      <w:r>
        <w:rPr>
          <w:rFonts w:ascii="Arial" w:cs="Arial" w:eastAsia="Arial" w:hAnsi="Arial"/>
          <w:sz w:val="18"/>
          <w:szCs w:val="18"/>
          <w:color w:val="FF0000"/>
          <w:strike w:val="1"/>
        </w:rPr>
        <w:t>I</w:t>
      </w:r>
      <w:r>
        <w:rPr>
          <w:rFonts w:ascii="Arial" w:cs="Arial" w:eastAsia="Arial" w:hAnsi="Arial"/>
          <w:sz w:val="18"/>
          <w:szCs w:val="18"/>
          <w:u w:val="single" w:color="auto"/>
          <w:color w:val="0000FF"/>
        </w:rPr>
        <w:t>i</w:t>
      </w:r>
      <w:r>
        <w:rPr>
          <w:rFonts w:ascii="Arial" w:cs="Arial" w:eastAsia="Arial" w:hAnsi="Arial"/>
          <w:sz w:val="18"/>
          <w:szCs w:val="18"/>
          <w:color w:val="000000"/>
        </w:rPr>
        <w:t xml:space="preserve">nterbank market or other market where its foreign currency 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contract, agreement, instrument, indenture or other Contractual Obligation shall not have been entered into in contemplation of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w:t>
      </w:r>
    </w:p>
    <w:p>
      <w:pPr>
        <w:spacing w:after="0" w:line="1" w:lineRule="exact"/>
        <w:rPr>
          <w:sz w:val="20"/>
          <w:szCs w:val="20"/>
          <w:color w:val="auto"/>
        </w:rPr>
      </w:pPr>
    </w:p>
    <w:p>
      <w:pPr>
        <w:jc w:val="both"/>
        <w:ind w:firstLine="8"/>
        <w:spacing w:after="0" w:line="241" w:lineRule="auto"/>
        <w:tabs>
          <w:tab w:leader="none" w:pos="264"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each Finance Subsidiary of the Company, (g) each Subsidiary that is a dealership and (h) each Subsidiary acquired or formed after the Closing Date primarily to operate an Excluded Subsidiary Business;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ectPr>
          <w:pgSz w:w="11900" w:h="16838" w:orient="portrait"/>
          <w:cols w:equalWidth="0" w:num="1">
            <w:col w:w="11240"/>
          </w:cols>
          <w:pgMar w:left="320" w:top="568" w:right="339" w:bottom="1440" w:gutter="0" w:footer="0" w:header="0"/>
        </w:sectPr>
      </w:pPr>
    </w:p>
    <w:bookmarkStart w:id="73" w:name="page74"/>
    <w:bookmarkEnd w:id="73"/>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 Businesses</w:t>
      </w:r>
      <w:r>
        <w:rPr>
          <w:rFonts w:ascii="Arial" w:cs="Arial" w:eastAsia="Arial" w:hAnsi="Arial"/>
          <w:sz w:val="20"/>
          <w:szCs w:val="20"/>
          <w:color w:val="auto"/>
        </w:rPr>
        <w:t>” means the businesses and/or Subsidiaries indicated on Schedule 1.1E.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has the meaning assigned to such term in Section 3.11.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Loan</w:t>
      </w:r>
      <w:r>
        <w:rPr>
          <w:rFonts w:ascii="Arial" w:cs="Arial" w:eastAsia="Arial" w:hAnsi="Arial"/>
          <w:sz w:val="20"/>
          <w:szCs w:val="20"/>
          <w:color w:val="auto"/>
        </w:rPr>
        <w:t>” means any “Loan” under and as defined in the Existing Three Year Credit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Required Lenders</w:t>
      </w:r>
      <w:r>
        <w:rPr>
          <w:rFonts w:ascii="Arial" w:cs="Arial" w:eastAsia="Arial" w:hAnsi="Arial"/>
          <w:sz w:val="19"/>
          <w:szCs w:val="19"/>
          <w:color w:val="auto"/>
        </w:rPr>
        <w:t>” means the “Required Lenders” under and as defined in the Existing Three Year Credit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Three Year Credit Agreement</w:t>
      </w:r>
      <w:r>
        <w:rPr>
          <w:rFonts w:ascii="Arial" w:cs="Arial" w:eastAsia="Arial" w:hAnsi="Arial"/>
          <w:sz w:val="20"/>
          <w:szCs w:val="20"/>
          <w:color w:val="auto"/>
        </w:rPr>
        <w:t>” has the meaning assigned to such term in the recitals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Lender</w:t>
      </w:r>
      <w:r>
        <w:rPr>
          <w:rFonts w:ascii="Arial" w:cs="Arial" w:eastAsia="Arial" w:hAnsi="Arial"/>
          <w:sz w:val="20"/>
          <w:szCs w:val="20"/>
          <w:color w:val="auto"/>
        </w:rPr>
        <w:t>” has the meaning assigned to such term in Section 2.29(a).</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Extensions of Credit</w:t>
      </w:r>
      <w:r>
        <w:rPr>
          <w:rFonts w:ascii="Arial" w:cs="Arial" w:eastAsia="Arial" w:hAnsi="Arial"/>
          <w:sz w:val="20"/>
          <w:szCs w:val="20"/>
          <w:color w:val="auto"/>
        </w:rPr>
        <w:t>” means, (a) as to any Brazilian Lender, such Lender’s Brazilian Extensions of Credit, (b) as to any Domestic Lender, such Lender’s Domestic Extensions of Credit, (c) as to any L/C Tranche Lender, such Lender’s L/C Tranche Extensions of Credit and (d)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9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each of (a) the Brazilian Facility, (b) the Domestic Facility, (c) the L/C Tranche Facility, (d) the Multicurrency Facility, (e) any New Local Facility and (f) any Incremental Facility.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Fee</w:t>
      </w:r>
      <w:r>
        <w:rPr>
          <w:rFonts w:ascii="Arial" w:cs="Arial" w:eastAsia="Arial" w:hAnsi="Arial"/>
          <w:sz w:val="20"/>
          <w:szCs w:val="20"/>
          <w:color w:val="auto"/>
        </w:rPr>
        <w:t>” has the meaning assigned to such term in Section 2.10(a).</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Fee Rate</w:t>
      </w:r>
      <w:r>
        <w:rPr>
          <w:rFonts w:ascii="Arial" w:cs="Arial" w:eastAsia="Arial" w:hAnsi="Arial"/>
          <w:sz w:val="20"/>
          <w:szCs w:val="20"/>
          <w:color w:val="auto"/>
        </w:rPr>
        <w:t xml:space="preserve">” means, for any day relating to each of the Domestic Facility </w:t>
      </w:r>
      <w:r>
        <w:rPr>
          <w:rFonts w:ascii="Arial" w:cs="Arial" w:eastAsia="Arial" w:hAnsi="Arial"/>
          <w:sz w:val="20"/>
          <w:szCs w:val="20"/>
          <w:color w:val="FF0000"/>
          <w:strike w:val="1"/>
        </w:rPr>
        <w:t>and</w:t>
      </w:r>
      <w:r>
        <w:rPr>
          <w:rFonts w:ascii="Arial" w:cs="Arial" w:eastAsia="Arial" w:hAnsi="Arial"/>
          <w:sz w:val="20"/>
          <w:szCs w:val="20"/>
          <w:u w:val="single" w:color="auto"/>
          <w:color w:val="0000FF"/>
        </w:rPr>
        <w:t>,</w:t>
      </w:r>
      <w:r>
        <w:rPr>
          <w:rFonts w:ascii="Arial" w:cs="Arial" w:eastAsia="Arial" w:hAnsi="Arial"/>
          <w:sz w:val="20"/>
          <w:szCs w:val="20"/>
          <w:color w:val="auto"/>
        </w:rPr>
        <w:t xml:space="preserve"> the Multicurrency </w:t>
      </w:r>
      <w:r>
        <w:rPr>
          <w:rFonts w:ascii="Arial" w:cs="Arial" w:eastAsia="Arial" w:hAnsi="Arial"/>
          <w:sz w:val="20"/>
          <w:szCs w:val="20"/>
          <w:u w:val="single" w:color="auto"/>
          <w:color w:val="0000FF"/>
        </w:rPr>
        <w:t>Facility and the L/C</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Tranche</w:t>
      </w:r>
      <w:r>
        <w:rPr>
          <w:rFonts w:ascii="Arial" w:cs="Arial" w:eastAsia="Arial" w:hAnsi="Arial"/>
          <w:sz w:val="20"/>
          <w:szCs w:val="20"/>
          <w:color w:val="0000FF"/>
        </w:rPr>
        <w:t xml:space="preserve"> </w:t>
      </w:r>
      <w:r>
        <w:rPr>
          <w:rFonts w:ascii="Arial" w:cs="Arial" w:eastAsia="Arial" w:hAnsi="Arial"/>
          <w:sz w:val="20"/>
          <w:szCs w:val="20"/>
          <w:color w:val="000000"/>
        </w:rPr>
        <w:t>Facility, with respect to the Facility Fees payable hereunder, the applicable rate per annum set forth under the column heading</w:t>
      </w:r>
      <w:r>
        <w:rPr>
          <w:rFonts w:ascii="Arial" w:cs="Arial" w:eastAsia="Arial" w:hAnsi="Arial"/>
          <w:sz w:val="20"/>
          <w:szCs w:val="20"/>
          <w:color w:val="0000FF"/>
        </w:rPr>
        <w:t xml:space="preserve"> </w:t>
      </w:r>
      <w:r>
        <w:rPr>
          <w:rFonts w:ascii="Arial" w:cs="Arial" w:eastAsia="Arial" w:hAnsi="Arial"/>
          <w:sz w:val="20"/>
          <w:szCs w:val="20"/>
          <w:color w:val="000000"/>
        </w:rPr>
        <w:t>“Facility Fee Rate” in the Applicable Pricing Grid, based upon the Applicable Rating in effect on such day.</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Rating</w:t>
      </w:r>
      <w:r>
        <w:rPr>
          <w:rFonts w:ascii="Arial" w:cs="Arial" w:eastAsia="Arial" w:hAnsi="Arial"/>
          <w:sz w:val="20"/>
          <w:szCs w:val="20"/>
          <w:color w:val="auto"/>
        </w:rPr>
        <w:t>” means, as of any date, the credit rating provided by Moody’s, S&amp;P or Fitch, as applicable, for the Facilities provided hereunder.</w:t>
      </w:r>
    </w:p>
    <w:p>
      <w:pPr>
        <w:spacing w:after="0" w:line="177"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xml:space="preserve">” means for any day, the rate calculated by the NYFRB based on such day’s federal funds transactions by depositary institutions (as determined in such manner as </w:t>
      </w:r>
      <w:r>
        <w:rPr>
          <w:rFonts w:ascii="Arial" w:cs="Arial" w:eastAsia="Arial" w:hAnsi="Arial"/>
          <w:sz w:val="20"/>
          <w:szCs w:val="20"/>
          <w:color w:val="FF0000"/>
          <w:strike w:val="1"/>
        </w:rPr>
        <w:t>the NYFRB</w:t>
      </w:r>
      <w:r>
        <w:rPr>
          <w:rFonts w:ascii="Arial" w:cs="Arial" w:eastAsia="Arial" w:hAnsi="Arial"/>
          <w:sz w:val="20"/>
          <w:szCs w:val="20"/>
          <w:color w:val="auto"/>
        </w:rPr>
        <w:t xml:space="preserve"> shall </w:t>
      </w:r>
      <w:r>
        <w:rPr>
          <w:rFonts w:ascii="Arial" w:cs="Arial" w:eastAsia="Arial" w:hAnsi="Arial"/>
          <w:sz w:val="20"/>
          <w:szCs w:val="20"/>
          <w:u w:val="single" w:color="auto"/>
          <w:color w:val="0000FF"/>
        </w:rPr>
        <w:t>be</w:t>
      </w:r>
      <w:r>
        <w:rPr>
          <w:rFonts w:ascii="Arial" w:cs="Arial" w:eastAsia="Arial" w:hAnsi="Arial"/>
          <w:sz w:val="20"/>
          <w:szCs w:val="20"/>
          <w:color w:val="auto"/>
        </w:rPr>
        <w:t xml:space="preserve"> set forth on </w:t>
      </w:r>
      <w:r>
        <w:rPr>
          <w:rFonts w:ascii="Arial" w:cs="Arial" w:eastAsia="Arial" w:hAnsi="Arial"/>
          <w:sz w:val="20"/>
          <w:szCs w:val="20"/>
          <w:color w:val="FF0000"/>
          <w:strike w:val="1"/>
        </w:rPr>
        <w:t>its public</w:t>
      </w:r>
      <w:r>
        <w:rPr>
          <w:rFonts w:ascii="Arial" w:cs="Arial" w:eastAsia="Arial" w:hAnsi="Arial"/>
          <w:sz w:val="20"/>
          <w:szCs w:val="20"/>
          <w:u w:val="single" w:color="auto"/>
          <w:color w:val="0000FF"/>
        </w:rPr>
        <w:t>the Federal Reserve Bank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of New York’s</w:t>
      </w:r>
      <w:r>
        <w:rPr>
          <w:rFonts w:ascii="Arial" w:cs="Arial" w:eastAsia="Arial" w:hAnsi="Arial"/>
          <w:sz w:val="20"/>
          <w:szCs w:val="20"/>
          <w:color w:val="0000FF"/>
        </w:rPr>
        <w:t xml:space="preserve"> </w:t>
      </w:r>
      <w:r>
        <w:rPr>
          <w:rFonts w:ascii="Arial" w:cs="Arial" w:eastAsia="Arial" w:hAnsi="Arial"/>
          <w:sz w:val="20"/>
          <w:szCs w:val="20"/>
          <w:color w:val="FF0000"/>
          <w:strike w:val="1"/>
        </w:rPr>
        <w:t>w</w:t>
      </w:r>
      <w:r>
        <w:rPr>
          <w:rFonts w:ascii="Arial" w:cs="Arial" w:eastAsia="Arial" w:hAnsi="Arial"/>
          <w:sz w:val="20"/>
          <w:szCs w:val="20"/>
          <w:u w:val="single" w:color="auto"/>
          <w:color w:val="0000FF"/>
        </w:rPr>
        <w:t>W</w:t>
      </w:r>
      <w:r>
        <w:rPr>
          <w:rFonts w:ascii="Arial" w:cs="Arial" w:eastAsia="Arial" w:hAnsi="Arial"/>
          <w:sz w:val="20"/>
          <w:szCs w:val="20"/>
          <w:color w:val="000000"/>
        </w:rPr>
        <w:t>ebsite from time to time) and published on the next succeeding Business Day by the NYFRB as the federal funds effective</w:t>
      </w:r>
      <w:r>
        <w:rPr>
          <w:rFonts w:ascii="Arial" w:cs="Arial" w:eastAsia="Arial" w:hAnsi="Arial"/>
          <w:sz w:val="20"/>
          <w:szCs w:val="20"/>
          <w:color w:val="0000FF"/>
        </w:rPr>
        <w:t xml:space="preserve"> </w:t>
      </w:r>
      <w:r>
        <w:rPr>
          <w:rFonts w:ascii="Arial" w:cs="Arial" w:eastAsia="Arial" w:hAnsi="Arial"/>
          <w:sz w:val="20"/>
          <w:szCs w:val="20"/>
          <w:color w:val="000000"/>
        </w:rPr>
        <w:t xml:space="preserve">rate; </w:t>
      </w:r>
      <w:r>
        <w:rPr>
          <w:rFonts w:ascii="Arial" w:cs="Arial" w:eastAsia="Arial" w:hAnsi="Arial"/>
          <w:sz w:val="20"/>
          <w:szCs w:val="20"/>
          <w:u w:val="single" w:color="auto"/>
          <w:color w:val="000000"/>
        </w:rPr>
        <w:t>provided</w:t>
      </w:r>
      <w:r>
        <w:rPr>
          <w:rFonts w:ascii="Arial" w:cs="Arial" w:eastAsia="Arial" w:hAnsi="Arial"/>
          <w:sz w:val="20"/>
          <w:szCs w:val="20"/>
          <w:color w:val="000000"/>
        </w:rPr>
        <w:t>, that if the Federal Funds Effective Rate shall be less than zero, such rate shall be deemed to be zero for purposes of this Agreement.</w:t>
      </w:r>
    </w:p>
    <w:p>
      <w:pPr>
        <w:sectPr>
          <w:pgSz w:w="11900" w:h="16838" w:orient="portrait"/>
          <w:cols w:equalWidth="0" w:num="1">
            <w:col w:w="11240"/>
          </w:cols>
          <w:pgMar w:left="320" w:top="568" w:right="339" w:bottom="1440" w:gutter="0" w:footer="0" w:header="0"/>
        </w:sectPr>
      </w:pPr>
    </w:p>
    <w:bookmarkStart w:id="74" w:name="page75"/>
    <w:bookmarkEnd w:id="74"/>
    <w:p>
      <w:pPr>
        <w:ind w:right="380" w:firstLine="1296"/>
        <w:spacing w:after="0" w:line="260" w:lineRule="auto"/>
        <w:rPr>
          <w:sz w:val="20"/>
          <w:szCs w:val="20"/>
          <w:color w:val="auto"/>
        </w:rPr>
      </w:pPr>
      <w:r>
        <w:rPr>
          <w:rFonts w:ascii="Arial" w:cs="Arial" w:eastAsia="Arial" w:hAnsi="Arial"/>
          <w:sz w:val="20"/>
          <w:szCs w:val="20"/>
          <w:u w:val="single" w:color="auto"/>
          <w:color w:val="0000FF"/>
        </w:rPr>
        <w:t>“Federal Reserve Bank of New York’s Website” means the website of the NYFRB at http://www.newyorkfed.org, or any successor source.</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Payment Date</w:t>
      </w:r>
      <w:r>
        <w:rPr>
          <w:rFonts w:ascii="Arial" w:cs="Arial" w:eastAsia="Arial" w:hAnsi="Arial"/>
          <w:sz w:val="20"/>
          <w:szCs w:val="20"/>
          <w:color w:val="auto"/>
        </w:rPr>
        <w:t>” means (a) the fifteenth day of each March, June, September and December (or, if any such day is not a Business Day, the next succeeding Business Day) and (b) the last day of the final Fee Payment Period.</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Payment Period</w:t>
      </w:r>
      <w:r>
        <w:rPr>
          <w:rFonts w:ascii="Arial" w:cs="Arial" w:eastAsia="Arial" w:hAnsi="Arial"/>
          <w:sz w:val="20"/>
          <w:szCs w:val="20"/>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9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Finance Subsidiary</w:t>
      </w:r>
      <w:r>
        <w:rPr>
          <w:rFonts w:ascii="Arial" w:cs="Arial" w:eastAsia="Arial" w:hAnsi="Arial"/>
          <w:sz w:val="20"/>
          <w:szCs w:val="20"/>
          <w:color w:val="auto"/>
        </w:rPr>
        <w:t xml:space="preserve">”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w:t>
      </w:r>
      <w:r>
        <w:rPr>
          <w:rFonts w:ascii="Arial" w:cs="Arial" w:eastAsia="Arial" w:hAnsi="Arial"/>
          <w:sz w:val="20"/>
          <w:szCs w:val="20"/>
          <w:u w:val="single" w:color="auto"/>
          <w:color w:val="0000FF"/>
        </w:rPr>
        <w:t>For the avoidance of doubt, GMGTC shall not be considered a Finance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Subsidiary.</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with respect to any Person, the chief financial officer, principal accounting officer, a financial vice president, treasurer, assistant treasurer, or controller of such Person.</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“First Amendment” means that certain Amendment No. 1 to Credit Agreement, dated as of April 24, 2020 among the Company, the other Loan Parties party thereto, the Lenders party thereto and the Administrative Agent.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“First Amendment Effective Date” has the meaning set forth in the First Amendment.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a business segment of Fitch Group, Inc. and its successors.</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Rate Loan</w:t>
      </w:r>
      <w:r>
        <w:rPr>
          <w:rFonts w:ascii="Arial" w:cs="Arial" w:eastAsia="Arial" w:hAnsi="Arial"/>
          <w:sz w:val="20"/>
          <w:szCs w:val="20"/>
          <w:color w:val="auto"/>
        </w:rPr>
        <w:t>” means a Competitive Loan bearing interest at a fixed rate per annum specified by the Lender making such Loan in its related Competitive Bid.</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 Borrower</w:t>
      </w:r>
      <w:r>
        <w:rPr>
          <w:rFonts w:ascii="Arial" w:cs="Arial" w:eastAsia="Arial" w:hAnsi="Arial"/>
          <w:sz w:val="20"/>
          <w:szCs w:val="20"/>
          <w:color w:val="auto"/>
        </w:rPr>
        <w:t>” means any Subsidiary Borrower that is not a Domestic Subsidiary.</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 Holding Company</w:t>
      </w:r>
      <w:r>
        <w:rPr>
          <w:rFonts w:ascii="Arial" w:cs="Arial" w:eastAsia="Arial" w:hAnsi="Arial"/>
          <w:sz w:val="20"/>
          <w:szCs w:val="20"/>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Office</w:t>
      </w:r>
      <w:r>
        <w:rPr>
          <w:rFonts w:ascii="Arial" w:cs="Arial" w:eastAsia="Arial" w:hAnsi="Arial"/>
          <w:sz w:val="20"/>
          <w:szCs w:val="20"/>
          <w:color w:val="auto"/>
        </w:rPr>
        <w:t>” means the office of the Administrative Agent specified in Section 10.2 or such other office as may be specified from time to time by the Administrative Agent as its funding office</w:t>
      </w:r>
    </w:p>
    <w:p>
      <w:pPr>
        <w:sectPr>
          <w:pgSz w:w="11900" w:h="16838" w:orient="portrait"/>
          <w:cols w:equalWidth="0" w:num="1">
            <w:col w:w="11240"/>
          </w:cols>
          <w:pgMar w:left="320" w:top="56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with respect to any Facility or Facilities by written notice to the Company, any relevant Subsidiary Borrower and the applicable Lenders.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as in effect from time to time in the United States.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GM Holdings</w:t>
      </w:r>
      <w:r>
        <w:rPr>
          <w:rFonts w:ascii="Arial" w:cs="Arial" w:eastAsia="Arial" w:hAnsi="Arial"/>
          <w:sz w:val="20"/>
          <w:szCs w:val="20"/>
          <w:color w:val="auto"/>
        </w:rPr>
        <w:t>” means General Motors Holdings LLC, a Delaware limited liability company.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GMB</w:t>
      </w:r>
      <w:r>
        <w:rPr>
          <w:rFonts w:ascii="Arial" w:cs="Arial" w:eastAsia="Arial" w:hAnsi="Arial"/>
          <w:sz w:val="20"/>
          <w:szCs w:val="20"/>
          <w:color w:val="auto"/>
        </w:rPr>
        <w:t>” has the meaning assigned to such term in the preamble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GMF</w:t>
      </w:r>
      <w:r>
        <w:rPr>
          <w:rFonts w:ascii="Arial" w:cs="Arial" w:eastAsia="Arial" w:hAnsi="Arial"/>
          <w:sz w:val="20"/>
          <w:szCs w:val="20"/>
          <w:color w:val="auto"/>
        </w:rPr>
        <w:t>” has the meaning assigned to such term in the preamble hereto.</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GMGTC</w:t>
      </w:r>
      <w:r>
        <w:rPr>
          <w:rFonts w:ascii="Arial" w:cs="Arial" w:eastAsia="Arial" w:hAnsi="Arial"/>
          <w:sz w:val="20"/>
          <w:szCs w:val="20"/>
          <w:color w:val="auto"/>
        </w:rPr>
        <w:t xml:space="preserve">” </w:t>
      </w:r>
      <w:r>
        <w:rPr>
          <w:rFonts w:ascii="Arial" w:cs="Arial" w:eastAsia="Arial" w:hAnsi="Arial"/>
          <w:sz w:val="20"/>
          <w:szCs w:val="20"/>
          <w:color w:val="FF0000"/>
          <w:strike w:val="1"/>
        </w:rPr>
        <w:t>has the meaning assigned to such term in the preamble hereto</w:t>
      </w:r>
      <w:r>
        <w:rPr>
          <w:rFonts w:ascii="Arial" w:cs="Arial" w:eastAsia="Arial" w:hAnsi="Arial"/>
          <w:sz w:val="20"/>
          <w:szCs w:val="20"/>
          <w:u w:val="single" w:color="auto"/>
          <w:color w:val="0000FF"/>
        </w:rPr>
        <w:t>means GM Global Treasury Centre Limited, 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private limited company incorporated under the laws of England and Wales.</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r>
        <w:rPr>
          <w:rFonts w:ascii="Arial" w:cs="Arial" w:eastAsia="Arial" w:hAnsi="Arial"/>
          <w:sz w:val="18"/>
          <w:szCs w:val="18"/>
          <w:u w:val="single" w:color="auto"/>
          <w:color w:val="0000FF"/>
        </w:rPr>
        <w:t>, including any applicable supranational bodies (such as the European Union or European Central Bank)</w:t>
      </w:r>
      <w:r>
        <w:rPr>
          <w:rFonts w:ascii="Arial" w:cs="Arial" w:eastAsia="Arial" w:hAnsi="Arial"/>
          <w:sz w:val="18"/>
          <w:szCs w:val="18"/>
          <w:color w:val="auto"/>
        </w:rPr>
        <w:t>.</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means the Third Amended and Restated Guarantee Agreement to be executed and delivered by the Company, substantially in the form of Exhibit 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 Joinder</w:t>
      </w:r>
      <w:r>
        <w:rPr>
          <w:rFonts w:ascii="Arial" w:cs="Arial" w:eastAsia="Arial" w:hAnsi="Arial"/>
          <w:sz w:val="20"/>
          <w:szCs w:val="20"/>
          <w:color w:val="auto"/>
        </w:rPr>
        <w:t>” means a joinder agreement substantially in the form of Annex I to the Guarantee.</w:t>
      </w:r>
    </w:p>
    <w:p>
      <w:pPr>
        <w:spacing w:after="0" w:line="21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w:t>
      </w:r>
      <w:r>
        <w:rPr>
          <w:rFonts w:ascii="Arial" w:cs="Arial" w:eastAsia="Arial" w:hAnsi="Arial"/>
          <w:sz w:val="18"/>
          <w:szCs w:val="18"/>
          <w:color w:val="auto"/>
        </w:rPr>
        <w:t>” means, as to any Person (the “</w:t>
      </w:r>
      <w:r>
        <w:rPr>
          <w:rFonts w:ascii="Arial" w:cs="Arial" w:eastAsia="Arial" w:hAnsi="Arial"/>
          <w:sz w:val="18"/>
          <w:szCs w:val="18"/>
          <w:u w:val="single" w:color="auto"/>
          <w:color w:val="auto"/>
        </w:rPr>
        <w:t>guaranteeing person</w:t>
      </w:r>
      <w:r>
        <w:rPr>
          <w:rFonts w:ascii="Arial" w:cs="Arial" w:eastAsia="Arial" w:hAnsi="Arial"/>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third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w:t>
      </w:r>
    </w:p>
    <w:p>
      <w:pPr>
        <w:spacing w:after="0" w:line="8" w:lineRule="exact"/>
        <w:rPr>
          <w:sz w:val="20"/>
          <w:szCs w:val="20"/>
          <w:color w:val="auto"/>
        </w:rPr>
      </w:pPr>
    </w:p>
    <w:p>
      <w:pPr>
        <w:jc w:val="both"/>
        <w:ind w:firstLine="8"/>
        <w:spacing w:after="0" w:line="257" w:lineRule="auto"/>
        <w:tabs>
          <w:tab w:leader="none" w:pos="328"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8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 Reinstatement Date</w:t>
      </w:r>
      <w:r>
        <w:rPr>
          <w:rFonts w:ascii="Arial" w:cs="Arial" w:eastAsia="Arial" w:hAnsi="Arial"/>
          <w:sz w:val="20"/>
          <w:szCs w:val="20"/>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w:t>
      </w:r>
    </w:p>
    <w:p>
      <w:pPr>
        <w:sectPr>
          <w:pgSz w:w="11900" w:h="16838" w:orient="portrait"/>
          <w:cols w:equalWidth="0" w:num="1">
            <w:col w:w="11240"/>
          </w:cols>
          <w:pgMar w:left="320" w:top="568" w:right="339" w:bottom="1440" w:gutter="0" w:footer="0" w:header="0"/>
        </w:sectPr>
      </w:pPr>
    </w:p>
    <w:bookmarkStart w:id="76" w:name="page77"/>
    <w:bookmarkEnd w:id="76"/>
    <w:p>
      <w:pPr>
        <w:jc w:val="both"/>
        <w:spacing w:after="0" w:line="244" w:lineRule="auto"/>
        <w:rPr>
          <w:sz w:val="20"/>
          <w:szCs w:val="20"/>
          <w:color w:val="auto"/>
        </w:rPr>
      </w:pPr>
      <w:r>
        <w:rPr>
          <w:rFonts w:ascii="Arial" w:cs="Arial" w:eastAsia="Arial" w:hAnsi="Arial"/>
          <w:sz w:val="20"/>
          <w:szCs w:val="20"/>
          <w:color w:val="auto"/>
        </w:rPr>
        <w:t>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9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Release Date</w:t>
      </w:r>
      <w:r>
        <w:rPr>
          <w:rFonts w:ascii="Arial" w:cs="Arial" w:eastAsia="Arial" w:hAnsi="Arial"/>
          <w:sz w:val="19"/>
          <w:szCs w:val="19"/>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8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means, collectively, the Company (with respect to the Obligations and Ancillary Facility Outstandings of any Subsidiary Borrower or Ancillary Borrower, as applicable) and, during any Reinstated Guarantee Period, the Subsidiary Guarantors. For the avoidance of doubt, GM Holdings does not and shall not constitute a Guarantor.</w:t>
      </w:r>
    </w:p>
    <w:p>
      <w:pPr>
        <w:spacing w:after="0" w:line="18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HMRC</w:t>
      </w:r>
      <w:r>
        <w:rPr>
          <w:rFonts w:ascii="Arial" w:cs="Arial" w:eastAsia="Arial" w:hAnsi="Arial"/>
          <w:sz w:val="20"/>
          <w:szCs w:val="20"/>
          <w:color w:val="auto"/>
        </w:rPr>
        <w:t>” means Her Majesty’s Revenue and Customs.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HMRC DT Treaty Passport scheme</w:t>
      </w:r>
      <w:r>
        <w:rPr>
          <w:rFonts w:ascii="Arial" w:cs="Arial" w:eastAsia="Arial" w:hAnsi="Arial"/>
          <w:sz w:val="20"/>
          <w:szCs w:val="20"/>
          <w:color w:val="auto"/>
        </w:rPr>
        <w:t>” means the HMRC Double Taxation Treaty Passport scheme.</w:t>
      </w:r>
    </w:p>
    <w:p>
      <w:pPr>
        <w:sectPr>
          <w:pgSz w:w="11900" w:h="16838" w:orient="portrait"/>
          <w:cols w:equalWidth="0" w:num="1">
            <w:col w:w="11240"/>
          </w:cols>
          <w:pgMar w:left="320" w:top="568" w:right="339" w:bottom="1440" w:gutter="0" w:footer="0" w:header="0"/>
        </w:sectPr>
      </w:pPr>
    </w:p>
    <w:bookmarkStart w:id="77" w:name="page78"/>
    <w:bookmarkEnd w:id="77"/>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set forth in the definition of Eurocurrency Base Rate.</w:t>
      </w:r>
    </w:p>
    <w:p>
      <w:pPr>
        <w:spacing w:after="0" w:line="21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6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w:t>
      </w:r>
      <w:r>
        <w:rPr>
          <w:rFonts w:ascii="Arial" w:cs="Arial" w:eastAsia="Arial" w:hAnsi="Arial"/>
          <w:sz w:val="20"/>
          <w:szCs w:val="20"/>
          <w:color w:val="auto"/>
        </w:rPr>
        <w:t>” means any series of Incremental Commitments (other than any Commitment Increase) and the extensions of credit thereunder as provided in any Incremental Loan Activation Notice.</w:t>
      </w:r>
    </w:p>
    <w:p>
      <w:pPr>
        <w:spacing w:after="0" w:line="17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3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Lender</w:t>
      </w:r>
      <w:r>
        <w:rPr>
          <w:rFonts w:ascii="Arial" w:cs="Arial" w:eastAsia="Arial" w:hAnsi="Arial"/>
          <w:sz w:val="19"/>
          <w:szCs w:val="19"/>
          <w:color w:val="auto"/>
        </w:rPr>
        <w:t>” means (a) any Lender designated by the Company (in the case of a Commitment Increase with respect to the L/C Tranche Facility, with the consent of each Material Issuing Lender (unless such Lender is (A) an L/C Tranche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L/C Tranche Facility, each Material Issuing Lender at such time (such consents not to be unreasonably withheld), and (c) each Lender which has made, or acquired pursuant to an assignment made in accordance with Section 10.6, an Incremental Commitment.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 Activation Notice</w:t>
      </w:r>
      <w:r>
        <w:rPr>
          <w:rFonts w:ascii="Arial" w:cs="Arial" w:eastAsia="Arial" w:hAnsi="Arial"/>
          <w:sz w:val="20"/>
          <w:szCs w:val="20"/>
          <w:color w:val="auto"/>
        </w:rPr>
        <w:t>” means a notice substantially in the form of Exhibit 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 Maturity Date</w:t>
      </w:r>
      <w:r>
        <w:rPr>
          <w:rFonts w:ascii="Arial" w:cs="Arial" w:eastAsia="Arial" w:hAnsi="Arial"/>
          <w:sz w:val="20"/>
          <w:szCs w:val="20"/>
          <w:color w:val="auto"/>
        </w:rPr>
        <w:t>” means, as to any Incremental Facility, the maturity date specified in the Incremental Loan Activation Notice relating thereto.</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Loans</w:t>
      </w:r>
      <w:r>
        <w:rPr>
          <w:rFonts w:ascii="Arial" w:cs="Arial" w:eastAsia="Arial" w:hAnsi="Arial"/>
          <w:sz w:val="20"/>
          <w:szCs w:val="20"/>
          <w:color w:val="auto"/>
        </w:rPr>
        <w:t>” has the meaning assigned to such term in Section 2.28(b).</w:t>
      </w:r>
    </w:p>
    <w:p>
      <w:pPr>
        <w:spacing w:after="0" w:line="21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w:t>
      </w:r>
    </w:p>
    <w:p>
      <w:pPr>
        <w:sectPr>
          <w:pgSz w:w="11900" w:h="16838" w:orient="portrait"/>
          <w:cols w:equalWidth="0" w:num="1">
            <w:col w:w="11240"/>
          </w:cols>
          <w:pgMar w:left="320" w:top="568" w:right="339" w:bottom="1440" w:gutter="0" w:footer="0" w:header="0"/>
        </w:sectPr>
      </w:pPr>
    </w:p>
    <w:bookmarkStart w:id="78" w:name="page79"/>
    <w:bookmarkEnd w:id="78"/>
    <w:p>
      <w:pPr>
        <w:jc w:val="both"/>
        <w:ind w:right="20"/>
        <w:spacing w:after="0" w:line="260" w:lineRule="auto"/>
        <w:rPr>
          <w:sz w:val="20"/>
          <w:szCs w:val="20"/>
          <w:color w:val="auto"/>
        </w:rPr>
      </w:pPr>
      <w:r>
        <w:rPr>
          <w:rFonts w:ascii="Arial" w:cs="Arial" w:eastAsia="Arial" w:hAnsi="Arial"/>
          <w:sz w:val="20"/>
          <w:szCs w:val="20"/>
          <w:color w:val="auto"/>
        </w:rPr>
        <w:t>property (including accounts and contract rights) owned by such Person, whether or not such Person has assumed or become liable for the payment of such obligation and (i) all obligations of such Person in respect of Hedging Obligations.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has the meaning assigned to such term in Section 10.5.</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assigned to such term in Section 10.5.</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Index Debt Rating</w:t>
      </w:r>
      <w:r>
        <w:rPr>
          <w:rFonts w:ascii="Arial" w:cs="Arial" w:eastAsia="Arial" w:hAnsi="Arial"/>
          <w:sz w:val="20"/>
          <w:szCs w:val="20"/>
          <w:color w:val="auto"/>
        </w:rPr>
        <w:t>” means, as of any date, the credit rating provided by Moody’s, S&amp;P or Fitch, as applicable, for senior, unsecured, long-term Indebtedness of the Company.</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6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Ineligible Participant</w:t>
      </w:r>
      <w:r>
        <w:rPr>
          <w:rFonts w:ascii="Arial" w:cs="Arial" w:eastAsia="Arial" w:hAnsi="Arial"/>
          <w:sz w:val="19"/>
          <w:szCs w:val="19"/>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Excluded Subsidiary</w:t>
      </w:r>
      <w:r>
        <w:rPr>
          <w:rFonts w:ascii="Arial" w:cs="Arial" w:eastAsia="Arial" w:hAnsi="Arial"/>
          <w:sz w:val="20"/>
          <w:szCs w:val="20"/>
          <w:color w:val="auto"/>
        </w:rPr>
        <w:t>” means each Subsidiary listed on Schedule 1.1B.</w:t>
      </w:r>
    </w:p>
    <w:p>
      <w:pPr>
        <w:spacing w:after="0" w:line="216"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91" w:lineRule="exact"/>
        <w:rPr>
          <w:sz w:val="20"/>
          <w:szCs w:val="20"/>
          <w:color w:val="auto"/>
        </w:rPr>
      </w:pPr>
    </w:p>
    <w:p>
      <w:pPr>
        <w:jc w:val="both"/>
        <w:ind w:firstLine="1296"/>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means, (a) as to any Eurocurrency Loan (i) initially, the period commencing on the borrowing or conversion date, as the case may be, with respect to such Loan and ending one, two, three or six (or, if agreed to by all Lenders under the relevant Facility, twelve) months (or additionally, in</w:t>
      </w:r>
    </w:p>
    <w:p>
      <w:pPr>
        <w:sectPr>
          <w:pgSz w:w="11900" w:h="16838" w:orient="portrait"/>
          <w:cols w:equalWidth="0" w:num="1">
            <w:col w:w="11240"/>
          </w:cols>
          <w:pgMar w:left="320" w:top="568" w:right="339" w:bottom="1440" w:gutter="0" w:footer="0" w:header="0"/>
        </w:sectPr>
      </w:pPr>
    </w:p>
    <w:bookmarkStart w:id="79" w:name="page80"/>
    <w:bookmarkEnd w:id="79"/>
    <w:p>
      <w:pPr>
        <w:jc w:val="both"/>
        <w:spacing w:after="0" w:line="272" w:lineRule="auto"/>
        <w:rPr>
          <w:sz w:val="20"/>
          <w:szCs w:val="20"/>
          <w:color w:val="auto"/>
        </w:rPr>
      </w:pPr>
      <w:r>
        <w:rPr>
          <w:rFonts w:ascii="Arial" w:cs="Arial" w:eastAsia="Arial" w:hAnsi="Arial"/>
          <w:sz w:val="18"/>
          <w:szCs w:val="18"/>
          <w:color w:val="auto"/>
        </w:rPr>
        <w:t xml:space="preserve">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two, three or six (or, if agreed to by all Lenders under the relevant Facility,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8"/>
          <w:szCs w:val="18"/>
          <w:u w:val="single" w:color="auto"/>
          <w:color w:val="auto"/>
        </w:rPr>
        <w:t>provided</w:t>
      </w:r>
      <w:r>
        <w:rPr>
          <w:rFonts w:ascii="Arial" w:cs="Arial" w:eastAsia="Arial" w:hAnsi="Arial"/>
          <w:sz w:val="18"/>
          <w:szCs w:val="18"/>
          <w:color w:val="auto"/>
        </w:rPr>
        <w:t>, that all of the foregoing provisions relating to Interest Periods are subject to the following:</w:t>
      </w:r>
    </w:p>
    <w:p>
      <w:pPr>
        <w:spacing w:after="0" w:line="170" w:lineRule="exact"/>
        <w:rPr>
          <w:sz w:val="20"/>
          <w:szCs w:val="20"/>
          <w:color w:val="auto"/>
        </w:rPr>
      </w:pPr>
    </w:p>
    <w:p>
      <w:pPr>
        <w:jc w:val="both"/>
        <w:ind w:left="1300" w:firstLine="652"/>
        <w:spacing w:after="0" w:line="246" w:lineRule="auto"/>
        <w:tabs>
          <w:tab w:leader="none" w:pos="24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91" w:lineRule="exact"/>
        <w:rPr>
          <w:rFonts w:ascii="Arial" w:cs="Arial" w:eastAsia="Arial" w:hAnsi="Arial"/>
          <w:sz w:val="20"/>
          <w:szCs w:val="20"/>
          <w:color w:val="auto"/>
        </w:rPr>
      </w:pPr>
    </w:p>
    <w:p>
      <w:pPr>
        <w:ind w:left="1300" w:right="20" w:firstLine="652"/>
        <w:spacing w:after="0" w:line="260" w:lineRule="auto"/>
        <w:tabs>
          <w:tab w:leader="none" w:pos="2423"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Company or relevant Subsidiary Borrower may not select an Interest Period under a particular Facility that would extend beyond the earliest Termination Date then in effect for such Facility; and</w:t>
      </w:r>
    </w:p>
    <w:p>
      <w:pPr>
        <w:spacing w:after="0" w:line="176" w:lineRule="exact"/>
        <w:rPr>
          <w:rFonts w:ascii="Arial" w:cs="Arial" w:eastAsia="Arial" w:hAnsi="Arial"/>
          <w:sz w:val="20"/>
          <w:szCs w:val="20"/>
          <w:color w:val="auto"/>
        </w:rPr>
      </w:pPr>
    </w:p>
    <w:p>
      <w:pPr>
        <w:jc w:val="both"/>
        <w:ind w:left="1300" w:firstLine="652"/>
        <w:spacing w:after="0" w:line="250" w:lineRule="auto"/>
        <w:tabs>
          <w:tab w:leader="none" w:pos="243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Interpolated Rate</w:t>
      </w:r>
      <w:r>
        <w:rPr>
          <w:rFonts w:ascii="Arial" w:cs="Arial" w:eastAsia="Arial" w:hAnsi="Arial"/>
          <w:sz w:val="20"/>
          <w:szCs w:val="20"/>
          <w:color w:val="auto"/>
        </w:rPr>
        <w:t>” has the meaning set forth in the definition of Eurocurrency Base Rate.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(1998), International Chamber of Commerce Publication No. 590 and any subsequent revision thereof adhered to by the Issuing Lenders.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w:t>
      </w:r>
      <w:r>
        <w:rPr>
          <w:rFonts w:ascii="Arial" w:cs="Arial" w:eastAsia="Arial" w:hAnsi="Arial"/>
          <w:sz w:val="20"/>
          <w:szCs w:val="20"/>
          <w:color w:val="auto"/>
        </w:rPr>
        <w:t>” means, with respect to a Letter of Credit, the Lender or the Applicable Lending Office thereof that is requested to issue, or that issues, such Letter of Credit pursuant to an L/C Issuing Commitment.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Japanese Yen</w:t>
      </w:r>
      <w:r>
        <w:rPr>
          <w:rFonts w:ascii="Arial" w:cs="Arial" w:eastAsia="Arial" w:hAnsi="Arial"/>
          <w:sz w:val="20"/>
          <w:szCs w:val="20"/>
          <w:color w:val="auto"/>
        </w:rPr>
        <w:t>” means the official currency of Japan.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has the meaning assigned to such term in Section 10.13.</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Fee Letter</w:t>
      </w:r>
      <w:r>
        <w:rPr>
          <w:rFonts w:ascii="Arial" w:cs="Arial" w:eastAsia="Arial" w:hAnsi="Arial"/>
          <w:sz w:val="20"/>
          <w:szCs w:val="20"/>
          <w:color w:val="auto"/>
        </w:rPr>
        <w:t>” means that certain Second Amended and Restated L/C Fee Letter, dated as of the date hereof, among the Company, each L/C Tranche Lender and each Issuing Lender.</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Issuing Commitment</w:t>
      </w:r>
      <w:r>
        <w:rPr>
          <w:rFonts w:ascii="Arial" w:cs="Arial" w:eastAsia="Arial" w:hAnsi="Arial"/>
          <w:sz w:val="20"/>
          <w:szCs w:val="20"/>
          <w:color w:val="auto"/>
        </w:rPr>
        <w:t>” means, as to any L/C Tranche Lender (or Applicable Lending Office thereof), the obligation of such Person to issue Letters of Credit pursuant to Section 3 (including any Existing Letters of Credit issued by such L/C Tranche Lender) in an aggregate Outstanding Amount at any time not to exceed the amount set forth under the heading “L/C Issuing Commitment” opposite such Person’s</w:t>
      </w:r>
    </w:p>
    <w:p>
      <w:pPr>
        <w:sectPr>
          <w:pgSz w:w="11900" w:h="16838" w:orient="portrait"/>
          <w:cols w:equalWidth="0" w:num="1">
            <w:col w:w="11240"/>
          </w:cols>
          <w:pgMar w:left="320" w:top="568" w:right="339" w:bottom="1440" w:gutter="0" w:footer="0" w:header="0"/>
        </w:sectPr>
      </w:pPr>
    </w:p>
    <w:bookmarkStart w:id="80" w:name="page81"/>
    <w:bookmarkEnd w:id="80"/>
    <w:p>
      <w:pPr>
        <w:jc w:val="both"/>
        <w:spacing w:after="0" w:line="260" w:lineRule="auto"/>
        <w:rPr>
          <w:sz w:val="20"/>
          <w:szCs w:val="20"/>
          <w:color w:val="auto"/>
        </w:rPr>
      </w:pPr>
      <w:r>
        <w:rPr>
          <w:rFonts w:ascii="Arial" w:cs="Arial" w:eastAsia="Arial" w:hAnsi="Arial"/>
          <w:sz w:val="20"/>
          <w:szCs w:val="20"/>
          <w:color w:val="auto"/>
        </w:rPr>
        <w:t>name on Schedule 1.1A or in the Assignment and Assumption pursuant to which such Lender becomes a party thereto, in each case, as the same may be changed from time to time pursuant to the terms hereof, including Section 3.10.</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means, at any time, the Dollar Equivalent of the aggregate Outstanding Amount of all Letters of Credit, after giving effect to Section 3.9.</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Participants</w:t>
      </w:r>
      <w:r>
        <w:rPr>
          <w:rFonts w:ascii="Arial" w:cs="Arial" w:eastAsia="Arial" w:hAnsi="Arial"/>
          <w:sz w:val="20"/>
          <w:szCs w:val="20"/>
          <w:color w:val="auto"/>
        </w:rPr>
        <w:t>” means, with respect to any Letter of Credit issued by an Issuing Lender, the collective reference to all of the L/C Tranche Lenders (other than the Issuing Lender with respect to such Letter of Credit).</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Commitment</w:t>
      </w:r>
      <w:r>
        <w:rPr>
          <w:rFonts w:ascii="Arial" w:cs="Arial" w:eastAsia="Arial" w:hAnsi="Arial"/>
          <w:sz w:val="18"/>
          <w:szCs w:val="18"/>
          <w:color w:val="auto"/>
        </w:rPr>
        <w:t>” means as to any Lender, the obligation of such Lender, if any, to make L/C Tranche Loans and participate in Letters of Credit in an aggregate principal and/or face amount the Dollar Equivalent of which shall not exceed the amount set forth under the heading “L/C Tranche Commitment” opposite such Lender’s name on Schedule 1.1A or in the Assignment and Assumption pursuant to which such Lender became a party hereto, as the same may be changed from time to time pursuant to the terms hereof.</w:t>
      </w:r>
    </w:p>
    <w:p>
      <w:pPr>
        <w:spacing w:after="0" w:line="16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Tranche Extensions of Credit</w:t>
      </w:r>
      <w:r>
        <w:rPr>
          <w:rFonts w:ascii="Arial" w:cs="Arial" w:eastAsia="Arial" w:hAnsi="Arial"/>
          <w:sz w:val="19"/>
          <w:szCs w:val="19"/>
          <w:color w:val="auto"/>
        </w:rPr>
        <w:t>” means, as to any L/C Tranche Lender at any time, an amount equal to the sum of (a) the Dollar Equivalent of the aggregate principal amount of all L/C Tranche Loans held by such Lender then outstanding and (b) an amount equal to such Lender’s applicable L/C Tranche Percentage of the aggregate L/C Obligations then outstanding.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Tranche Facility</w:t>
      </w:r>
      <w:r>
        <w:rPr>
          <w:rFonts w:ascii="Arial" w:cs="Arial" w:eastAsia="Arial" w:hAnsi="Arial"/>
          <w:sz w:val="20"/>
          <w:szCs w:val="20"/>
          <w:color w:val="auto"/>
        </w:rPr>
        <w:t>” means the L/C Tranche Commitments and the extensions of credit made thereunder.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Tranche Lender</w:t>
      </w:r>
      <w:r>
        <w:rPr>
          <w:rFonts w:ascii="Arial" w:cs="Arial" w:eastAsia="Arial" w:hAnsi="Arial"/>
          <w:sz w:val="19"/>
          <w:szCs w:val="19"/>
          <w:color w:val="auto"/>
        </w:rPr>
        <w:t>” means each Lender that has a L/C Tranche Commitment or that holds L/C Tranche Loans.</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Tranche Loans</w:t>
      </w:r>
      <w:r>
        <w:rPr>
          <w:rFonts w:ascii="Arial" w:cs="Arial" w:eastAsia="Arial" w:hAnsi="Arial"/>
          <w:sz w:val="20"/>
          <w:szCs w:val="20"/>
          <w:color w:val="auto"/>
        </w:rPr>
        <w:t>” has the meaning assigned to such term in Section 2.7(a).</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Tranche Percentage</w:t>
      </w:r>
      <w:r>
        <w:rPr>
          <w:rFonts w:ascii="Arial" w:cs="Arial" w:eastAsia="Arial" w:hAnsi="Arial"/>
          <w:sz w:val="20"/>
          <w:szCs w:val="20"/>
          <w:color w:val="auto"/>
        </w:rPr>
        <w:t>” means as to any L/C Tranche Lender at any time, the percentage which such Lender’s L/C Tranche Commitment then constitutes of the aggregate amount of the L/C Tranche Commitments then in effect or, at any time after all the L/C Tranche Commitments shall have expired or terminated, the percentage which the aggregate Outstanding Amount of L/C Tranche Extensions of Credit of such Lender then outstanding constitutes of the aggregate Outstanding Amount of L/C Tranche Extensions of Credit of the L/C Tranche Lenders then outstanding.</w:t>
      </w:r>
    </w:p>
    <w:p>
      <w:pPr>
        <w:spacing w:after="0" w:line="19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6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has the meaning assigned to such term in the preamble hereto and shall include, individually and in the aggregate, the Brazilian Lenders, the Domestic Lenders, the L/C Tranche Lenders,</w:t>
      </w:r>
    </w:p>
    <w:p>
      <w:pPr>
        <w:sectPr>
          <w:pgSz w:w="11900" w:h="16838" w:orient="portrait"/>
          <w:cols w:equalWidth="0" w:num="1">
            <w:col w:w="11240"/>
          </w:cols>
          <w:pgMar w:left="320" w:top="568" w:right="339" w:bottom="1440" w:gutter="0" w:footer="0" w:header="0"/>
        </w:sectPr>
      </w:pPr>
    </w:p>
    <w:bookmarkStart w:id="81" w:name="page82"/>
    <w:bookmarkEnd w:id="81"/>
    <w:p>
      <w:pPr>
        <w:jc w:val="both"/>
        <w:spacing w:after="0" w:line="260" w:lineRule="auto"/>
        <w:rPr>
          <w:sz w:val="20"/>
          <w:szCs w:val="20"/>
          <w:color w:val="auto"/>
        </w:rPr>
      </w:pPr>
      <w:r>
        <w:rPr>
          <w:rFonts w:ascii="Arial" w:cs="Arial" w:eastAsia="Arial" w:hAnsi="Arial"/>
          <w:sz w:val="20"/>
          <w:szCs w:val="20"/>
          <w:color w:val="auto"/>
        </w:rPr>
        <w:t>the Issuing Lenders and the Multicurrency Lenders. To the extent any Incremental Facility or New Local Facility is established, “Lenders” shall, to the extent appropriate, include any Lender under such Facilities.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“Lender Proposal” has the meaning assigned to such term in Section 2.29(a).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has the meaning assigned to such term in Section 3.1(a), after giving effect to Section 3.9.</w:t>
      </w:r>
    </w:p>
    <w:p>
      <w:pPr>
        <w:spacing w:after="0" w:line="21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Acknowledgment</w:t>
      </w:r>
      <w:r>
        <w:rPr>
          <w:rFonts w:ascii="Arial" w:cs="Arial" w:eastAsia="Arial" w:hAnsi="Arial"/>
          <w:sz w:val="19"/>
          <w:szCs w:val="19"/>
          <w:color w:val="auto"/>
        </w:rPr>
        <w:t xml:space="preserve">” means an acknowledgment signed by any Applicable Lending Office of an Issuing Lender that issues a Letter of Credit, the Applicable Account Party and the Company pursuant to the terms of Section 3.10(b), substantially in the form of Exhibit N 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only one such acknowledgment shall be required to be executed as between any Applicable Lending Office of an Issuing Lender, the Company and any Applicable Account Party (and shall be delivered in connection with the first issuance of a Letter of Credit by such Applicable Lending Office for the benefit of such Applicable Account Party), unless and until such Applicable Lending Office shall reasonably request an additional acknowledgment be executed to reflect changes to the terms of any Letter of Credit to the extent permitted pursuant to Section 3.12(a)(ii).</w:t>
      </w:r>
    </w:p>
    <w:p>
      <w:pPr>
        <w:spacing w:after="0" w:line="185"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pledge, lien, security interest, charge, conditional sale or other title retention agreement or other similar encumbrance.</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the L/C Fee Letter, the Brazilian Bank Certificates, the Guarantee, the Notes, each Borrower Joinder Agreement, each Guarantee Joinder and any amendment, waiver, supplement or other modification to any of the foregoing.</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xml:space="preserve">” means, collectively, (a) the Company and each Subsidiary Borrower and (b) during any Reinstated Guarantee Period, each Subsidiary Guarantor;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and advances made by the Lenders pursuant to this Agreement, including Brazilian Loans, Domestic Loans, L/C Tranche Loans, Multicurrency Loans and Competitive Loans. To the extent any Incremental Facility or New Local Facility is established, “Loans” shall, to the extent appropriate, include Loans made under such Facilities.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Local Facility Amendment</w:t>
      </w:r>
      <w:r>
        <w:rPr>
          <w:rFonts w:ascii="Arial" w:cs="Arial" w:eastAsia="Arial" w:hAnsi="Arial"/>
          <w:sz w:val="20"/>
          <w:szCs w:val="20"/>
          <w:color w:val="auto"/>
        </w:rPr>
        <w:t>” has the meaning assigned to such term in Section 2.27(a).</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Local Time</w:t>
      </w:r>
      <w:r>
        <w:rPr>
          <w:rFonts w:ascii="Arial" w:cs="Arial" w:eastAsia="Arial" w:hAnsi="Arial"/>
          <w:sz w:val="20"/>
          <w:szCs w:val="20"/>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9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Facility Lenders</w:t>
      </w:r>
      <w:r>
        <w:rPr>
          <w:rFonts w:ascii="Arial" w:cs="Arial" w:eastAsia="Arial" w:hAnsi="Arial"/>
          <w:sz w:val="19"/>
          <w:szCs w:val="19"/>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ectPr>
          <w:pgSz w:w="11900" w:h="16838" w:orient="portrait"/>
          <w:cols w:equalWidth="0" w:num="1">
            <w:col w:w="11240"/>
          </w:cols>
          <w:pgMar w:left="320" w:top="568" w:right="339" w:bottom="1440" w:gutter="0" w:footer="0" w:header="0"/>
        </w:sectPr>
      </w:pPr>
    </w:p>
    <w:bookmarkStart w:id="82" w:name="page83"/>
    <w:bookmarkEnd w:id="82"/>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w:t>
      </w:r>
      <w:r>
        <w:rPr>
          <w:rFonts w:ascii="Arial" w:cs="Arial" w:eastAsia="Arial" w:hAnsi="Arial"/>
          <w:sz w:val="19"/>
          <w:szCs w:val="19"/>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52"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Marketable Securities</w:t>
      </w:r>
      <w:r>
        <w:rPr>
          <w:rFonts w:ascii="Arial" w:cs="Arial" w:eastAsia="Arial" w:hAnsi="Arial"/>
          <w:sz w:val="20"/>
          <w:szCs w:val="20"/>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9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Issuing Lender</w:t>
      </w:r>
      <w:r>
        <w:rPr>
          <w:rFonts w:ascii="Arial" w:cs="Arial" w:eastAsia="Arial" w:hAnsi="Arial"/>
          <w:sz w:val="20"/>
          <w:szCs w:val="20"/>
          <w:color w:val="auto"/>
        </w:rPr>
        <w:t>” means any Issuing Lender with an L/C Issuing Commitment of $200 million or more.</w:t>
      </w:r>
    </w:p>
    <w:p>
      <w:pPr>
        <w:spacing w:after="0" w:line="2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Loan Party</w:t>
      </w:r>
      <w:r>
        <w:rPr>
          <w:rFonts w:ascii="Arial" w:cs="Arial" w:eastAsia="Arial" w:hAnsi="Arial"/>
          <w:sz w:val="19"/>
          <w:szCs w:val="19"/>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2017 10-K and thereafter in the most recent annual consolidated financial statements of the Company delivered or deemed delivered pursuant to Section 6.1 and (b) at all other times, the Company.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its successors.</w:t>
      </w:r>
    </w:p>
    <w:p>
      <w:pPr>
        <w:spacing w:after="0" w:line="21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 (including, with respect to any Lender that has utilized its Multicurrency Commitment to provide any Ancillary Facility, other than for purposes of determining the Required Lenders, the Majority Facility Lenders or Sections 9.7 or 10.6, (x) as reduced by such Ancillary Commitment of such Lender then in effect and (y) as increased by any such Ancillary Commitment to the extent such Ancillary Commitment is reduced or cancelled).</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Competitive Loan</w:t>
      </w:r>
      <w:r>
        <w:rPr>
          <w:rFonts w:ascii="Arial" w:cs="Arial" w:eastAsia="Arial" w:hAnsi="Arial"/>
          <w:sz w:val="20"/>
          <w:szCs w:val="20"/>
          <w:color w:val="auto"/>
        </w:rPr>
        <w:t>” means a Competitive Loan made under the Multicurrency Facility.</w:t>
      </w:r>
    </w:p>
    <w:p>
      <w:pPr>
        <w:sectPr>
          <w:pgSz w:w="11900" w:h="16838" w:orient="portrait"/>
          <w:cols w:equalWidth="0" w:num="1">
            <w:col w:w="11240"/>
          </w:cols>
          <w:pgMar w:left="320" w:top="568" w:right="339" w:bottom="1440" w:gutter="0" w:footer="0" w:header="0"/>
        </w:sectPr>
      </w:pPr>
    </w:p>
    <w:bookmarkStart w:id="83" w:name="page84"/>
    <w:bookmarkEnd w:id="83"/>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Extensions of Credit</w:t>
      </w:r>
      <w:r>
        <w:rPr>
          <w:rFonts w:ascii="Arial" w:cs="Arial" w:eastAsia="Arial" w:hAnsi="Arial"/>
          <w:sz w:val="20"/>
          <w:szCs w:val="20"/>
          <w:color w:val="auto"/>
        </w:rPr>
        <w:t>” means, as to any Multicurrency Lender at any time, an amount equal to the Dollar Equivalent of the aggregate principal amount of all Multicurrency Loans held by such Lender then outstanding.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Facility</w:t>
      </w:r>
      <w:r>
        <w:rPr>
          <w:rFonts w:ascii="Arial" w:cs="Arial" w:eastAsia="Arial" w:hAnsi="Arial"/>
          <w:sz w:val="20"/>
          <w:szCs w:val="20"/>
          <w:color w:val="auto"/>
        </w:rPr>
        <w:t>” means the Multicurrency Commitments and the extensions of credit made thereunder.</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Lender</w:t>
      </w:r>
      <w:r>
        <w:rPr>
          <w:rFonts w:ascii="Arial" w:cs="Arial" w:eastAsia="Arial" w:hAnsi="Arial"/>
          <w:sz w:val="20"/>
          <w:szCs w:val="20"/>
          <w:color w:val="auto"/>
        </w:rPr>
        <w:t>” means each Lender that has a Multicurrency Commitment or that holds Multicurrency Loans or other Loans made under the Multicurrency Facility.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Loans</w:t>
      </w:r>
      <w:r>
        <w:rPr>
          <w:rFonts w:ascii="Arial" w:cs="Arial" w:eastAsia="Arial" w:hAnsi="Arial"/>
          <w:sz w:val="20"/>
          <w:szCs w:val="20"/>
          <w:color w:val="auto"/>
        </w:rPr>
        <w:t>” has the meaning assigned to such term in Section 2.3.</w:t>
      </w:r>
    </w:p>
    <w:p>
      <w:pPr>
        <w:spacing w:after="0" w:line="21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Percentage</w:t>
      </w:r>
      <w:r>
        <w:rPr>
          <w:rFonts w:ascii="Arial" w:cs="Arial" w:eastAsia="Arial" w:hAnsi="Arial"/>
          <w:sz w:val="19"/>
          <w:szCs w:val="19"/>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7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Book Value</w:t>
      </w:r>
      <w:r>
        <w:rPr>
          <w:rFonts w:ascii="Arial" w:cs="Arial" w:eastAsia="Arial" w:hAnsi="Arial"/>
          <w:sz w:val="19"/>
          <w:szCs w:val="19"/>
          <w:color w:val="auto"/>
        </w:rPr>
        <w:t xml:space="preserve">” means with respect to any asset of any Person (a) other than accounts receivable, the gross book value of such asset on the balance sheet of such Person,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depreciation in respect of such asset on such balance sheet and (b) with respect to accounts receivable, the gross book value thereof,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specific reserves attributable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Local Facility</w:t>
      </w:r>
      <w:r>
        <w:rPr>
          <w:rFonts w:ascii="Arial" w:cs="Arial" w:eastAsia="Arial" w:hAnsi="Arial"/>
          <w:sz w:val="20"/>
          <w:szCs w:val="20"/>
          <w:color w:val="auto"/>
        </w:rPr>
        <w:t>” has the meaning assigned to such term in Section 2.27(a).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Local Facility Lender</w:t>
      </w:r>
      <w:r>
        <w:rPr>
          <w:rFonts w:ascii="Arial" w:cs="Arial" w:eastAsia="Arial" w:hAnsi="Arial"/>
          <w:sz w:val="20"/>
          <w:szCs w:val="20"/>
          <w:color w:val="auto"/>
        </w:rPr>
        <w:t>” has the meaning assigned to such term in Section 2.27(a).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Non-Excluded Taxes</w:t>
      </w:r>
      <w:r>
        <w:rPr>
          <w:rFonts w:ascii="Arial" w:cs="Arial" w:eastAsia="Arial" w:hAnsi="Arial"/>
          <w:sz w:val="20"/>
          <w:szCs w:val="20"/>
          <w:color w:val="auto"/>
        </w:rPr>
        <w:t>” has the meaning assigned to such term in Section 2.21(a).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Non-Extending Lender</w:t>
      </w:r>
      <w:r>
        <w:rPr>
          <w:rFonts w:ascii="Arial" w:cs="Arial" w:eastAsia="Arial" w:hAnsi="Arial"/>
          <w:sz w:val="20"/>
          <w:szCs w:val="20"/>
          <w:color w:val="auto"/>
        </w:rPr>
        <w:t>” has the meaning assigned to such term in Section 2.29(b).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has the meaning assigned to such term in Section 2.21(d).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has the meaning assigned to such term in Section 2.19(g).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that if none of such rates are published for any day that is a Business Day, the term “NYFRB Rate” means the rate for a federal funds transaction quoted at 11:00 a.m. on such day received to the Administrative Agent from a Federal funds</w:t>
      </w:r>
    </w:p>
    <w:p>
      <w:pPr>
        <w:sectPr>
          <w:pgSz w:w="11900" w:h="16838" w:orient="portrait"/>
          <w:cols w:equalWidth="0" w:num="1">
            <w:col w:w="11240"/>
          </w:cols>
          <w:pgMar w:left="320" w:top="568" w:right="339" w:bottom="1440" w:gutter="0" w:footer="0" w:header="0"/>
        </w:sectPr>
      </w:pPr>
    </w:p>
    <w:bookmarkStart w:id="84" w:name="page85"/>
    <w:bookmarkEnd w:id="84"/>
    <w:p>
      <w:pPr>
        <w:jc w:val="both"/>
        <w:spacing w:after="0" w:line="260" w:lineRule="auto"/>
        <w:rPr>
          <w:sz w:val="20"/>
          <w:szCs w:val="20"/>
          <w:color w:val="auto"/>
        </w:rPr>
      </w:pPr>
      <w:r>
        <w:rPr>
          <w:rFonts w:ascii="Arial" w:cs="Arial" w:eastAsia="Arial" w:hAnsi="Arial"/>
          <w:sz w:val="20"/>
          <w:szCs w:val="20"/>
          <w:color w:val="auto"/>
        </w:rPr>
        <w:t xml:space="preserve">broker of recognized standing selected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any of the aforesaid rates shall be less than zero, such rate shall be deemed to be zero for purposes of this Agreement.</w:t>
      </w:r>
    </w:p>
    <w:p>
      <w:pPr>
        <w:spacing w:after="0" w:line="17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Optional Currency</w:t>
      </w:r>
      <w:r>
        <w:rPr>
          <w:rFonts w:ascii="Arial" w:cs="Arial" w:eastAsia="Arial" w:hAnsi="Arial"/>
          <w:sz w:val="20"/>
          <w:szCs w:val="20"/>
          <w:color w:val="auto"/>
        </w:rPr>
        <w:t xml:space="preserve">” means, (i) with respect to Loans made under each Facility (other than the Brazilian Facility and the Domestic Facility), at any time, Euro, Pounds Sterling, Japanese Yen and such other currencies which are freely convertible into Dollars and are freely traded and available in the London </w:t>
      </w:r>
      <w:r>
        <w:rPr>
          <w:rFonts w:ascii="Arial" w:cs="Arial" w:eastAsia="Arial" w:hAnsi="Arial"/>
          <w:sz w:val="20"/>
          <w:szCs w:val="20"/>
          <w:color w:val="FF0000"/>
          <w:strike w:val="1"/>
        </w:rPr>
        <w:t>I</w:t>
      </w:r>
      <w:r>
        <w:rPr>
          <w:rFonts w:ascii="Arial" w:cs="Arial" w:eastAsia="Arial" w:hAnsi="Arial"/>
          <w:sz w:val="20"/>
          <w:szCs w:val="20"/>
          <w:u w:val="single" w:color="auto"/>
          <w:color w:val="0000FF"/>
        </w:rPr>
        <w:t>i</w:t>
      </w:r>
      <w:r>
        <w:rPr>
          <w:rFonts w:ascii="Arial" w:cs="Arial" w:eastAsia="Arial" w:hAnsi="Arial"/>
          <w:sz w:val="20"/>
          <w:szCs w:val="20"/>
          <w:color w:val="auto"/>
        </w:rPr>
        <w:t>nterbank eurocurrency market with the consent of the Administrative Agent and the Lenders under the applicable Facility and (ii) with respect to Letters of Credit issued under the L/C Tranche Facility, the currencies specified in the L/C Fee Letter.</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Currency</w:t>
      </w:r>
      <w:r>
        <w:rPr>
          <w:rFonts w:ascii="Arial" w:cs="Arial" w:eastAsia="Arial" w:hAnsi="Arial"/>
          <w:sz w:val="20"/>
          <w:szCs w:val="20"/>
          <w:color w:val="auto"/>
        </w:rPr>
        <w:t>” has the meaning assigned to such term in Section 10.13.</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9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xml:space="preserve">” means, for any day, the rate comprised of both overnight federal funds and overnight eurocurrency borrowings by U.S.-managed banking offices of depository institutions (as such composite rate shall be determined by the NYFRB as set forth on </w:t>
      </w:r>
      <w:r>
        <w:rPr>
          <w:rFonts w:ascii="Arial" w:cs="Arial" w:eastAsia="Arial" w:hAnsi="Arial"/>
          <w:sz w:val="20"/>
          <w:szCs w:val="20"/>
          <w:color w:val="FF0000"/>
          <w:strike w:val="1"/>
        </w:rPr>
        <w:t>its public</w:t>
      </w:r>
      <w:r>
        <w:rPr>
          <w:rFonts w:ascii="Arial" w:cs="Arial" w:eastAsia="Arial" w:hAnsi="Arial"/>
          <w:sz w:val="20"/>
          <w:szCs w:val="20"/>
          <w:u w:val="single" w:color="auto"/>
          <w:color w:val="0000FF"/>
        </w:rPr>
        <w:t>the Federal Reserve Bank of New York’s</w:t>
      </w:r>
      <w:r>
        <w:rPr>
          <w:rFonts w:ascii="Arial" w:cs="Arial" w:eastAsia="Arial" w:hAnsi="Arial"/>
          <w:sz w:val="20"/>
          <w:szCs w:val="20"/>
          <w:color w:val="auto"/>
        </w:rPr>
        <w:t xml:space="preserve"> </w:t>
      </w:r>
      <w:r>
        <w:rPr>
          <w:rFonts w:ascii="Arial" w:cs="Arial" w:eastAsia="Arial" w:hAnsi="Arial"/>
          <w:sz w:val="20"/>
          <w:szCs w:val="20"/>
          <w:color w:val="FF0000"/>
          <w:strike w:val="1"/>
        </w:rPr>
        <w:t>w</w:t>
      </w:r>
      <w:r>
        <w:rPr>
          <w:rFonts w:ascii="Arial" w:cs="Arial" w:eastAsia="Arial" w:hAnsi="Arial"/>
          <w:sz w:val="20"/>
          <w:szCs w:val="20"/>
          <w:u w:val="single" w:color="auto"/>
          <w:color w:val="0000FF"/>
        </w:rPr>
        <w:t>W</w:t>
      </w:r>
      <w:r>
        <w:rPr>
          <w:rFonts w:ascii="Arial" w:cs="Arial" w:eastAsia="Arial" w:hAnsi="Arial"/>
          <w:sz w:val="20"/>
          <w:szCs w:val="20"/>
          <w:color w:val="auto"/>
        </w:rPr>
        <w:t xml:space="preserve">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Overnight Bank Funding Rate shall be less than zero, such rate shall be deemed to be zero for purposes of this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assigned to such term in Section 10.6(c)(i).</w:t>
      </w:r>
    </w:p>
    <w:p>
      <w:pPr>
        <w:sectPr>
          <w:pgSz w:w="11900" w:h="16838" w:orient="portrait"/>
          <w:cols w:equalWidth="0" w:num="1">
            <w:col w:w="11240"/>
          </w:cols>
          <w:pgMar w:left="320" w:top="568" w:right="339" w:bottom="1440" w:gutter="0" w:footer="0" w:header="0"/>
        </w:sectPr>
      </w:pPr>
    </w:p>
    <w:bookmarkStart w:id="85" w:name="page86"/>
    <w:bookmarkEnd w:id="85"/>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assigned to such term in Section 10.6(c)(i).</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has the Euro as its lawful currency in accordance with legislation of the European Union relating to Economic and Monetary Union.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 established pursuant to Subtitle A of Title IV of ERISA.</w:t>
      </w:r>
    </w:p>
    <w:p>
      <w:pPr>
        <w:spacing w:after="0" w:line="22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Percentage</w:t>
      </w:r>
      <w:r>
        <w:rPr>
          <w:rFonts w:ascii="Arial" w:cs="Arial" w:eastAsia="Arial" w:hAnsi="Arial"/>
          <w:sz w:val="20"/>
          <w:szCs w:val="20"/>
          <w:color w:val="auto"/>
        </w:rPr>
        <w:t>” means as to any Lender, the applicable Brazilian Percentage of such Lender, the applicable Domestic Percentage of such Lender, the applicable L/C Tranche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216" w:lineRule="exact"/>
        <w:rPr>
          <w:sz w:val="20"/>
          <w:szCs w:val="20"/>
          <w:color w:val="auto"/>
        </w:rPr>
      </w:pPr>
    </w:p>
    <w:p>
      <w:pPr>
        <w:jc w:val="both"/>
        <w:ind w:left="1300" w:firstLine="652"/>
        <w:spacing w:after="0" w:line="244" w:lineRule="auto"/>
        <w:tabs>
          <w:tab w:leader="none" w:pos="2509"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that if and to the extent required by GAAP, adequate reserves with respect thereto are maintained on the books of the relevant Person in conformity with GAAP;</w:t>
      </w:r>
    </w:p>
    <w:p>
      <w:pPr>
        <w:spacing w:after="0" w:line="194" w:lineRule="exact"/>
        <w:rPr>
          <w:rFonts w:ascii="Arial" w:cs="Arial" w:eastAsia="Arial" w:hAnsi="Arial"/>
          <w:sz w:val="20"/>
          <w:szCs w:val="20"/>
          <w:color w:val="auto"/>
        </w:rPr>
      </w:pPr>
    </w:p>
    <w:p>
      <w:pPr>
        <w:jc w:val="both"/>
        <w:ind w:left="1300" w:firstLine="652"/>
        <w:spacing w:after="0" w:line="246" w:lineRule="auto"/>
        <w:tabs>
          <w:tab w:leader="none" w:pos="245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91" w:lineRule="exact"/>
        <w:rPr>
          <w:rFonts w:ascii="Arial" w:cs="Arial" w:eastAsia="Arial" w:hAnsi="Arial"/>
          <w:sz w:val="20"/>
          <w:szCs w:val="20"/>
          <w:color w:val="auto"/>
        </w:rPr>
      </w:pPr>
    </w:p>
    <w:p>
      <w:pPr>
        <w:ind w:left="2360" w:hanging="408"/>
        <w:spacing w:after="0"/>
        <w:tabs>
          <w:tab w:leader="none" w:pos="2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Liens securing Hedging Obligations not entered into for speculative purposes;</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377" w:val="left"/>
        </w:tabs>
        <w:numPr>
          <w:ilvl w:val="0"/>
          <w:numId w:val="16"/>
        </w:numPr>
        <w:rPr>
          <w:rFonts w:ascii="Arial" w:cs="Arial" w:eastAsia="Arial" w:hAnsi="Arial"/>
          <w:sz w:val="20"/>
          <w:szCs w:val="20"/>
          <w:color w:val="auto"/>
        </w:rPr>
      </w:pPr>
      <w:r>
        <w:rPr>
          <w:rFonts w:ascii="Arial" w:cs="Arial" w:eastAsia="Arial" w:hAnsi="Arial"/>
          <w:sz w:val="20"/>
          <w:szCs w:val="20"/>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85" w:lineRule="exact"/>
        <w:rPr>
          <w:rFonts w:ascii="Arial" w:cs="Arial" w:eastAsia="Arial" w:hAnsi="Arial"/>
          <w:sz w:val="20"/>
          <w:szCs w:val="20"/>
          <w:color w:val="auto"/>
        </w:rPr>
      </w:pPr>
    </w:p>
    <w:p>
      <w:pPr>
        <w:jc w:val="both"/>
        <w:ind w:left="1300" w:firstLine="652"/>
        <w:spacing w:after="0" w:line="243" w:lineRule="auto"/>
        <w:tabs>
          <w:tab w:leader="none" w:pos="2399"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95" w:lineRule="exact"/>
        <w:rPr>
          <w:rFonts w:ascii="Arial" w:cs="Arial" w:eastAsia="Arial" w:hAnsi="Arial"/>
          <w:sz w:val="20"/>
          <w:szCs w:val="20"/>
          <w:color w:val="auto"/>
        </w:rPr>
      </w:pPr>
    </w:p>
    <w:p>
      <w:pPr>
        <w:jc w:val="both"/>
        <w:ind w:left="1300" w:firstLine="652"/>
        <w:spacing w:after="0" w:line="250" w:lineRule="auto"/>
        <w:tabs>
          <w:tab w:leader="none" w:pos="2358"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ectPr>
          <w:pgSz w:w="11900" w:h="16838" w:orient="portrait"/>
          <w:cols w:equalWidth="0" w:num="1">
            <w:col w:w="11240"/>
          </w:cols>
          <w:pgMar w:left="320" w:top="568" w:right="339" w:bottom="1440" w:gutter="0" w:footer="0" w:header="0"/>
        </w:sectPr>
      </w:pPr>
    </w:p>
    <w:bookmarkStart w:id="86" w:name="page87"/>
    <w:bookmarkEnd w:id="86"/>
    <w:p>
      <w:pPr>
        <w:jc w:val="both"/>
        <w:ind w:left="180" w:firstLine="652"/>
        <w:spacing w:after="0" w:line="276" w:lineRule="auto"/>
        <w:tabs>
          <w:tab w:leader="none" w:pos="13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64" w:lineRule="exact"/>
        <w:rPr>
          <w:rFonts w:ascii="Arial" w:cs="Arial" w:eastAsia="Arial" w:hAnsi="Arial"/>
          <w:sz w:val="18"/>
          <w:szCs w:val="18"/>
          <w:color w:val="auto"/>
        </w:rPr>
      </w:pPr>
    </w:p>
    <w:p>
      <w:pPr>
        <w:jc w:val="both"/>
        <w:ind w:left="180" w:firstLine="652"/>
        <w:spacing w:after="0" w:line="250" w:lineRule="auto"/>
        <w:tabs>
          <w:tab w:leader="none" w:pos="1279" w:val="left"/>
        </w:tabs>
        <w:numPr>
          <w:ilvl w:val="0"/>
          <w:numId w:val="17"/>
        </w:numPr>
        <w:rPr>
          <w:rFonts w:ascii="Arial" w:cs="Arial" w:eastAsia="Arial" w:hAnsi="Arial"/>
          <w:sz w:val="20"/>
          <w:szCs w:val="20"/>
          <w:color w:val="auto"/>
        </w:rPr>
      </w:pPr>
      <w:r>
        <w:rPr>
          <w:rFonts w:ascii="Arial" w:cs="Arial" w:eastAsia="Arial" w:hAnsi="Arial"/>
          <w:sz w:val="20"/>
          <w:szCs w:val="20"/>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185" w:lineRule="exact"/>
        <w:rPr>
          <w:rFonts w:ascii="Arial" w:cs="Arial" w:eastAsia="Arial" w:hAnsi="Arial"/>
          <w:sz w:val="20"/>
          <w:szCs w:val="20"/>
          <w:color w:val="auto"/>
        </w:rPr>
      </w:pPr>
    </w:p>
    <w:p>
      <w:pPr>
        <w:jc w:val="both"/>
        <w:ind w:left="180" w:firstLine="652"/>
        <w:spacing w:after="0" w:line="274" w:lineRule="auto"/>
        <w:tabs>
          <w:tab w:leader="none" w:pos="12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68" w:lineRule="exact"/>
        <w:rPr>
          <w:rFonts w:ascii="Arial" w:cs="Arial" w:eastAsia="Arial" w:hAnsi="Arial"/>
          <w:sz w:val="18"/>
          <w:szCs w:val="18"/>
          <w:color w:val="auto"/>
        </w:rPr>
      </w:pPr>
    </w:p>
    <w:p>
      <w:pPr>
        <w:jc w:val="both"/>
        <w:ind w:left="180" w:firstLine="652"/>
        <w:spacing w:after="0" w:line="246" w:lineRule="auto"/>
        <w:tabs>
          <w:tab w:leader="none" w:pos="1273"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Liens in existence on the Closing Date and listed on Schedule 1.1D,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91" w:lineRule="exact"/>
        <w:rPr>
          <w:rFonts w:ascii="Arial" w:cs="Arial" w:eastAsia="Arial" w:hAnsi="Arial"/>
          <w:sz w:val="20"/>
          <w:szCs w:val="20"/>
          <w:color w:val="auto"/>
        </w:rPr>
      </w:pPr>
    </w:p>
    <w:p>
      <w:pPr>
        <w:jc w:val="both"/>
        <w:ind w:left="180" w:firstLine="652"/>
        <w:spacing w:after="0" w:line="246" w:lineRule="auto"/>
        <w:tabs>
          <w:tab w:leader="none" w:pos="1286"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Liens on property or Capital Stock of a Person at the time such Person becomes a Loan Party or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such Liens are not created, incurred or assumed in connection with, or in contemplation of, such other Person becoming a Subsidiary;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such Lien may not extend to any other property owned by the Company or any Principal Domestic Subsidiary;</w:t>
      </w:r>
    </w:p>
    <w:p>
      <w:pPr>
        <w:spacing w:after="0" w:line="191" w:lineRule="exact"/>
        <w:rPr>
          <w:rFonts w:ascii="Arial" w:cs="Arial" w:eastAsia="Arial" w:hAnsi="Arial"/>
          <w:sz w:val="20"/>
          <w:szCs w:val="20"/>
          <w:color w:val="auto"/>
        </w:rPr>
      </w:pPr>
    </w:p>
    <w:p>
      <w:pPr>
        <w:jc w:val="both"/>
        <w:ind w:left="180" w:firstLine="652"/>
        <w:spacing w:after="0" w:line="244" w:lineRule="auto"/>
        <w:tabs>
          <w:tab w:leader="none" w:pos="1366"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such Liens are not created, incurred or assumed in connection with, or in contemplation of, such acquisition;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Liens may not extend to any other property owned by the Company or any Principal Domestic Subsidiary;</w:t>
      </w:r>
    </w:p>
    <w:p>
      <w:pPr>
        <w:spacing w:after="0" w:line="194" w:lineRule="exact"/>
        <w:rPr>
          <w:rFonts w:ascii="Arial" w:cs="Arial" w:eastAsia="Arial" w:hAnsi="Arial"/>
          <w:sz w:val="20"/>
          <w:szCs w:val="20"/>
          <w:color w:val="auto"/>
        </w:rPr>
      </w:pPr>
    </w:p>
    <w:p>
      <w:pPr>
        <w:jc w:val="both"/>
        <w:ind w:left="180" w:firstLine="652"/>
        <w:spacing w:after="0" w:line="250" w:lineRule="auto"/>
        <w:tabs>
          <w:tab w:leader="none" w:pos="1315"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ectPr>
          <w:pgSz w:w="11900" w:h="16838" w:orient="portrait"/>
          <w:cols w:equalWidth="0" w:num="1">
            <w:col w:w="10120"/>
          </w:cols>
          <w:pgMar w:left="1440" w:top="568" w:right="339" w:bottom="1440" w:gutter="0" w:footer="0" w:header="0"/>
        </w:sectPr>
      </w:pPr>
    </w:p>
    <w:bookmarkStart w:id="87" w:name="page88"/>
    <w:bookmarkEnd w:id="87"/>
    <w:p>
      <w:pPr>
        <w:ind w:left="180" w:firstLine="652"/>
        <w:spacing w:after="0" w:line="260" w:lineRule="auto"/>
        <w:tabs>
          <w:tab w:leader="none" w:pos="133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Lien arising out of claims under a judgment rendered, decree or claim filed so long as such judgments, decrees or claims do not constitute an Event of Default;</w:t>
      </w:r>
    </w:p>
    <w:p>
      <w:pPr>
        <w:spacing w:after="0" w:line="176" w:lineRule="exact"/>
        <w:rPr>
          <w:rFonts w:ascii="Arial" w:cs="Arial" w:eastAsia="Arial" w:hAnsi="Arial"/>
          <w:sz w:val="20"/>
          <w:szCs w:val="20"/>
          <w:color w:val="auto"/>
        </w:rPr>
      </w:pPr>
    </w:p>
    <w:p>
      <w:pPr>
        <w:ind w:left="1260" w:hanging="428"/>
        <w:spacing w:after="0"/>
        <w:tabs>
          <w:tab w:leader="none" w:pos="1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238" w:lineRule="exact"/>
        <w:rPr>
          <w:rFonts w:ascii="Arial" w:cs="Arial" w:eastAsia="Arial" w:hAnsi="Arial"/>
          <w:sz w:val="18"/>
          <w:szCs w:val="18"/>
          <w:color w:val="auto"/>
        </w:rPr>
      </w:pPr>
    </w:p>
    <w:p>
      <w:pPr>
        <w:ind w:left="1260" w:hanging="428"/>
        <w:spacing w:after="0"/>
        <w:tabs>
          <w:tab w:leader="none" w:pos="12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Liens in favor of lessors pursuant to Sale/Leaseback Transactions;</w:t>
      </w:r>
    </w:p>
    <w:p>
      <w:pPr>
        <w:spacing w:after="0" w:line="215" w:lineRule="exact"/>
        <w:rPr>
          <w:rFonts w:ascii="Arial" w:cs="Arial" w:eastAsia="Arial" w:hAnsi="Arial"/>
          <w:sz w:val="20"/>
          <w:szCs w:val="20"/>
          <w:color w:val="auto"/>
        </w:rPr>
      </w:pPr>
    </w:p>
    <w:p>
      <w:pPr>
        <w:jc w:val="both"/>
        <w:ind w:left="180" w:firstLine="652"/>
        <w:spacing w:after="0" w:line="269" w:lineRule="auto"/>
        <w:tabs>
          <w:tab w:leader="none" w:pos="1266" w:val="left"/>
        </w:tabs>
        <w:numPr>
          <w:ilvl w:val="1"/>
          <w:numId w:val="18"/>
        </w:numPr>
        <w:rPr>
          <w:rFonts w:ascii="Arial" w:cs="Arial" w:eastAsia="Arial" w:hAnsi="Arial"/>
          <w:sz w:val="18"/>
          <w:szCs w:val="18"/>
          <w:color w:val="auto"/>
        </w:rPr>
      </w:pPr>
      <w:r>
        <w:rPr>
          <w:rFonts w:ascii="Arial" w:cs="Arial" w:eastAsia="Arial" w:hAnsi="Arial"/>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w:t>
      </w:r>
    </w:p>
    <w:p>
      <w:pPr>
        <w:spacing w:after="0" w:line="3" w:lineRule="exact"/>
        <w:rPr>
          <w:rFonts w:ascii="Arial" w:cs="Arial" w:eastAsia="Arial" w:hAnsi="Arial"/>
          <w:sz w:val="18"/>
          <w:szCs w:val="18"/>
          <w:color w:val="auto"/>
        </w:rPr>
      </w:pPr>
    </w:p>
    <w:p>
      <w:pPr>
        <w:jc w:val="both"/>
        <w:ind w:left="180" w:firstLine="4"/>
        <w:spacing w:after="0" w:line="241" w:lineRule="auto"/>
        <w:tabs>
          <w:tab w:leader="none" w:pos="50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acquisition or disposition of any business or assets or (B) sales contracts, (vi) coverage of long term counterparty risk in respect of insurance companies, (vi) purchasing and supply agreements, (viii) rental deposits, (ix) judicial appeals and (x) service contracts;</w:t>
      </w:r>
    </w:p>
    <w:p>
      <w:pPr>
        <w:spacing w:after="0" w:line="195" w:lineRule="exact"/>
        <w:rPr>
          <w:rFonts w:ascii="Arial" w:cs="Arial" w:eastAsia="Arial" w:hAnsi="Arial"/>
          <w:sz w:val="20"/>
          <w:szCs w:val="20"/>
          <w:color w:val="auto"/>
        </w:rPr>
      </w:pPr>
    </w:p>
    <w:p>
      <w:pPr>
        <w:ind w:left="180" w:right="20" w:firstLine="652"/>
        <w:spacing w:after="0" w:line="260" w:lineRule="auto"/>
        <w:tabs>
          <w:tab w:leader="none" w:pos="1354" w:val="left"/>
        </w:tabs>
        <w:numPr>
          <w:ilvl w:val="1"/>
          <w:numId w:val="19"/>
        </w:numPr>
        <w:rPr>
          <w:rFonts w:ascii="Arial" w:cs="Arial" w:eastAsia="Arial" w:hAnsi="Arial"/>
          <w:sz w:val="20"/>
          <w:szCs w:val="20"/>
          <w:color w:val="auto"/>
        </w:rPr>
      </w:pPr>
      <w:r>
        <w:rPr>
          <w:rFonts w:ascii="Arial" w:cs="Arial" w:eastAsia="Arial" w:hAnsi="Arial"/>
          <w:sz w:val="20"/>
          <w:szCs w:val="20"/>
          <w:color w:val="auto"/>
        </w:rPr>
        <w:t>Liens securing Indebtedness or other obligations of a Subsidiary owing to the Company or any Principal Domestic Subsidiary;</w:t>
      </w:r>
    </w:p>
    <w:p>
      <w:pPr>
        <w:spacing w:after="0" w:line="176" w:lineRule="exact"/>
        <w:rPr>
          <w:rFonts w:ascii="Arial" w:cs="Arial" w:eastAsia="Arial" w:hAnsi="Arial"/>
          <w:sz w:val="20"/>
          <w:szCs w:val="20"/>
          <w:color w:val="auto"/>
        </w:rPr>
      </w:pPr>
    </w:p>
    <w:p>
      <w:pPr>
        <w:jc w:val="both"/>
        <w:ind w:left="180" w:right="20" w:firstLine="652"/>
        <w:spacing w:after="0" w:line="250" w:lineRule="auto"/>
        <w:tabs>
          <w:tab w:leader="none" w:pos="1263" w:val="left"/>
        </w:tabs>
        <w:numPr>
          <w:ilvl w:val="1"/>
          <w:numId w:val="19"/>
        </w:numPr>
        <w:rPr>
          <w:rFonts w:ascii="Arial" w:cs="Arial" w:eastAsia="Arial" w:hAnsi="Arial"/>
          <w:sz w:val="20"/>
          <w:szCs w:val="20"/>
          <w:color w:val="auto"/>
        </w:rPr>
      </w:pPr>
      <w:r>
        <w:rPr>
          <w:rFonts w:ascii="Arial" w:cs="Arial" w:eastAsia="Arial" w:hAnsi="Arial"/>
          <w:sz w:val="20"/>
          <w:szCs w:val="20"/>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85" w:lineRule="exact"/>
        <w:rPr>
          <w:rFonts w:ascii="Arial" w:cs="Arial" w:eastAsia="Arial" w:hAnsi="Arial"/>
          <w:sz w:val="20"/>
          <w:szCs w:val="20"/>
          <w:color w:val="auto"/>
        </w:rPr>
      </w:pPr>
    </w:p>
    <w:p>
      <w:pPr>
        <w:jc w:val="both"/>
        <w:ind w:left="180" w:firstLine="652"/>
        <w:spacing w:after="0" w:line="244" w:lineRule="auto"/>
        <w:tabs>
          <w:tab w:leader="none" w:pos="1235" w:val="left"/>
        </w:tabs>
        <w:numPr>
          <w:ilvl w:val="1"/>
          <w:numId w:val="19"/>
        </w:numPr>
        <w:rPr>
          <w:rFonts w:ascii="Arial" w:cs="Arial" w:eastAsia="Arial" w:hAnsi="Arial"/>
          <w:sz w:val="20"/>
          <w:szCs w:val="20"/>
          <w:color w:val="auto"/>
        </w:rPr>
      </w:pPr>
      <w:r>
        <w:rPr>
          <w:rFonts w:ascii="Arial" w:cs="Arial" w:eastAsia="Arial" w:hAnsi="Arial"/>
          <w:sz w:val="20"/>
          <w:szCs w:val="20"/>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94" w:lineRule="exact"/>
        <w:rPr>
          <w:rFonts w:ascii="Arial" w:cs="Arial" w:eastAsia="Arial" w:hAnsi="Arial"/>
          <w:sz w:val="20"/>
          <w:szCs w:val="20"/>
          <w:color w:val="auto"/>
        </w:rPr>
      </w:pPr>
    </w:p>
    <w:p>
      <w:pPr>
        <w:ind w:left="1260" w:hanging="428"/>
        <w:spacing w:after="0"/>
        <w:tabs>
          <w:tab w:leader="none" w:pos="12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Liens under industrial revenue, municipal or similar bonds;</w:t>
      </w:r>
    </w:p>
    <w:p>
      <w:pPr>
        <w:spacing w:after="0" w:line="215" w:lineRule="exact"/>
        <w:rPr>
          <w:rFonts w:ascii="Arial" w:cs="Arial" w:eastAsia="Arial" w:hAnsi="Arial"/>
          <w:sz w:val="20"/>
          <w:szCs w:val="20"/>
          <w:color w:val="auto"/>
        </w:rPr>
      </w:pPr>
    </w:p>
    <w:p>
      <w:pPr>
        <w:jc w:val="both"/>
        <w:ind w:left="180" w:firstLine="652"/>
        <w:spacing w:after="0" w:line="250" w:lineRule="auto"/>
        <w:tabs>
          <w:tab w:leader="none" w:pos="1275" w:val="left"/>
        </w:tabs>
        <w:numPr>
          <w:ilvl w:val="1"/>
          <w:numId w:val="19"/>
        </w:numPr>
        <w:rPr>
          <w:rFonts w:ascii="Arial" w:cs="Arial" w:eastAsia="Arial" w:hAnsi="Arial"/>
          <w:sz w:val="20"/>
          <w:szCs w:val="20"/>
          <w:color w:val="auto"/>
        </w:rPr>
      </w:pPr>
      <w:r>
        <w:rPr>
          <w:rFonts w:ascii="Arial" w:cs="Arial" w:eastAsia="Arial" w:hAnsi="Arial"/>
          <w:sz w:val="20"/>
          <w:szCs w:val="20"/>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85" w:lineRule="exact"/>
        <w:rPr>
          <w:rFonts w:ascii="Arial" w:cs="Arial" w:eastAsia="Arial" w:hAnsi="Arial"/>
          <w:sz w:val="20"/>
          <w:szCs w:val="20"/>
          <w:color w:val="auto"/>
        </w:rPr>
      </w:pPr>
    </w:p>
    <w:p>
      <w:pPr>
        <w:jc w:val="both"/>
        <w:ind w:left="180" w:firstLine="652"/>
        <w:spacing w:after="0" w:line="250" w:lineRule="auto"/>
        <w:tabs>
          <w:tab w:leader="none" w:pos="1463" w:val="left"/>
        </w:tabs>
        <w:numPr>
          <w:ilvl w:val="1"/>
          <w:numId w:val="19"/>
        </w:numPr>
        <w:rPr>
          <w:rFonts w:ascii="Arial" w:cs="Arial" w:eastAsia="Arial" w:hAnsi="Arial"/>
          <w:sz w:val="20"/>
          <w:szCs w:val="20"/>
          <w:color w:val="auto"/>
        </w:rPr>
      </w:pPr>
      <w:r>
        <w:rPr>
          <w:rFonts w:ascii="Arial" w:cs="Arial" w:eastAsia="Arial" w:hAnsi="Arial"/>
          <w:sz w:val="20"/>
          <w:szCs w:val="20"/>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85" w:lineRule="exact"/>
        <w:rPr>
          <w:rFonts w:ascii="Arial" w:cs="Arial" w:eastAsia="Arial" w:hAnsi="Arial"/>
          <w:sz w:val="20"/>
          <w:szCs w:val="20"/>
          <w:color w:val="auto"/>
        </w:rPr>
      </w:pPr>
    </w:p>
    <w:p>
      <w:pPr>
        <w:ind w:left="180" w:firstLine="652"/>
        <w:spacing w:after="0" w:line="260" w:lineRule="auto"/>
        <w:tabs>
          <w:tab w:leader="none" w:pos="1371" w:val="left"/>
        </w:tabs>
        <w:numPr>
          <w:ilvl w:val="1"/>
          <w:numId w:val="19"/>
        </w:numPr>
        <w:rPr>
          <w:rFonts w:ascii="Arial" w:cs="Arial" w:eastAsia="Arial" w:hAnsi="Arial"/>
          <w:sz w:val="20"/>
          <w:szCs w:val="20"/>
          <w:color w:val="auto"/>
        </w:rPr>
      </w:pPr>
      <w:r>
        <w:rPr>
          <w:rFonts w:ascii="Arial" w:cs="Arial" w:eastAsia="Arial" w:hAnsi="Arial"/>
          <w:sz w:val="20"/>
          <w:szCs w:val="20"/>
          <w:color w:val="auto"/>
        </w:rPr>
        <w:t>Liens under licensing agreements for use of Intellectual Property or licenses or sublicenses of Intellectual Property, in each case, entered into in the ordinary course of business;</w:t>
      </w:r>
    </w:p>
    <w:p>
      <w:pPr>
        <w:sectPr>
          <w:pgSz w:w="11900" w:h="16838" w:orient="portrait"/>
          <w:cols w:equalWidth="0" w:num="1">
            <w:col w:w="10120"/>
          </w:cols>
          <w:pgMar w:left="1440" w:top="568" w:right="339" w:bottom="1440" w:gutter="0" w:footer="0" w:header="0"/>
        </w:sectPr>
      </w:pPr>
    </w:p>
    <w:bookmarkStart w:id="88" w:name="page89"/>
    <w:bookmarkEnd w:id="88"/>
    <w:p>
      <w:pPr>
        <w:ind w:left="1300" w:right="20" w:firstLine="652"/>
        <w:spacing w:after="0" w:line="260" w:lineRule="auto"/>
        <w:tabs>
          <w:tab w:leader="none" w:pos="2506" w:val="left"/>
        </w:tabs>
        <w:numPr>
          <w:ilvl w:val="0"/>
          <w:numId w:val="20"/>
        </w:numPr>
        <w:rPr>
          <w:rFonts w:ascii="Arial" w:cs="Arial" w:eastAsia="Arial" w:hAnsi="Arial"/>
          <w:sz w:val="20"/>
          <w:szCs w:val="20"/>
          <w:color w:val="auto"/>
        </w:rPr>
      </w:pPr>
      <w:r>
        <w:rPr>
          <w:rFonts w:ascii="Arial" w:cs="Arial" w:eastAsia="Arial" w:hAnsi="Arial"/>
          <w:sz w:val="20"/>
          <w:szCs w:val="20"/>
          <w:color w:val="auto"/>
        </w:rPr>
        <w:t>Liens of sellers of goods to any Loan Party arising under Article 2 of the UCC or similar provisions of applicable law in the ordinary course of business; and</w:t>
      </w:r>
    </w:p>
    <w:p>
      <w:pPr>
        <w:spacing w:after="0" w:line="176" w:lineRule="exact"/>
        <w:rPr>
          <w:rFonts w:ascii="Arial" w:cs="Arial" w:eastAsia="Arial" w:hAnsi="Arial"/>
          <w:sz w:val="20"/>
          <w:szCs w:val="20"/>
          <w:color w:val="auto"/>
        </w:rPr>
      </w:pPr>
    </w:p>
    <w:p>
      <w:pPr>
        <w:jc w:val="both"/>
        <w:ind w:left="1300" w:firstLine="652"/>
        <w:spacing w:after="0" w:line="246" w:lineRule="auto"/>
        <w:tabs>
          <w:tab w:leader="none" w:pos="2462" w:val="left"/>
        </w:tabs>
        <w:numPr>
          <w:ilvl w:val="0"/>
          <w:numId w:val="20"/>
        </w:numPr>
        <w:rPr>
          <w:rFonts w:ascii="Arial" w:cs="Arial" w:eastAsia="Arial" w:hAnsi="Arial"/>
          <w:sz w:val="20"/>
          <w:szCs w:val="20"/>
          <w:color w:val="auto"/>
        </w:rPr>
      </w:pPr>
      <w:r>
        <w:rPr>
          <w:rFonts w:ascii="Arial" w:cs="Arial" w:eastAsia="Arial" w:hAnsi="Arial"/>
          <w:sz w:val="20"/>
          <w:szCs w:val="20"/>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Principal Trade Name Transfer</w:t>
      </w:r>
      <w:r>
        <w:rPr>
          <w:rFonts w:ascii="Arial" w:cs="Arial" w:eastAsia="Arial" w:hAnsi="Arial"/>
          <w:sz w:val="20"/>
          <w:szCs w:val="20"/>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partnership, corporation, limited liability company, business trust, joint stock company, trust, unincorporated association, joint venture, Governmental Authority or other entity of whatever nature.</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of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time to time.</w:t>
      </w:r>
    </w:p>
    <w:p>
      <w:pPr>
        <w:spacing w:after="0" w:line="20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Post-Petition Interest</w:t>
      </w:r>
      <w:r>
        <w:rPr>
          <w:rFonts w:ascii="Arial" w:cs="Arial" w:eastAsia="Arial" w:hAnsi="Arial"/>
          <w:sz w:val="20"/>
          <w:szCs w:val="20"/>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Pounds 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means the lawful currency of the United Kingdom.</w:t>
      </w:r>
    </w:p>
    <w:p>
      <w:pPr>
        <w:spacing w:after="0" w:line="21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Previously Pledged Assets</w:t>
      </w:r>
      <w:r>
        <w:rPr>
          <w:rFonts w:ascii="Arial" w:cs="Arial" w:eastAsia="Arial" w:hAnsi="Arial"/>
          <w:sz w:val="18"/>
          <w:szCs w:val="18"/>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6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per annum publicly announced from time to time by the Administrative Agent as its prime rate in effect at its principal office in New York City (the Prime</w:t>
      </w:r>
    </w:p>
    <w:p>
      <w:pPr>
        <w:sectPr>
          <w:pgSz w:w="11900" w:h="16838" w:orient="portrait"/>
          <w:cols w:equalWidth="0" w:num="1">
            <w:col w:w="11240"/>
          </w:cols>
          <w:pgMar w:left="320" w:top="568" w:right="339" w:bottom="1440" w:gutter="0" w:footer="0" w:header="0"/>
        </w:sectPr>
      </w:pPr>
    </w:p>
    <w:bookmarkStart w:id="89" w:name="page90"/>
    <w:bookmarkEnd w:id="89"/>
    <w:p>
      <w:pPr>
        <w:jc w:val="both"/>
        <w:spacing w:after="0" w:line="260" w:lineRule="auto"/>
        <w:rPr>
          <w:sz w:val="20"/>
          <w:szCs w:val="20"/>
          <w:color w:val="auto"/>
        </w:rPr>
      </w:pPr>
      <w:r>
        <w:rPr>
          <w:rFonts w:ascii="Arial" w:cs="Arial" w:eastAsia="Arial" w:hAnsi="Arial"/>
          <w:sz w:val="20"/>
          <w:szCs w:val="20"/>
          <w:color w:val="auto"/>
        </w:rPr>
        <w:t>Rate not being intended to be the lowest rate of interest charged by the Administrative Agent in connection with extensions of credit to borrowers).</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Domestic Subsidiary</w:t>
      </w:r>
      <w:r>
        <w:rPr>
          <w:rFonts w:ascii="Arial" w:cs="Arial" w:eastAsia="Arial" w:hAnsi="Arial"/>
          <w:sz w:val="20"/>
          <w:szCs w:val="20"/>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2017 10-K), (B) at least 80% or more of the Capital Stock or Voting Stock of such Domestic Subsidiary is owned, directly or indirectly, by the Company and (C) none of the Capital Stock of such Domestic Subsidiary is publicly held.</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Trade Names</w:t>
      </w:r>
      <w:r>
        <w:rPr>
          <w:rFonts w:ascii="Arial" w:cs="Arial" w:eastAsia="Arial" w:hAnsi="Arial"/>
          <w:sz w:val="20"/>
          <w:szCs w:val="20"/>
          <w:color w:val="auto"/>
        </w:rPr>
        <w:t>” means GM, GMC, Chevrolet, Cadillac, and Buick and any variation thereof.</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u w:val="single" w:color="auto"/>
          <w:color w:val="0000FF"/>
        </w:rPr>
        <w:t>“QFC” has the meaning assigned to the term “qualified financial contract” in, and shall be interpreted in accordance with, 12 U.S.C. 5390(c)(8)(D).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“QFC Credit Support” has the meaning assigned to it in Section 10.21.</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IP Holding Company</w:t>
      </w:r>
      <w:r>
        <w:rPr>
          <w:rFonts w:ascii="Arial" w:cs="Arial" w:eastAsia="Arial" w:hAnsi="Arial"/>
          <w:sz w:val="20"/>
          <w:szCs w:val="20"/>
          <w:color w:val="auto"/>
        </w:rPr>
        <w:t>” means any wholly-owned Foreign Subsidiary of the Company to which the Designated Principal Trade Name is transferred.</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Quotation Date</w:t>
      </w:r>
      <w:r>
        <w:rPr>
          <w:rFonts w:ascii="Arial" w:cs="Arial" w:eastAsia="Arial" w:hAnsi="Arial"/>
          <w:sz w:val="19"/>
          <w:szCs w:val="19"/>
          <w:color w:val="auto"/>
        </w:rPr>
        <w:t xml:space="preserve">” means, in relation to any period for which the Eurocurrency Base Rate is to be determined hereunder, the Business Day on which quotations would ordinarily be given by prime banks in the London </w:t>
      </w:r>
      <w:r>
        <w:rPr>
          <w:rFonts w:ascii="Arial" w:cs="Arial" w:eastAsia="Arial" w:hAnsi="Arial"/>
          <w:sz w:val="19"/>
          <w:szCs w:val="19"/>
          <w:color w:val="FF0000"/>
          <w:strike w:val="1"/>
        </w:rPr>
        <w:t>I</w:t>
      </w:r>
      <w:r>
        <w:rPr>
          <w:rFonts w:ascii="Arial" w:cs="Arial" w:eastAsia="Arial" w:hAnsi="Arial"/>
          <w:sz w:val="19"/>
          <w:szCs w:val="19"/>
          <w:u w:val="single" w:color="auto"/>
          <w:color w:val="0000FF"/>
        </w:rPr>
        <w:t>i</w:t>
      </w:r>
      <w:r>
        <w:rPr>
          <w:rFonts w:ascii="Arial" w:cs="Arial" w:eastAsia="Arial" w:hAnsi="Arial"/>
          <w:sz w:val="19"/>
          <w:szCs w:val="19"/>
          <w:color w:val="auto"/>
        </w:rPr>
        <w:t xml:space="preserve">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9"/>
          <w:szCs w:val="19"/>
          <w:u w:val="single" w:color="auto"/>
          <w:color w:val="auto"/>
        </w:rPr>
        <w:t>provided</w:t>
      </w:r>
      <w:r>
        <w:rPr>
          <w:rFonts w:ascii="Arial" w:cs="Arial" w:eastAsia="Arial" w:hAnsi="Arial"/>
          <w:sz w:val="19"/>
          <w:szCs w:val="19"/>
          <w:color w:val="auto"/>
        </w:rPr>
        <w:t>, that, if for any such period quotations would ordinarily be given on more than one date, the Quotation Date for that period shall be the last of those dates.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Receiving Party</w:t>
      </w:r>
      <w:r>
        <w:rPr>
          <w:rFonts w:ascii="Arial" w:cs="Arial" w:eastAsia="Arial" w:hAnsi="Arial"/>
          <w:sz w:val="20"/>
          <w:szCs w:val="20"/>
          <w:color w:val="auto"/>
        </w:rPr>
        <w:t>” has the meaning assigned to such term in Section 10.16.</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assigned to such term in Section 10.6(b)(iv).</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Board as in effect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Board as in effect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Board as in effect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Board as in effect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Date</w:t>
      </w:r>
      <w:r>
        <w:rPr>
          <w:rFonts w:ascii="Arial" w:cs="Arial" w:eastAsia="Arial" w:hAnsi="Arial"/>
          <w:sz w:val="20"/>
          <w:szCs w:val="20"/>
          <w:color w:val="auto"/>
        </w:rPr>
        <w:t>” has the meaning assigned to such term in Section 3.5.</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means the obligation of the Company or the Applicable Account Party to reimburse an Issuing Lender pursuant to Section 3.5 for amounts drawn under Letters of Credit.</w:t>
      </w:r>
    </w:p>
    <w:p>
      <w:pPr>
        <w:spacing w:after="0" w:line="177" w:lineRule="exact"/>
        <w:rPr>
          <w:sz w:val="20"/>
          <w:szCs w:val="20"/>
          <w:color w:val="auto"/>
        </w:rPr>
      </w:pPr>
    </w:p>
    <w:p>
      <w:pPr>
        <w:jc w:val="both"/>
        <w:ind w:right="20" w:firstLine="1296"/>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Reinstated Guarantee Period</w:t>
      </w:r>
      <w:r>
        <w:rPr>
          <w:rFonts w:ascii="Arial" w:cs="Arial" w:eastAsia="Arial" w:hAnsi="Arial"/>
          <w:sz w:val="20"/>
          <w:szCs w:val="20"/>
          <w:color w:val="auto"/>
        </w:rPr>
        <w:t>” means a period from and including the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any Guarantee Reinstatement Date to but excluding the following Guarantee Release Date, if any.</w:t>
      </w:r>
    </w:p>
    <w:p>
      <w:pPr>
        <w:sectPr>
          <w:pgSz w:w="11900" w:h="16838" w:orient="portrait"/>
          <w:cols w:equalWidth="0" w:num="1">
            <w:col w:w="11240"/>
          </w:cols>
          <w:pgMar w:left="320" w:top="568" w:right="339" w:bottom="1440" w:gutter="0" w:footer="0" w:header="0"/>
        </w:sectPr>
      </w:pPr>
    </w:p>
    <w:bookmarkStart w:id="90" w:name="page91"/>
    <w:bookmarkEnd w:id="90"/>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Reinstated Guarantee Requirement Period</w:t>
      </w:r>
      <w:r>
        <w:rPr>
          <w:rFonts w:ascii="Arial" w:cs="Arial" w:eastAsia="Arial" w:hAnsi="Arial"/>
          <w:sz w:val="20"/>
          <w:szCs w:val="20"/>
          <w:color w:val="auto"/>
        </w:rPr>
        <w:t>” means a period from and including any Guarantee Reinstatement Date to but excluding the following Guarantee Release Date, if any.</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“Relevant Governmental Body” means the Federal Reserve Board and/or the NYFRB, or a committee officially endorsed or convened by the Federal Reserve Board and/or the NYFRB or, in each case, any successor thereto.</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the holders of more than 50% of the aggregate amount of the Total Commitments (or, at any time after the Commitments shall have expired or terminated, the holders of more than 50% of the sum of the Total Extensions of Credit plus the aggregate Ancillary Facility Outstandings).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Requirements of Law</w:t>
      </w:r>
      <w:r>
        <w:rPr>
          <w:rFonts w:ascii="Arial" w:cs="Arial" w:eastAsia="Arial" w:hAnsi="Arial"/>
          <w:sz w:val="20"/>
          <w:szCs w:val="20"/>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6" w:lineRule="exact"/>
        <w:rPr>
          <w:sz w:val="20"/>
          <w:szCs w:val="20"/>
          <w:color w:val="auto"/>
        </w:rPr>
      </w:pPr>
    </w:p>
    <w:p>
      <w:pPr>
        <w:ind w:right="820" w:firstLine="1296"/>
        <w:spacing w:after="0" w:line="260" w:lineRule="auto"/>
        <w:rPr>
          <w:sz w:val="20"/>
          <w:szCs w:val="20"/>
          <w:color w:val="auto"/>
        </w:rPr>
      </w:pPr>
      <w:r>
        <w:rPr>
          <w:rFonts w:ascii="Arial" w:cs="Arial" w:eastAsia="Arial" w:hAnsi="Arial"/>
          <w:sz w:val="20"/>
          <w:szCs w:val="20"/>
          <w:u w:val="single" w:color="auto"/>
          <w:color w:val="0000FF"/>
        </w:rPr>
        <w:t>“Resolution Authority” means an EEA Resolution Authority or, with respect to any UK Financial Institution, a UK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-184785</wp:posOffset>
            </wp:positionV>
            <wp:extent cx="31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chief executive officer, president, chief accounting officer, chief financial officer, controller, assistant controller, treasurer or assistant treasurer of the Company.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Ratings Service and its successors.</w:t>
      </w:r>
    </w:p>
    <w:p>
      <w:pPr>
        <w:spacing w:after="0" w:line="2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Sale/Leaseback Transaction</w:t>
      </w:r>
      <w:r>
        <w:rPr>
          <w:rFonts w:ascii="Arial" w:cs="Arial" w:eastAsia="Arial" w:hAnsi="Arial"/>
          <w:sz w:val="19"/>
          <w:szCs w:val="19"/>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has the meaning assigned to such term in Section 4.15.</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 List</w:t>
      </w:r>
      <w:r>
        <w:rPr>
          <w:rFonts w:ascii="Arial" w:cs="Arial" w:eastAsia="Arial" w:hAnsi="Arial"/>
          <w:sz w:val="20"/>
          <w:szCs w:val="20"/>
          <w:color w:val="auto"/>
        </w:rPr>
        <w:t>” has the meaning assigned to such term in Section 4.15.</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has the meaning set forth in the definition of Eurocurrency Base Rate.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and any analogous Governmental Authority.</w:t>
      </w:r>
    </w:p>
    <w:p>
      <w:pPr>
        <w:spacing w:after="0" w:line="2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w:t>
      </w:r>
    </w:p>
    <w:p>
      <w:pPr>
        <w:sectPr>
          <w:pgSz w:w="11900" w:h="16838" w:orient="portrait"/>
          <w:cols w:equalWidth="0" w:num="1">
            <w:col w:w="11240"/>
          </w:cols>
          <w:pgMar w:left="320" w:top="568" w:right="339" w:bottom="1440" w:gutter="0" w:footer="0" w:header="0"/>
        </w:sectPr>
      </w:pPr>
    </w:p>
    <w:bookmarkStart w:id="91" w:name="page92"/>
    <w:bookmarkEnd w:id="91"/>
    <w:p>
      <w:pPr>
        <w:jc w:val="both"/>
        <w:spacing w:after="0" w:line="291" w:lineRule="auto"/>
        <w:rPr>
          <w:sz w:val="20"/>
          <w:szCs w:val="20"/>
          <w:color w:val="auto"/>
        </w:rPr>
      </w:pPr>
      <w:r>
        <w:rPr>
          <w:rFonts w:ascii="Arial" w:cs="Arial" w:eastAsia="Arial" w:hAnsi="Arial"/>
          <w:sz w:val="18"/>
          <w:szCs w:val="18"/>
          <w:color w:val="auto"/>
        </w:rPr>
        <w:t>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Borrower</w:t>
      </w:r>
      <w:r>
        <w:rPr>
          <w:rFonts w:ascii="Arial" w:cs="Arial" w:eastAsia="Arial" w:hAnsi="Arial"/>
          <w:sz w:val="20"/>
          <w:szCs w:val="20"/>
          <w:color w:val="auto"/>
        </w:rPr>
        <w:t xml:space="preserve">” means GMB (solely with respect to the Brazilian Facility), </w:t>
      </w:r>
      <w:r>
        <w:rPr>
          <w:rFonts w:ascii="Arial" w:cs="Arial" w:eastAsia="Arial" w:hAnsi="Arial"/>
          <w:sz w:val="20"/>
          <w:szCs w:val="20"/>
          <w:color w:val="FF0000"/>
          <w:strike w:val="1"/>
        </w:rPr>
        <w:t>GMGTC,</w:t>
      </w:r>
      <w:r>
        <w:rPr>
          <w:rFonts w:ascii="Arial" w:cs="Arial" w:eastAsia="Arial" w:hAnsi="Arial"/>
          <w:sz w:val="20"/>
          <w:szCs w:val="20"/>
          <w:color w:val="auto"/>
        </w:rPr>
        <w:t xml:space="preserve"> GMF and any other Subsidiary that becomes a party hereto pursuant to Section 10.1(d) until such time as such Subsidiary Borrower is removed as a party hereto pursuant to Section 10.1(d).</w:t>
      </w:r>
    </w:p>
    <w:p>
      <w:pPr>
        <w:spacing w:after="0" w:line="18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6.6(b) or Section 10.1(b);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“Supported QFC” has the meaning assigned to it in Section 10.21.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w:t>
      </w:r>
      <w:r>
        <w:rPr>
          <w:rFonts w:ascii="Arial" w:cs="Arial" w:eastAsia="Arial" w:hAnsi="Arial"/>
          <w:sz w:val="20"/>
          <w:szCs w:val="20"/>
          <w:color w:val="auto"/>
        </w:rPr>
        <w:t>” has the meaning assigned to such term in the preamble hereto.</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the Trans-European Automated Real-time Gross Settlement Express Transfer payment system is open for the settlement of payments in Euro.</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w:t>
      </w:r>
      <w:r>
        <w:rPr>
          <w:rFonts w:ascii="Arial" w:cs="Arial" w:eastAsia="Arial" w:hAnsi="Arial"/>
          <w:sz w:val="20"/>
          <w:szCs w:val="20"/>
          <w:color w:val="auto"/>
        </w:rPr>
        <w:t xml:space="preserve"> as to any </w:t>
      </w:r>
      <w:r>
        <w:rPr>
          <w:rFonts w:ascii="Arial" w:cs="Arial" w:eastAsia="Arial" w:hAnsi="Arial"/>
          <w:sz w:val="20"/>
          <w:szCs w:val="20"/>
          <w:u w:val="single" w:color="auto"/>
          <w:color w:val="0000FF"/>
        </w:rPr>
        <w:t>2020 Non-Extending</w:t>
      </w:r>
      <w:r>
        <w:rPr>
          <w:rFonts w:ascii="Arial" w:cs="Arial" w:eastAsia="Arial" w:hAnsi="Arial"/>
          <w:sz w:val="20"/>
          <w:szCs w:val="20"/>
          <w:color w:val="auto"/>
        </w:rPr>
        <w:t xml:space="preserve"> Lender under any Facility, initially, the third anniversary of the Closing Date, as such date for such Lender under such Facility may be extended from time to time pursuant to Section 2.29 </w:t>
      </w:r>
      <w:r>
        <w:rPr>
          <w:rFonts w:ascii="Arial" w:cs="Arial" w:eastAsia="Arial" w:hAnsi="Arial"/>
          <w:sz w:val="20"/>
          <w:szCs w:val="20"/>
          <w:u w:val="single" w:color="auto"/>
          <w:color w:val="0000FF"/>
        </w:rPr>
        <w:t>and (b) as to any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2020 Extending Lender under any Facility, the fourth anniversary of the Closing Date, as such date for such Lender under such Facility may be extended from time to time pursuant to Section 2.29</w:t>
      </w:r>
      <w:r>
        <w:rPr>
          <w:rFonts w:ascii="Arial" w:cs="Arial" w:eastAsia="Arial" w:hAnsi="Arial"/>
          <w:sz w:val="20"/>
          <w:szCs w:val="20"/>
          <w:color w:val="000000"/>
        </w:rPr>
        <w:t>.</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Available Brazilian Commitments</w:t>
      </w:r>
      <w:r>
        <w:rPr>
          <w:rFonts w:ascii="Arial" w:cs="Arial" w:eastAsia="Arial" w:hAnsi="Arial"/>
          <w:sz w:val="20"/>
          <w:szCs w:val="20"/>
          <w:color w:val="auto"/>
        </w:rPr>
        <w:t>” means, at any time, an amount equal to the excess, if any, of (a) the Total Brazilian Commitments then in effect, over (b) the Total Brazilian Extensions of Credit then outstanding.</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Available Commitments</w:t>
      </w:r>
      <w:r>
        <w:rPr>
          <w:rFonts w:ascii="Arial" w:cs="Arial" w:eastAsia="Arial" w:hAnsi="Arial"/>
          <w:sz w:val="20"/>
          <w:szCs w:val="20"/>
          <w:color w:val="auto"/>
        </w:rPr>
        <w:t xml:space="preserve">” means, at any time, an amount equal to the excess, if any, of (a) the Total Commitments then in effect,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(b) the Total Extensions of Credit then outstanding.</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Available Domestic Commitments</w:t>
      </w:r>
      <w:r>
        <w:rPr>
          <w:rFonts w:ascii="Arial" w:cs="Arial" w:eastAsia="Arial" w:hAnsi="Arial"/>
          <w:sz w:val="20"/>
          <w:szCs w:val="20"/>
          <w:color w:val="auto"/>
        </w:rPr>
        <w:t>” means, at any time, an amount equal to the excess, if any, of (a) the Total Domestic Commitments then in effect, over (b) the Total Domestic Extensions of Credit then outstanding.</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Available L/C Tranche Commitments</w:t>
      </w:r>
      <w:r>
        <w:rPr>
          <w:rFonts w:ascii="Arial" w:cs="Arial" w:eastAsia="Arial" w:hAnsi="Arial"/>
          <w:sz w:val="20"/>
          <w:szCs w:val="20"/>
          <w:color w:val="auto"/>
        </w:rPr>
        <w:t>” means, at any time, an amount equal to the excess, if any, of (a) the Total L/C Tranche Commitments then in effect, over (b) the Total L/C Tranche Extensions of Credit then outstanding.</w:t>
      </w:r>
    </w:p>
    <w:p>
      <w:pPr>
        <w:sectPr>
          <w:pgSz w:w="11900" w:h="16838" w:orient="portrait"/>
          <w:cols w:equalWidth="0" w:num="1">
            <w:col w:w="11240"/>
          </w:cols>
          <w:pgMar w:left="320" w:top="568" w:right="339" w:bottom="1440" w:gutter="0" w:footer="0" w:header="0"/>
        </w:sectPr>
      </w:pPr>
    </w:p>
    <w:bookmarkStart w:id="92" w:name="page93"/>
    <w:bookmarkEnd w:id="92"/>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Available Multicurrency Commitments</w:t>
      </w:r>
      <w:r>
        <w:rPr>
          <w:rFonts w:ascii="Arial" w:cs="Arial" w:eastAsia="Arial" w:hAnsi="Arial"/>
          <w:sz w:val="20"/>
          <w:szCs w:val="20"/>
          <w:color w:val="auto"/>
        </w:rPr>
        <w:t>” means, at any time, an amount equal to the excess, if any, of (a) the Total Multicurrency Commitments then in effect, over (b) the Total Multicurrency Extensions of Credit then outstanding.</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Brazilian Commitment</w:t>
      </w:r>
      <w:r>
        <w:rPr>
          <w:rFonts w:ascii="Arial" w:cs="Arial" w:eastAsia="Arial" w:hAnsi="Arial"/>
          <w:sz w:val="20"/>
          <w:szCs w:val="20"/>
          <w:color w:val="auto"/>
        </w:rPr>
        <w:t>” means, at any time, the aggregate amount of the Brazilian Commitments then in effect. The original amount of the Total Brazilian Commitment is $260 million.</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Brazilian Extensions of Credit</w:t>
      </w:r>
      <w:r>
        <w:rPr>
          <w:rFonts w:ascii="Arial" w:cs="Arial" w:eastAsia="Arial" w:hAnsi="Arial"/>
          <w:sz w:val="20"/>
          <w:szCs w:val="20"/>
          <w:color w:val="auto"/>
        </w:rPr>
        <w:t>” means, at any time, the aggregate Outstanding Amount of the Brazilian Extensions of Credit of the Brazilian Lenders at such time.</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Commitments</w:t>
      </w:r>
      <w:r>
        <w:rPr>
          <w:rFonts w:ascii="Arial" w:cs="Arial" w:eastAsia="Arial" w:hAnsi="Arial"/>
          <w:sz w:val="20"/>
          <w:szCs w:val="20"/>
          <w:color w:val="auto"/>
        </w:rPr>
        <w:t>” means, at any time, the aggregate amount of the Commitments then in effect. The original amount of the Total Commitments is $4.0 billion.</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Domestic Commitment</w:t>
      </w:r>
      <w:r>
        <w:rPr>
          <w:rFonts w:ascii="Arial" w:cs="Arial" w:eastAsia="Arial" w:hAnsi="Arial"/>
          <w:sz w:val="20"/>
          <w:szCs w:val="20"/>
          <w:color w:val="auto"/>
        </w:rPr>
        <w:t>” means, at any time, the aggregate amount of the Domestic Commitments then in effect. The original amount of the Total Domestic Commitment is $70,579,000.</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Domestic Extensions of Credit</w:t>
      </w:r>
      <w:r>
        <w:rPr>
          <w:rFonts w:ascii="Arial" w:cs="Arial" w:eastAsia="Arial" w:hAnsi="Arial"/>
          <w:sz w:val="20"/>
          <w:szCs w:val="20"/>
          <w:color w:val="auto"/>
        </w:rPr>
        <w:t xml:space="preserve">” means, at any time, the aggregate Outstanding Amount of (a) the Domestic Extensions of Credit of the Domestic Lenders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Domestic Competitive Loans at such time.</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Extensions of Credit</w:t>
      </w:r>
      <w:r>
        <w:rPr>
          <w:rFonts w:ascii="Arial" w:cs="Arial" w:eastAsia="Arial" w:hAnsi="Arial"/>
          <w:sz w:val="20"/>
          <w:szCs w:val="20"/>
          <w:color w:val="auto"/>
        </w:rPr>
        <w:t xml:space="preserve">” means, at any time, the aggregate Outstanding Amount of (a) the Extensions of Credit of the Lenders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Competitive Loans at such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Commitment</w:t>
      </w:r>
      <w:r>
        <w:rPr>
          <w:rFonts w:ascii="Arial" w:cs="Arial" w:eastAsia="Arial" w:hAnsi="Arial"/>
          <w:sz w:val="18"/>
          <w:szCs w:val="18"/>
          <w:color w:val="auto"/>
        </w:rPr>
        <w:t>” means, at any time, the aggregate amount of the L/C Tranche Commitments then in effect.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original amount of the Total L/C Tranche Commitment is $1,100,000,000.</w:t>
      </w:r>
    </w:p>
    <w:p>
      <w:pPr>
        <w:spacing w:after="0" w:line="200"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L/C Tranche Extensions of Credit</w:t>
      </w:r>
      <w:r>
        <w:rPr>
          <w:rFonts w:ascii="Arial" w:cs="Arial" w:eastAsia="Arial" w:hAnsi="Arial"/>
          <w:sz w:val="20"/>
          <w:szCs w:val="20"/>
          <w:color w:val="auto"/>
        </w:rPr>
        <w:t>” means, at any time, the aggregate Outstanding Amount of the L/C Tranche Extensions of Credit of the L/C Tranche Lenders at such time.</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Multicurrency Commitment</w:t>
      </w:r>
      <w:r>
        <w:rPr>
          <w:rFonts w:ascii="Arial" w:cs="Arial" w:eastAsia="Arial" w:hAnsi="Arial"/>
          <w:sz w:val="20"/>
          <w:szCs w:val="20"/>
          <w:color w:val="auto"/>
        </w:rPr>
        <w:t>” means, at any time, the aggregate amount of the Multicurrency Commitments then in effect. The original amount of the Total Multicurrency Commitment is $2,569,421,000.</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Multicurrency Extensions of Credit</w:t>
      </w:r>
      <w:r>
        <w:rPr>
          <w:rFonts w:ascii="Arial" w:cs="Arial" w:eastAsia="Arial" w:hAnsi="Arial"/>
          <w:sz w:val="20"/>
          <w:szCs w:val="20"/>
          <w:color w:val="auto"/>
        </w:rPr>
        <w:t xml:space="preserve">” means, at any time, the aggregate Outstanding Amount of (a) the Multicurrency Extensions of Credit of the Multicurrency Lenders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Dollar Equivalent of the Multicurrency Competitive Loans at such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means any Assignee or Participant.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(a) as to any Loan (other than a Competitive Loan), its nature as an ABR Loan, a CDI Loan or a Eurocurrency Loan and (b) as to any Competitive Loan, its nature as a Eurocurrency Competitive Loan or a Fixed Rate Loan.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in any applicable jurisdiction.</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the Uniform Customs and Practice for Documentary Credits (2007 Revision), International Chamber of Commerce Publication No. 600, and any subsequent revision thereof adhered to by the Issuing Lenders.</w:t>
      </w:r>
    </w:p>
    <w:p>
      <w:pPr>
        <w:sectPr>
          <w:pgSz w:w="11900" w:h="16838" w:orient="portrait"/>
          <w:cols w:equalWidth="0" w:num="1">
            <w:col w:w="11240"/>
          </w:cols>
          <w:pgMar w:left="320" w:top="568" w:right="339" w:bottom="1440" w:gutter="0" w:footer="0" w:header="0"/>
        </w:sectPr>
      </w:pPr>
    </w:p>
    <w:bookmarkStart w:id="93" w:name="page94"/>
    <w:bookmarkEnd w:id="93"/>
    <w:p>
      <w:pPr>
        <w:jc w:val="both"/>
        <w:ind w:firstLine="1296"/>
        <w:spacing w:after="0" w:line="31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Borrower</w:t>
      </w:r>
      <w:r>
        <w:rPr>
          <w:rFonts w:ascii="Arial" w:cs="Arial" w:eastAsia="Arial" w:hAnsi="Arial"/>
          <w:sz w:val="18"/>
          <w:szCs w:val="18"/>
          <w:color w:val="FF0000"/>
          <w:strike w:val="1"/>
        </w:rPr>
        <w:t>” means any Borrower (i) that is incorporated under the laws of the United Kingdom or (ii) payments from which under this Agreement or any other Loan Document are subject to withholding Taxes imposed by the laws of the United Kingdom.</w:t>
      </w:r>
    </w:p>
    <w:p>
      <w:pPr>
        <w:spacing w:after="0" w:line="13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u w:val="single" w:color="auto"/>
          <w:color w:val="0000FF"/>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“UK Resolution Authority” means the Bank of England or any other public administrative authority having responsibility for the resolution of any UK Financial Institution.</w:t>
      </w:r>
    </w:p>
    <w:p>
      <w:pPr>
        <w:spacing w:after="0" w:line="177" w:lineRule="exact"/>
        <w:rPr>
          <w:sz w:val="20"/>
          <w:szCs w:val="20"/>
          <w:color w:val="auto"/>
        </w:rPr>
      </w:pPr>
    </w:p>
    <w:p>
      <w:pPr>
        <w:ind w:right="5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FF0000"/>
          <w:strike w:val="1"/>
        </w:rPr>
        <w:t>UK CTA</w:t>
      </w:r>
      <w:r>
        <w:rPr>
          <w:rFonts w:ascii="Arial" w:cs="Arial" w:eastAsia="Arial" w:hAnsi="Arial"/>
          <w:sz w:val="20"/>
          <w:szCs w:val="20"/>
          <w:u w:val="single" w:color="auto"/>
          <w:color w:val="0000FF"/>
        </w:rPr>
        <w:t>United Kingdom</w:t>
      </w:r>
      <w:r>
        <w:rPr>
          <w:rFonts w:ascii="Arial" w:cs="Arial" w:eastAsia="Arial" w:hAnsi="Arial"/>
          <w:sz w:val="20"/>
          <w:szCs w:val="20"/>
          <w:color w:val="auto"/>
        </w:rPr>
        <w:t xml:space="preserve">” means the United Kingdom </w:t>
      </w:r>
      <w:r>
        <w:rPr>
          <w:rFonts w:ascii="Arial" w:cs="Arial" w:eastAsia="Arial" w:hAnsi="Arial"/>
          <w:sz w:val="20"/>
          <w:szCs w:val="20"/>
          <w:color w:val="FF0000"/>
          <w:strike w:val="1"/>
        </w:rPr>
        <w:t>Corporation Tax Act 2009, as amended or re-enacted</w:t>
      </w:r>
      <w:r>
        <w:rPr>
          <w:rFonts w:ascii="Arial" w:cs="Arial" w:eastAsia="Arial" w:hAnsi="Arial"/>
          <w:sz w:val="20"/>
          <w:szCs w:val="20"/>
          <w:u w:val="single" w:color="auto"/>
          <w:color w:val="0000FF"/>
        </w:rPr>
        <w:t>of Great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Britain and Northern Ireland</w:t>
      </w:r>
      <w:r>
        <w:rPr>
          <w:rFonts w:ascii="Arial" w:cs="Arial" w:eastAsia="Arial" w:hAnsi="Arial"/>
          <w:sz w:val="20"/>
          <w:szCs w:val="20"/>
          <w:color w:val="000000"/>
        </w:rPr>
        <w: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UK ITA</w:t>
      </w:r>
      <w:r>
        <w:rPr>
          <w:rFonts w:ascii="Arial" w:cs="Arial" w:eastAsia="Arial" w:hAnsi="Arial"/>
          <w:sz w:val="20"/>
          <w:szCs w:val="20"/>
          <w:color w:val="FF0000"/>
          <w:strike w:val="1"/>
        </w:rPr>
        <w:t>” means the United Kingdom Income Tax Act 2007, as amended or re-enacted.</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Qualifying Lender</w:t>
      </w:r>
      <w:r>
        <w:rPr>
          <w:rFonts w:ascii="Arial" w:cs="Arial" w:eastAsia="Arial" w:hAnsi="Arial"/>
          <w:sz w:val="18"/>
          <w:szCs w:val="18"/>
          <w:color w:val="FF0000"/>
          <w:strike w:val="1"/>
        </w:rPr>
        <w:t>” means (a) a Lender which is beneficially entitled to interest payable to that Lender in respect of an advance under a Loan Document and is: (i) a Lender: (A) which is a bank (as defined for the purpose of section 879 of the UK ITA) making an advance under a Loan Document and is within the charge to United Kingdom corporation tax as respects any payments of interest made in respect of that advance or would be within such charge as respects such payments apart from section 18A of the UK CTA; or (B) in respect of an advance made under a Loan Document by a person that was a bank (as defined for the purpose of section 879 of the UK ITA) at the time that that advance was made and within the charge to United Kingdom corporation tax as respects any payments of interest made in respect of that advance; or (ii) a Lender which is: (A) a company resident in the United Kingdom for United Kingdom tax purposes; (B)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 or (iii) a UK Treaty Lender; or (b) a Lender which is a building society (as defined for the purposes of section 880 of the UK ITA) making an advance under a Loan Document.</w:t>
      </w:r>
    </w:p>
    <w:p>
      <w:pPr>
        <w:spacing w:after="0" w:line="18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Tax Confirmation</w:t>
      </w:r>
      <w:r>
        <w:rPr>
          <w:rFonts w:ascii="Arial" w:cs="Arial" w:eastAsia="Arial" w:hAnsi="Arial"/>
          <w:sz w:val="18"/>
          <w:szCs w:val="18"/>
          <w:color w:val="FF0000"/>
          <w:strike w:val="1"/>
        </w:rPr>
        <w:t>” means a confirmation by a Lender that the person beneficially entitled to interest payable to that Lender in respect of an advance under a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w:t>
      </w:r>
    </w:p>
    <w:p>
      <w:pPr>
        <w:sectPr>
          <w:pgSz w:w="11900" w:h="16838" w:orient="portrait"/>
          <w:cols w:equalWidth="0" w:num="1">
            <w:col w:w="11240"/>
          </w:cols>
          <w:pgMar w:left="320" w:top="568" w:right="339" w:bottom="1440" w:gutter="0" w:footer="0" w:header="0"/>
        </w:sectPr>
      </w:pPr>
    </w:p>
    <w:bookmarkStart w:id="94" w:name="page95"/>
    <w:bookmarkEnd w:id="94"/>
    <w:p>
      <w:pPr>
        <w:jc w:val="both"/>
        <w:ind w:firstLine="1296"/>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UK Tax Deduction</w:t>
      </w:r>
      <w:r>
        <w:rPr>
          <w:rFonts w:ascii="Arial" w:cs="Arial" w:eastAsia="Arial" w:hAnsi="Arial"/>
          <w:sz w:val="20"/>
          <w:szCs w:val="20"/>
          <w:color w:val="FF0000"/>
          <w:strike w:val="1"/>
        </w:rPr>
        <w:t>” means a deduction or withholding for or on account of Taxes from a payment under a Loan Document, other than a deduction or withholding required by FATCA.</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UK Treaty Lender</w:t>
      </w:r>
      <w:r>
        <w:rPr>
          <w:rFonts w:ascii="Arial" w:cs="Arial" w:eastAsia="Arial" w:hAnsi="Arial"/>
          <w:sz w:val="20"/>
          <w:szCs w:val="20"/>
          <w:color w:val="FF0000"/>
          <w:strike w:val="1"/>
        </w:rPr>
        <w:t>” means a Lender which: (a) is treated as a resident of a UK Treaty State for the purposes of the relevant UK Treaty; (b) does not carry on a business in the United Kingdom through a permanent establishment with which that Lender's participation in the Loan is effectively connected; and (c) meets all other conditions in the relevant UK Treaty for full exemption from Taxes imposed by the United Kingdom on interest payable to that Lender in respect of an advance under a Loan Document, including the completion of any necessary procedural formalities.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UK Treaty</w:t>
      </w:r>
      <w:r>
        <w:rPr>
          <w:rFonts w:ascii="Arial" w:cs="Arial" w:eastAsia="Arial" w:hAnsi="Arial"/>
          <w:sz w:val="20"/>
          <w:szCs w:val="20"/>
          <w:color w:val="FF0000"/>
          <w:strike w:val="1"/>
        </w:rPr>
        <w:t>” has the meaning given to that term in the definition of UK Treaty State.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UK Treaty State</w:t>
      </w:r>
      <w:r>
        <w:rPr>
          <w:rFonts w:ascii="Arial" w:cs="Arial" w:eastAsia="Arial" w:hAnsi="Arial"/>
          <w:sz w:val="20"/>
          <w:szCs w:val="20"/>
          <w:color w:val="FF0000"/>
          <w:strike w:val="1"/>
        </w:rPr>
        <w:t>” means a jurisdiction having a double taxation agreement with the United Kingdom (a “</w:t>
      </w:r>
      <w:r>
        <w:rPr>
          <w:rFonts w:ascii="Arial" w:cs="Arial" w:eastAsia="Arial" w:hAnsi="Arial"/>
          <w:sz w:val="20"/>
          <w:szCs w:val="20"/>
          <w:u w:val="single" w:color="auto"/>
          <w:color w:val="FF0000"/>
          <w:strike w:val="1"/>
        </w:rPr>
        <w:t>UK Treaty</w:t>
      </w:r>
      <w:r>
        <w:rPr>
          <w:rFonts w:ascii="Arial" w:cs="Arial" w:eastAsia="Arial" w:hAnsi="Arial"/>
          <w:sz w:val="20"/>
          <w:szCs w:val="20"/>
          <w:color w:val="FF0000"/>
          <w:strike w:val="1"/>
        </w:rPr>
        <w:t>”) which makes provision for full exemption from tax imposed by the United Kingdom on interest.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 and its territories and possessions.</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Unconsolidated Subsidiary</w:t>
      </w:r>
      <w:r>
        <w:rPr>
          <w:rFonts w:ascii="Arial" w:cs="Arial" w:eastAsia="Arial" w:hAnsi="Arial"/>
          <w:sz w:val="20"/>
          <w:szCs w:val="20"/>
          <w:color w:val="auto"/>
        </w:rPr>
        <w:t>” means a subsidiary of the Company or other Person whose financial results are not, in accordance with GAAP, included in the consolidated financial statements of the Company.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“U.S. Special Resolution Regime” has the meaning assigned to it in Section 10.21.</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URDG</w:t>
      </w:r>
      <w:r>
        <w:rPr>
          <w:rFonts w:ascii="Arial" w:cs="Arial" w:eastAsia="Arial" w:hAnsi="Arial"/>
          <w:sz w:val="20"/>
          <w:szCs w:val="20"/>
          <w:color w:val="auto"/>
        </w:rPr>
        <w:t>” means the Uniform Rules for Demand Guarantees, ICC Publication 758, and any subsequent revision thereof adhered to by the Issuing Lenders.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has the meaning assigned to such term in Section 10.18.</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means, with respect to any Person, such Person’s Capital Stock having the right to vote for election of directors (or the equivalent thereof) of such Person under ordinary circumstances.</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xml:space="preserve">” means,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w:t>
      </w:r>
      <w:r>
        <w:rPr>
          <w:rFonts w:ascii="Arial" w:cs="Arial" w:eastAsia="Arial" w:hAnsi="Arial"/>
          <w:sz w:val="19"/>
          <w:szCs w:val="19"/>
          <w:u w:val="single" w:color="auto"/>
          <w:color w:val="0000FF"/>
        </w:rPr>
        <w:t>and (b) with respect to the United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1296"/>
        <w:spacing w:after="0" w:line="385" w:lineRule="auto"/>
        <w:rPr>
          <w:sz w:val="20"/>
          <w:szCs w:val="20"/>
          <w:color w:val="auto"/>
        </w:rPr>
      </w:pPr>
      <w:r>
        <w:rPr>
          <w:rFonts w:ascii="Arial" w:cs="Arial" w:eastAsia="Arial" w:hAnsi="Arial"/>
          <w:sz w:val="16"/>
          <w:szCs w:val="16"/>
          <w:color w:val="010000"/>
        </w:rPr>
        <w:t xml:space="preserve">1.2 </w:t>
      </w:r>
      <w:r>
        <w:rPr>
          <w:rFonts w:ascii="Arial" w:cs="Arial" w:eastAsia="Arial" w:hAnsi="Arial"/>
          <w:sz w:val="16"/>
          <w:szCs w:val="16"/>
          <w:color w:val="000000"/>
        </w:rPr>
        <w:t>Other Definitional Provisions. (a) Unless otherwise specified therein, all terms defined in this Agreement shall have the</w:t>
      </w:r>
      <w:r>
        <w:rPr>
          <w:rFonts w:ascii="Arial" w:cs="Arial" w:eastAsia="Arial" w:hAnsi="Arial"/>
          <w:sz w:val="16"/>
          <w:szCs w:val="16"/>
          <w:color w:val="010000"/>
        </w:rPr>
        <w:t xml:space="preserve"> </w:t>
      </w:r>
      <w:r>
        <w:rPr>
          <w:rFonts w:ascii="Arial" w:cs="Arial" w:eastAsia="Arial" w:hAnsi="Arial"/>
          <w:sz w:val="16"/>
          <w:szCs w:val="16"/>
          <w:color w:val="000000"/>
        </w:rPr>
        <w:t>defined meanings when used in the other Loan Documents or any certificate or other document made or delivered pursuant hereto or thereto.</w:t>
      </w:r>
    </w:p>
    <w:p>
      <w:pPr>
        <w:spacing w:after="0" w:line="85" w:lineRule="exact"/>
        <w:rPr>
          <w:sz w:val="20"/>
          <w:szCs w:val="20"/>
          <w:color w:val="auto"/>
        </w:rPr>
      </w:pPr>
    </w:p>
    <w:p>
      <w:pPr>
        <w:jc w:val="both"/>
        <w:ind w:firstLine="1304"/>
        <w:spacing w:after="0" w:line="250" w:lineRule="auto"/>
        <w:tabs>
          <w:tab w:leader="none" w:pos="1778" w:val="left"/>
        </w:tabs>
        <w:numPr>
          <w:ilvl w:val="0"/>
          <w:numId w:val="21"/>
        </w:numPr>
        <w:rPr>
          <w:rFonts w:ascii="Arial" w:cs="Arial" w:eastAsia="Arial" w:hAnsi="Arial"/>
          <w:sz w:val="20"/>
          <w:szCs w:val="20"/>
          <w:color w:val="010000"/>
        </w:rPr>
      </w:pPr>
      <w:r>
        <w:rPr>
          <w:rFonts w:ascii="Arial" w:cs="Arial" w:eastAsia="Arial" w:hAnsi="Arial"/>
          <w:sz w:val="20"/>
          <w:szCs w:val="20"/>
          <w:color w:val="auto"/>
        </w:rPr>
        <w:t>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w:t>
      </w:r>
    </w:p>
    <w:p>
      <w:pPr>
        <w:sectPr>
          <w:pgSz w:w="11900" w:h="16838" w:orient="portrait"/>
          <w:cols w:equalWidth="0" w:num="1">
            <w:col w:w="11240"/>
          </w:cols>
          <w:pgMar w:left="320" w:top="568" w:right="33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9"/>
          <w:szCs w:val="19"/>
          <w:color w:val="auto"/>
        </w:rPr>
        <w:t>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87" w:lineRule="exact"/>
        <w:rPr>
          <w:sz w:val="20"/>
          <w:szCs w:val="20"/>
          <w:color w:val="auto"/>
        </w:rPr>
      </w:pPr>
    </w:p>
    <w:p>
      <w:pPr>
        <w:jc w:val="both"/>
        <w:ind w:firstLine="1304"/>
        <w:spacing w:after="0" w:line="291" w:lineRule="auto"/>
        <w:tabs>
          <w:tab w:leader="none" w:pos="1713"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51" w:lineRule="exact"/>
        <w:rPr>
          <w:rFonts w:ascii="Arial" w:cs="Arial" w:eastAsia="Arial" w:hAnsi="Arial"/>
          <w:sz w:val="18"/>
          <w:szCs w:val="18"/>
          <w:color w:val="010000"/>
        </w:rPr>
      </w:pPr>
    </w:p>
    <w:p>
      <w:pPr>
        <w:ind w:left="1780" w:hanging="476"/>
        <w:spacing w:after="0"/>
        <w:tabs>
          <w:tab w:leader="none" w:pos="178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The meanings given to terms defined herein shall be equally applicable to both the singular and plural forms of such</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terms.</w:t>
      </w:r>
    </w:p>
    <w:p>
      <w:pPr>
        <w:spacing w:after="0" w:line="20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010000"/>
        </w:rPr>
        <w:t>1.3</w:t>
      </w:r>
      <w:r>
        <w:rPr>
          <w:sz w:val="20"/>
          <w:szCs w:val="20"/>
          <w:color w:val="auto"/>
        </w:rPr>
        <w:tab/>
      </w:r>
      <w:r>
        <w:rPr>
          <w:rFonts w:ascii="Arial" w:cs="Arial" w:eastAsia="Arial" w:hAnsi="Arial"/>
          <w:sz w:val="18"/>
          <w:szCs w:val="18"/>
          <w:color w:val="auto"/>
        </w:rPr>
        <w:t>Conversion of Foreign Currencies.</w:t>
      </w:r>
    </w:p>
    <w:p>
      <w:pPr>
        <w:spacing w:after="0" w:line="216" w:lineRule="exact"/>
        <w:rPr>
          <w:sz w:val="20"/>
          <w:szCs w:val="20"/>
          <w:color w:val="auto"/>
        </w:rPr>
      </w:pPr>
    </w:p>
    <w:p>
      <w:pPr>
        <w:jc w:val="both"/>
        <w:ind w:firstLine="1304"/>
        <w:spacing w:after="0" w:line="246" w:lineRule="auto"/>
        <w:tabs>
          <w:tab w:leader="none" w:pos="1713" w:val="left"/>
        </w:tabs>
        <w:numPr>
          <w:ilvl w:val="0"/>
          <w:numId w:val="23"/>
        </w:numPr>
        <w:rPr>
          <w:rFonts w:ascii="Arial" w:cs="Arial" w:eastAsia="Arial" w:hAnsi="Arial"/>
          <w:sz w:val="20"/>
          <w:szCs w:val="20"/>
          <w:color w:val="010000"/>
        </w:rPr>
      </w:pPr>
      <w:r>
        <w:rPr>
          <w:rFonts w:ascii="Arial" w:cs="Arial" w:eastAsia="Arial" w:hAnsi="Arial"/>
          <w:sz w:val="20"/>
          <w:szCs w:val="20"/>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91" w:lineRule="exact"/>
        <w:rPr>
          <w:rFonts w:ascii="Arial" w:cs="Arial" w:eastAsia="Arial" w:hAnsi="Arial"/>
          <w:sz w:val="20"/>
          <w:szCs w:val="20"/>
          <w:color w:val="010000"/>
        </w:rPr>
      </w:pPr>
    </w:p>
    <w:p>
      <w:pPr>
        <w:jc w:val="both"/>
        <w:ind w:firstLine="1304"/>
        <w:spacing w:after="0" w:line="244" w:lineRule="auto"/>
        <w:tabs>
          <w:tab w:leader="none" w:pos="1819" w:val="left"/>
        </w:tabs>
        <w:numPr>
          <w:ilvl w:val="0"/>
          <w:numId w:val="23"/>
        </w:numPr>
        <w:rPr>
          <w:rFonts w:ascii="Arial" w:cs="Arial" w:eastAsia="Arial" w:hAnsi="Arial"/>
          <w:sz w:val="20"/>
          <w:szCs w:val="20"/>
          <w:color w:val="010000"/>
        </w:rPr>
      </w:pPr>
      <w:r>
        <w:rPr>
          <w:rFonts w:ascii="Arial" w:cs="Arial" w:eastAsia="Arial" w:hAnsi="Arial"/>
          <w:sz w:val="20"/>
          <w:szCs w:val="20"/>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94" w:lineRule="exact"/>
        <w:rPr>
          <w:rFonts w:ascii="Arial" w:cs="Arial" w:eastAsia="Arial" w:hAnsi="Arial"/>
          <w:sz w:val="20"/>
          <w:szCs w:val="20"/>
          <w:color w:val="010000"/>
        </w:rPr>
      </w:pPr>
    </w:p>
    <w:p>
      <w:pPr>
        <w:jc w:val="both"/>
        <w:ind w:firstLine="1304"/>
        <w:spacing w:after="0" w:line="246" w:lineRule="auto"/>
        <w:tabs>
          <w:tab w:leader="none" w:pos="1767" w:val="left"/>
        </w:tabs>
        <w:numPr>
          <w:ilvl w:val="0"/>
          <w:numId w:val="23"/>
        </w:numPr>
        <w:rPr>
          <w:rFonts w:ascii="Arial" w:cs="Arial" w:eastAsia="Arial" w:hAnsi="Arial"/>
          <w:sz w:val="20"/>
          <w:szCs w:val="20"/>
          <w:color w:val="010000"/>
        </w:rPr>
      </w:pPr>
      <w:r>
        <w:rPr>
          <w:rFonts w:ascii="Arial" w:cs="Arial" w:eastAsia="Arial" w:hAnsi="Arial"/>
          <w:sz w:val="20"/>
          <w:szCs w:val="20"/>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1.4 </w:t>
      </w:r>
      <w:r>
        <w:rPr>
          <w:rFonts w:ascii="Arial" w:cs="Arial" w:eastAsia="Arial" w:hAnsi="Arial"/>
          <w:sz w:val="20"/>
          <w:szCs w:val="20"/>
          <w:color w:val="000000"/>
        </w:rPr>
        <w:t>Other Interpretive Provisions. If a Lien satisfies the requirements of two or more clauses of the definition of Permitted</w:t>
      </w:r>
      <w:r>
        <w:rPr>
          <w:rFonts w:ascii="Arial" w:cs="Arial" w:eastAsia="Arial" w:hAnsi="Arial"/>
          <w:sz w:val="20"/>
          <w:szCs w:val="20"/>
          <w:color w:val="010000"/>
        </w:rPr>
        <w:t xml:space="preserve"> </w:t>
      </w:r>
      <w:r>
        <w:rPr>
          <w:rFonts w:ascii="Arial" w:cs="Arial" w:eastAsia="Arial" w:hAnsi="Arial"/>
          <w:sz w:val="20"/>
          <w:szCs w:val="20"/>
          <w:color w:val="000000"/>
        </w:rPr>
        <w:t>Lien, the Company may, at any time and from time to time designate or redesignate such Lien as a Permitted Lien in any of such clauses and the Company need not classify such Lien solely by reference to one such clause.</w:t>
      </w:r>
    </w:p>
    <w:p>
      <w:pPr>
        <w:sectPr>
          <w:pgSz w:w="11900" w:h="16838" w:orient="portrait"/>
          <w:cols w:equalWidth="0" w:num="1">
            <w:col w:w="11240"/>
          </w:cols>
          <w:pgMar w:left="320" w:top="568" w:right="339" w:bottom="1440" w:gutter="0" w:footer="0" w:header="0"/>
        </w:sectPr>
      </w:pPr>
    </w:p>
    <w:bookmarkStart w:id="96" w:name="page97"/>
    <w:bookmarkEnd w:id="96"/>
    <w:p>
      <w:pPr>
        <w:jc w:val="both"/>
        <w:ind w:firstLine="1296"/>
        <w:spacing w:after="0" w:line="271" w:lineRule="auto"/>
        <w:rPr>
          <w:sz w:val="20"/>
          <w:szCs w:val="20"/>
          <w:color w:val="auto"/>
        </w:rPr>
      </w:pPr>
      <w:r>
        <w:rPr>
          <w:rFonts w:ascii="Arial" w:cs="Arial" w:eastAsia="Arial" w:hAnsi="Arial"/>
          <w:sz w:val="19"/>
          <w:szCs w:val="19"/>
          <w:u w:val="single" w:color="auto"/>
          <w:color w:val="0000FF"/>
        </w:rPr>
        <w:t xml:space="preserve">1.5 Interest Rates; LIBOR Notification. </w:t>
      </w:r>
      <w:r>
        <w:rPr>
          <w:rFonts w:ascii="Arial" w:cs="Arial" w:eastAsia="Arial" w:hAnsi="Arial"/>
          <w:sz w:val="20"/>
          <w:szCs w:val="20"/>
          <w:b w:val="1"/>
          <w:bCs w:val="1"/>
          <w:u w:val="single" w:color="auto"/>
          <w:color w:val="0000FF"/>
        </w:rPr>
        <w:t>The interest rate on a Loan may be derived from an interest rate</w:t>
      </w:r>
      <w:r>
        <w:rPr>
          <w:rFonts w:ascii="Arial" w:cs="Arial" w:eastAsia="Arial" w:hAnsi="Arial"/>
          <w:sz w:val="19"/>
          <w:szCs w:val="19"/>
          <w:u w:val="single" w:color="auto"/>
          <w:color w:val="0000FF"/>
        </w:rPr>
        <w:t xml:space="preserve"> </w:t>
      </w:r>
      <w:r>
        <w:rPr>
          <w:rFonts w:ascii="Arial" w:cs="Arial" w:eastAsia="Arial" w:hAnsi="Arial"/>
          <w:sz w:val="20"/>
          <w:szCs w:val="20"/>
          <w:b w:val="1"/>
          <w:bCs w:val="1"/>
          <w:u w:val="single" w:color="auto"/>
          <w:color w:val="0000FF"/>
        </w:rPr>
        <w:t xml:space="preserve">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interest rate on Eurocurrency Loans is determined by reference to the Eurocurrency Rate, which is derived from the London interbank offered rate. The </w:t>
      </w:r>
      <w:r>
        <w:rPr>
          <w:rFonts w:ascii="Arial" w:cs="Arial" w:eastAsia="Arial" w:hAnsi="Arial"/>
          <w:sz w:val="18"/>
          <w:szCs w:val="18"/>
          <w:u w:val="single" w:color="auto"/>
          <w:color w:val="0000FF"/>
        </w:rPr>
        <w:t>London</w:t>
      </w:r>
      <w:r>
        <w:rPr>
          <w:rFonts w:ascii="Arial" w:cs="Arial" w:eastAsia="Arial" w:hAnsi="Arial"/>
          <w:sz w:val="20"/>
          <w:szCs w:val="20"/>
          <w:b w:val="1"/>
          <w:bCs w:val="1"/>
          <w:u w:val="single" w:color="auto"/>
          <w:color w:val="0000FF"/>
        </w:rPr>
        <w:t xml:space="preserve">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The Administrative Agent does not warrant or accept any responsibility for, and shall not have any liability with respect to, the administration, submission or any other matter related to the London interbank offered rate or other rates in the definition of “Eurocurrency Rate”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Eurocurrency Rate or have the same volume or liquidity as did the London interbank offered rate prior to its discontinuance or unavailability.</w:t>
      </w:r>
    </w:p>
    <w:p>
      <w:pPr>
        <w:spacing w:after="0" w:line="17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u w:val="single" w:color="auto"/>
          <w:color w:val="0000FF"/>
        </w:rPr>
        <w:t>1.6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2.</w:t>
      </w:r>
      <w:r>
        <w:rPr>
          <w:sz w:val="20"/>
          <w:szCs w:val="20"/>
          <w:color w:val="auto"/>
        </w:rPr>
        <w:tab/>
      </w:r>
      <w:r>
        <w:rPr>
          <w:rFonts w:ascii="Arial" w:cs="Arial" w:eastAsia="Arial" w:hAnsi="Arial"/>
          <w:sz w:val="20"/>
          <w:szCs w:val="20"/>
          <w:b w:val="1"/>
          <w:bCs w:val="1"/>
          <w:u w:val="single" w:color="auto"/>
          <w:color w:val="auto"/>
        </w:rPr>
        <w:t>AMOUNT AND TERMS OF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20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010000"/>
        </w:rPr>
        <w:t xml:space="preserve">2.1 </w:t>
      </w:r>
      <w:r>
        <w:rPr>
          <w:rFonts w:ascii="Arial" w:cs="Arial" w:eastAsia="Arial" w:hAnsi="Arial"/>
          <w:sz w:val="18"/>
          <w:szCs w:val="18"/>
          <w:color w:val="000000"/>
        </w:rPr>
        <w:t>Domestic Commitments. (a) Subject to the terms and conditions hereof, each Domestic Lender severally agrees to</w:t>
      </w:r>
      <w:r>
        <w:rPr>
          <w:rFonts w:ascii="Arial" w:cs="Arial" w:eastAsia="Arial" w:hAnsi="Arial"/>
          <w:sz w:val="18"/>
          <w:szCs w:val="18"/>
          <w:color w:val="010000"/>
        </w:rPr>
        <w:t xml:space="preserve"> </w:t>
      </w:r>
      <w:r>
        <w:rPr>
          <w:rFonts w:ascii="Arial" w:cs="Arial" w:eastAsia="Arial" w:hAnsi="Arial"/>
          <w:sz w:val="18"/>
          <w:szCs w:val="18"/>
          <w:color w:val="000000"/>
        </w:rPr>
        <w:t>make (or cause its Applicable Lending Office to make) revolving loans (“</w:t>
      </w:r>
      <w:r>
        <w:rPr>
          <w:rFonts w:ascii="Arial" w:cs="Arial" w:eastAsia="Arial" w:hAnsi="Arial"/>
          <w:sz w:val="18"/>
          <w:szCs w:val="18"/>
          <w:u w:val="single" w:color="auto"/>
          <w:color w:val="000000"/>
        </w:rPr>
        <w:t>Domestic Loans</w:t>
      </w:r>
      <w:r>
        <w:rPr>
          <w:rFonts w:ascii="Arial" w:cs="Arial" w:eastAsia="Arial" w:hAnsi="Arial"/>
          <w:sz w:val="18"/>
          <w:szCs w:val="18"/>
          <w:color w:val="000000"/>
        </w:rPr>
        <w:t xml:space="preserve">”) in Dollars to the Company or any Domestic Subsidiary Borrower from time to time during the Commitment Period of such Domestic Lender; </w:t>
      </w:r>
      <w:r>
        <w:rPr>
          <w:rFonts w:ascii="Arial" w:cs="Arial" w:eastAsia="Arial" w:hAnsi="Arial"/>
          <w:sz w:val="18"/>
          <w:szCs w:val="18"/>
          <w:u w:val="single" w:color="auto"/>
          <w:color w:val="000000"/>
        </w:rPr>
        <w:t>provided</w:t>
      </w:r>
      <w:r>
        <w:rPr>
          <w:rFonts w:ascii="Arial" w:cs="Arial" w:eastAsia="Arial" w:hAnsi="Arial"/>
          <w:sz w:val="18"/>
          <w:szCs w:val="18"/>
          <w:color w:val="000000"/>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and</w:t>
      </w:r>
    </w:p>
    <w:p>
      <w:pPr>
        <w:spacing w:after="0" w:line="4" w:lineRule="exact"/>
        <w:rPr>
          <w:sz w:val="20"/>
          <w:szCs w:val="20"/>
          <w:color w:val="auto"/>
        </w:rPr>
      </w:pPr>
    </w:p>
    <w:p>
      <w:pPr>
        <w:jc w:val="both"/>
        <w:ind w:firstLine="8"/>
        <w:spacing w:after="0" w:line="241" w:lineRule="auto"/>
        <w:tabs>
          <w:tab w:leader="none" w:pos="356"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w:t>
      </w:r>
    </w:p>
    <w:p>
      <w:pPr>
        <w:sectPr>
          <w:pgSz w:w="11900" w:h="16838" w:orient="portrait"/>
          <w:cols w:equalWidth="0" w:num="1">
            <w:col w:w="11240"/>
          </w:cols>
          <w:pgMar w:left="320" w:top="571" w:right="339" w:bottom="1440" w:gutter="0" w:footer="0" w:header="0"/>
        </w:sectPr>
      </w:pPr>
    </w:p>
    <w:bookmarkStart w:id="97" w:name="page98"/>
    <w:bookmarkEnd w:id="97"/>
    <w:p>
      <w:pPr>
        <w:ind w:right="20"/>
        <w:spacing w:after="0" w:line="260" w:lineRule="auto"/>
        <w:rPr>
          <w:sz w:val="20"/>
          <w:szCs w:val="20"/>
          <w:color w:val="auto"/>
        </w:rPr>
      </w:pPr>
      <w:r>
        <w:rPr>
          <w:rFonts w:ascii="Arial" w:cs="Arial" w:eastAsia="Arial" w:hAnsi="Arial"/>
          <w:sz w:val="20"/>
          <w:szCs w:val="20"/>
          <w:color w:val="auto"/>
        </w:rPr>
        <w:t>Loans or any combination of the foregoing, as determined by the Company or the relevant Domestic Subsidiary Borrower and notified to the Administrative Agent in accordance with Section 2.2 and 2.14.</w:t>
      </w:r>
    </w:p>
    <w:p>
      <w:pPr>
        <w:spacing w:after="0" w:line="177" w:lineRule="exact"/>
        <w:rPr>
          <w:sz w:val="20"/>
          <w:szCs w:val="20"/>
          <w:color w:val="auto"/>
        </w:rPr>
      </w:pPr>
    </w:p>
    <w:p>
      <w:pPr>
        <w:ind w:firstLine="1304"/>
        <w:spacing w:after="0" w:line="260" w:lineRule="auto"/>
        <w:tabs>
          <w:tab w:leader="none" w:pos="1886" w:val="left"/>
        </w:tabs>
        <w:numPr>
          <w:ilvl w:val="0"/>
          <w:numId w:val="25"/>
        </w:numPr>
        <w:rPr>
          <w:rFonts w:ascii="Arial" w:cs="Arial" w:eastAsia="Arial" w:hAnsi="Arial"/>
          <w:sz w:val="20"/>
          <w:szCs w:val="20"/>
          <w:color w:val="010000"/>
        </w:rPr>
      </w:pPr>
      <w:r>
        <w:rPr>
          <w:rFonts w:ascii="Arial" w:cs="Arial" w:eastAsia="Arial" w:hAnsi="Arial"/>
          <w:sz w:val="20"/>
          <w:szCs w:val="20"/>
          <w:color w:val="auto"/>
        </w:rPr>
        <w:t>The Company and, to the extent of its borrowings, any relevant Domestic Subsidiary Borrower shall repay all outstanding Domestic Loans of a Lender on the Termination Date for such Lender under the Domestic Facility.</w:t>
      </w:r>
    </w:p>
    <w:p>
      <w:pPr>
        <w:spacing w:after="0" w:line="17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color w:val="000000"/>
        </w:rPr>
        <w:t>Procedure for Domestic Loan Borrowing. The Company and any Domestic Subsidiary Borrower may borrow under the</w:t>
      </w:r>
      <w:r>
        <w:rPr>
          <w:rFonts w:ascii="Arial" w:cs="Arial" w:eastAsia="Arial" w:hAnsi="Arial"/>
          <w:sz w:val="18"/>
          <w:szCs w:val="18"/>
          <w:color w:val="010000"/>
        </w:rPr>
        <w:t xml:space="preserve"> </w:t>
      </w:r>
      <w:r>
        <w:rPr>
          <w:rFonts w:ascii="Arial" w:cs="Arial" w:eastAsia="Arial" w:hAnsi="Arial"/>
          <w:sz w:val="18"/>
          <w:szCs w:val="18"/>
          <w:color w:val="000000"/>
        </w:rPr>
        <w:t xml:space="preserve">Domestic Commitments during the applicable Commitment Period on any Business Day,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Company or 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w:t>
      </w:r>
      <w:r>
        <w:rPr>
          <w:rFonts w:ascii="Arial" w:cs="Arial" w:eastAsia="Arial" w:hAnsi="Arial"/>
          <w:sz w:val="18"/>
          <w:szCs w:val="18"/>
          <w:u w:val="single" w:color="auto"/>
          <w:color w:val="000000"/>
        </w:rPr>
        <w:t>provided further</w:t>
      </w:r>
      <w:r>
        <w:rPr>
          <w:rFonts w:ascii="Arial" w:cs="Arial" w:eastAsia="Arial" w:hAnsi="Arial"/>
          <w:sz w:val="18"/>
          <w:szCs w:val="18"/>
          <w:color w:val="000000"/>
        </w:rPr>
        <w:t xml:space="preserve">,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Each borrowing under the Domestic Commitments shall be in an amount equal to $25 million (or, if the Total Available Domestic Commitments at such time are less than $25 million, such lesser amount) or a whole multiple of $5 million in excess thereof. Upon receipt of any such notice from the Company or the relevant Domestic Subsidiary Borrower, the Administrative Agent shall promptly notify each Domestic Lender thereof. Each Domestic Lender will make (or cause its Applicable Lending Office to make) the amount of its </w:t>
      </w:r>
      <w:r>
        <w:rPr>
          <w:rFonts w:ascii="Arial" w:cs="Arial" w:eastAsia="Arial" w:hAnsi="Arial"/>
          <w:sz w:val="18"/>
          <w:szCs w:val="18"/>
          <w:u w:val="single" w:color="auto"/>
          <w:color w:val="000000"/>
        </w:rPr>
        <w:t>pro rata</w:t>
      </w:r>
      <w:r>
        <w:rPr>
          <w:rFonts w:ascii="Arial" w:cs="Arial" w:eastAsia="Arial" w:hAnsi="Arial"/>
          <w:sz w:val="18"/>
          <w:szCs w:val="18"/>
          <w:color w:val="000000"/>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8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010000"/>
        </w:rPr>
        <w:t xml:space="preserve">2.3 </w:t>
      </w:r>
      <w:r>
        <w:rPr>
          <w:rFonts w:ascii="Arial" w:cs="Arial" w:eastAsia="Arial" w:hAnsi="Arial"/>
          <w:sz w:val="19"/>
          <w:szCs w:val="19"/>
          <w:color w:val="000000"/>
        </w:rPr>
        <w:t>Multicurrency Commitments. (a) Subject to the terms and conditions hereof, each Multicurrency Lender severally</w:t>
      </w:r>
      <w:r>
        <w:rPr>
          <w:rFonts w:ascii="Arial" w:cs="Arial" w:eastAsia="Arial" w:hAnsi="Arial"/>
          <w:sz w:val="19"/>
          <w:szCs w:val="19"/>
          <w:color w:val="010000"/>
        </w:rPr>
        <w:t xml:space="preserve"> </w:t>
      </w:r>
      <w:r>
        <w:rPr>
          <w:rFonts w:ascii="Arial" w:cs="Arial" w:eastAsia="Arial" w:hAnsi="Arial"/>
          <w:sz w:val="19"/>
          <w:szCs w:val="19"/>
          <w:color w:val="000000"/>
        </w:rPr>
        <w:t>agrees to make (or cause its Applicable Lending Office to make) revolving loans (“</w:t>
      </w:r>
      <w:r>
        <w:rPr>
          <w:rFonts w:ascii="Arial" w:cs="Arial" w:eastAsia="Arial" w:hAnsi="Arial"/>
          <w:sz w:val="19"/>
          <w:szCs w:val="19"/>
          <w:u w:val="single" w:color="auto"/>
          <w:color w:val="000000"/>
        </w:rPr>
        <w:t>Multicurrency Loans</w:t>
      </w:r>
      <w:r>
        <w:rPr>
          <w:rFonts w:ascii="Arial" w:cs="Arial" w:eastAsia="Arial" w:hAnsi="Arial"/>
          <w:sz w:val="19"/>
          <w:szCs w:val="19"/>
          <w:color w:val="000000"/>
        </w:rPr>
        <w:t xml:space="preserve">”) in Dollars or any Optional Currency to the Company, GMF or any Foreign Subsidiary Borrower from time to time during the Commitment Period of such Multicurrency Lender; </w:t>
      </w:r>
      <w:r>
        <w:rPr>
          <w:rFonts w:ascii="Arial" w:cs="Arial" w:eastAsia="Arial" w:hAnsi="Arial"/>
          <w:sz w:val="19"/>
          <w:szCs w:val="19"/>
          <w:u w:val="single" w:color="auto"/>
          <w:color w:val="000000"/>
        </w:rPr>
        <w:t>provided</w:t>
      </w:r>
      <w:r>
        <w:rPr>
          <w:rFonts w:ascii="Arial" w:cs="Arial" w:eastAsia="Arial" w:hAnsi="Arial"/>
          <w:sz w:val="19"/>
          <w:szCs w:val="19"/>
          <w:color w:val="000000"/>
        </w:rPr>
        <w:t>, that, after giving effect to such borrowing and the use of proceeds thereof, (i) such Lender’s Multicurrency Extensions of Credit do not exceed the amount of such Lender’s Multicurrency Commitments, (ii) the Total Multicurrency Extensions of Credit shall not exceed the Total Multicurrency Commitments then in effect and (iii)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w:t>
      </w:r>
    </w:p>
    <w:p>
      <w:pPr>
        <w:sectPr>
          <w:pgSz w:w="11900" w:h="16838" w:orient="portrait"/>
          <w:cols w:equalWidth="0" w:num="1">
            <w:col w:w="11240"/>
          </w:cols>
          <w:pgMar w:left="320" w:top="56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and denominated in Dollars) ABR Loans, in each case, as notified to the Administrative Agent in accordance with Section 2.4 and 2.14.</w:t>
      </w:r>
    </w:p>
    <w:p>
      <w:pPr>
        <w:spacing w:after="0" w:line="239" w:lineRule="exact"/>
        <w:rPr>
          <w:sz w:val="20"/>
          <w:szCs w:val="20"/>
          <w:color w:val="auto"/>
        </w:rPr>
      </w:pPr>
    </w:p>
    <w:p>
      <w:pPr>
        <w:ind w:right="20" w:firstLine="1304"/>
        <w:spacing w:after="0" w:line="260" w:lineRule="auto"/>
        <w:tabs>
          <w:tab w:leader="none" w:pos="1846"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The Company and, to the extent of its borrowings, any relevant Subsidiary Borrower shall repay all outstanding Multicurrency Loans of a Lender on the Termination Date for such Lender under the Multicurrency Facility.</w:t>
      </w:r>
    </w:p>
    <w:p>
      <w:pPr>
        <w:spacing w:after="0" w:line="176" w:lineRule="exact"/>
        <w:rPr>
          <w:rFonts w:ascii="Arial" w:cs="Arial" w:eastAsia="Arial" w:hAnsi="Arial"/>
          <w:sz w:val="20"/>
          <w:szCs w:val="20"/>
          <w:color w:val="010000"/>
        </w:rPr>
      </w:pPr>
    </w:p>
    <w:p>
      <w:pPr>
        <w:jc w:val="both"/>
        <w:ind w:firstLine="1304"/>
        <w:spacing w:after="0" w:line="291" w:lineRule="auto"/>
        <w:tabs>
          <w:tab w:leader="none" w:pos="1754" w:val="left"/>
        </w:tabs>
        <w:numPr>
          <w:ilvl w:val="0"/>
          <w:numId w:val="26"/>
        </w:numPr>
        <w:rPr>
          <w:rFonts w:ascii="Arial" w:cs="Arial" w:eastAsia="Arial" w:hAnsi="Arial"/>
          <w:sz w:val="18"/>
          <w:szCs w:val="18"/>
          <w:color w:val="010000"/>
        </w:rPr>
      </w:pPr>
      <w:r>
        <w:rPr>
          <w:rFonts w:ascii="Arial" w:cs="Arial" w:eastAsia="Arial" w:hAnsi="Arial"/>
          <w:sz w:val="18"/>
          <w:szCs w:val="18"/>
          <w:color w:val="auto"/>
        </w:rPr>
        <w:t>Subject to the terms of this Agreement and the relevant Ancillary Facility Document(s), any Lender may make all or part of its Multicurrency Commitment available to any Ancillary Borrower as an Ancillary Facility. For the avoidance of doubt, any reference to a Multicurrency Loan, Multicurrency Competitive Loan, Loan or Letter of Credit shall not include any utilization of any Ancillary Facility.</w:t>
      </w:r>
    </w:p>
    <w:p>
      <w:pPr>
        <w:spacing w:after="0" w:line="15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010000"/>
        </w:rPr>
        <w:t xml:space="preserve">2.4 </w:t>
      </w:r>
      <w:r>
        <w:rPr>
          <w:rFonts w:ascii="Arial" w:cs="Arial" w:eastAsia="Arial" w:hAnsi="Arial"/>
          <w:sz w:val="18"/>
          <w:szCs w:val="18"/>
          <w:color w:val="000000"/>
        </w:rPr>
        <w:t>Procedure for Multicurrency Loan Borrowing. The Company and any relevant Subsidiary Borrower may borrow under</w:t>
      </w:r>
      <w:r>
        <w:rPr>
          <w:rFonts w:ascii="Arial" w:cs="Arial" w:eastAsia="Arial" w:hAnsi="Arial"/>
          <w:sz w:val="18"/>
          <w:szCs w:val="18"/>
          <w:color w:val="010000"/>
        </w:rPr>
        <w:t xml:space="preserve"> </w:t>
      </w:r>
      <w:r>
        <w:rPr>
          <w:rFonts w:ascii="Arial" w:cs="Arial" w:eastAsia="Arial" w:hAnsi="Arial"/>
          <w:sz w:val="18"/>
          <w:szCs w:val="18"/>
          <w:color w:val="000000"/>
        </w:rPr>
        <w:t xml:space="preserve">the Multicurrency Commitments during the applicable Commitment Period on any Business Day, </w:t>
      </w:r>
      <w:r>
        <w:rPr>
          <w:rFonts w:ascii="Arial" w:cs="Arial" w:eastAsia="Arial" w:hAnsi="Arial"/>
          <w:sz w:val="18"/>
          <w:szCs w:val="18"/>
          <w:u w:val="single" w:color="auto"/>
          <w:color w:val="000000"/>
        </w:rPr>
        <w:t>provided</w:t>
      </w:r>
      <w:r>
        <w:rPr>
          <w:rFonts w:ascii="Arial" w:cs="Arial" w:eastAsia="Arial" w:hAnsi="Arial"/>
          <w:sz w:val="18"/>
          <w:szCs w:val="18"/>
          <w:color w:val="000000"/>
        </w:rPr>
        <w:t>, that the Company or the relevant Subsidiary Borrower shall deliver to the Administrative Agent (x) in the case of any Multicurrency Loan denominated in Dollars, a written Borrowing Request (or telephonic notice promptly confirmed in a written Borrowing Request) prior to (a) in the case of Eurocurrency Loans</w:t>
      </w:r>
    </w:p>
    <w:p>
      <w:pPr>
        <w:spacing w:after="0" w:line="3" w:lineRule="exact"/>
        <w:rPr>
          <w:sz w:val="20"/>
          <w:szCs w:val="20"/>
          <w:color w:val="auto"/>
        </w:rPr>
      </w:pPr>
    </w:p>
    <w:p>
      <w:pPr>
        <w:jc w:val="both"/>
        <w:ind w:firstLine="8"/>
        <w:spacing w:after="0" w:line="267" w:lineRule="auto"/>
        <w:tabs>
          <w:tab w:leader="none" w:pos="257" w:val="left"/>
        </w:tabs>
        <w:numPr>
          <w:ilvl w:val="0"/>
          <w:numId w:val="27"/>
        </w:numPr>
        <w:rPr>
          <w:rFonts w:ascii="Arial" w:cs="Arial" w:eastAsia="Arial" w:hAnsi="Arial"/>
          <w:sz w:val="18"/>
          <w:szCs w:val="18"/>
          <w:color w:val="FF0000"/>
          <w:strike w:val="1"/>
        </w:rPr>
      </w:pPr>
      <w:r>
        <w:rPr>
          <w:rFonts w:ascii="Arial" w:cs="Arial" w:eastAsia="Arial" w:hAnsi="Arial"/>
          <w:sz w:val="18"/>
          <w:szCs w:val="18"/>
          <w:color w:val="FF0000"/>
          <w:strike w:val="1"/>
        </w:rPr>
        <w:t>in the case of requests made by the Company or any Subsidiary Borrower other than GMGTC</w:t>
      </w:r>
      <w:r>
        <w:rPr>
          <w:rFonts w:ascii="Arial" w:cs="Arial" w:eastAsia="Arial" w:hAnsi="Arial"/>
          <w:sz w:val="18"/>
          <w:szCs w:val="18"/>
          <w:color w:val="000000"/>
        </w:rPr>
        <w:t>, 1:00 P.M., New York City time, three</w:t>
      </w:r>
      <w:r>
        <w:rPr>
          <w:rFonts w:ascii="Arial" w:cs="Arial" w:eastAsia="Arial" w:hAnsi="Arial"/>
          <w:sz w:val="18"/>
          <w:szCs w:val="18"/>
          <w:color w:val="FF0000"/>
        </w:rPr>
        <w:t xml:space="preserve"> </w:t>
      </w:r>
      <w:r>
        <w:rPr>
          <w:rFonts w:ascii="Arial" w:cs="Arial" w:eastAsia="Arial" w:hAnsi="Arial"/>
          <w:sz w:val="18"/>
          <w:szCs w:val="18"/>
          <w:color w:val="000000"/>
        </w:rPr>
        <w:t xml:space="preserve">Business Days prior to the requested Borrowing Date </w:t>
      </w:r>
      <w:r>
        <w:rPr>
          <w:rFonts w:ascii="Arial" w:cs="Arial" w:eastAsia="Arial" w:hAnsi="Arial"/>
          <w:sz w:val="18"/>
          <w:szCs w:val="18"/>
          <w:color w:val="FF0000"/>
          <w:strike w:val="1"/>
        </w:rPr>
        <w:t>or (ii) in the case of requests made by GMGTC, 1:00 P.M., London time, three</w:t>
      </w:r>
      <w:r>
        <w:rPr>
          <w:rFonts w:ascii="Arial" w:cs="Arial" w:eastAsia="Arial" w:hAnsi="Arial"/>
          <w:sz w:val="18"/>
          <w:szCs w:val="18"/>
          <w:color w:val="000000"/>
        </w:rPr>
        <w:t xml:space="preserve"> </w:t>
      </w:r>
      <w:r>
        <w:rPr>
          <w:rFonts w:ascii="Arial" w:cs="Arial" w:eastAsia="Arial" w:hAnsi="Arial"/>
          <w:sz w:val="18"/>
          <w:szCs w:val="18"/>
          <w:color w:val="FF0000"/>
          <w:strike w:val="1"/>
        </w:rPr>
        <w:t>Business Days prior to the requested Borrowing Date,</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or (b) 1:00 P.M., New York City time, on the date of the proposed borrowing, in the</w:t>
      </w:r>
      <w:r>
        <w:rPr>
          <w:rFonts w:ascii="Arial" w:cs="Arial" w:eastAsia="Arial" w:hAnsi="Arial"/>
          <w:sz w:val="18"/>
          <w:szCs w:val="18"/>
          <w:color w:val="FF0000"/>
        </w:rPr>
        <w:t xml:space="preserve"> </w:t>
      </w:r>
      <w:r>
        <w:rPr>
          <w:rFonts w:ascii="Arial" w:cs="Arial" w:eastAsia="Arial" w:hAnsi="Arial"/>
          <w:sz w:val="18"/>
          <w:szCs w:val="18"/>
          <w:color w:val="000000"/>
        </w:rPr>
        <w:t xml:space="preserve">case of ABR Loans requested by the Company and (y) in the case of any Multicurrency Loan denominated in an Optional Currency, a written Borrowing Request prior to 1:00 P.M., London time, three Business Days prior to the requested Borrowing Date, in each case, specifying (a) the amount, Type and Currency of Multicurrency Loans to be borrowed, (b) the requested Borrowing Date and (c) the respective lengths of the initial Interest Period(s) therefor, if applicable; </w:t>
      </w:r>
      <w:r>
        <w:rPr>
          <w:rFonts w:ascii="Arial" w:cs="Arial" w:eastAsia="Arial" w:hAnsi="Arial"/>
          <w:sz w:val="18"/>
          <w:szCs w:val="18"/>
          <w:u w:val="single" w:color="auto"/>
          <w:color w:val="000000"/>
        </w:rPr>
        <w:t>provided further</w:t>
      </w:r>
      <w:r>
        <w:rPr>
          <w:rFonts w:ascii="Arial" w:cs="Arial" w:eastAsia="Arial" w:hAnsi="Arial"/>
          <w:sz w:val="18"/>
          <w:szCs w:val="18"/>
          <w:color w:val="000000"/>
        </w:rPr>
        <w:t xml:space="preserve">,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Arial" w:cs="Arial" w:eastAsia="Arial" w:hAnsi="Arial"/>
          <w:sz w:val="18"/>
          <w:szCs w:val="18"/>
          <w:u w:val="single" w:color="auto"/>
          <w:color w:val="000000"/>
        </w:rPr>
        <w:t>pro rata</w:t>
      </w:r>
      <w:r>
        <w:rPr>
          <w:rFonts w:ascii="Arial" w:cs="Arial" w:eastAsia="Arial" w:hAnsi="Arial"/>
          <w:sz w:val="18"/>
          <w:szCs w:val="18"/>
          <w:color w:val="000000"/>
        </w:rPr>
        <w:t xml:space="preserve"> share of each borrowing available to the Administrative Agent for the account of the Company or the relevant Subsidiary Borrower at the Funding Office prior to (x) in the case of any Multicurrency Loan denominated in Dollars, </w:t>
      </w:r>
      <w:r>
        <w:rPr>
          <w:rFonts w:ascii="Arial" w:cs="Arial" w:eastAsia="Arial" w:hAnsi="Arial"/>
          <w:sz w:val="18"/>
          <w:szCs w:val="18"/>
          <w:color w:val="FF0000"/>
          <w:strike w:val="1"/>
        </w:rPr>
        <w:t>(i)</w:t>
      </w:r>
      <w:r>
        <w:rPr>
          <w:rFonts w:ascii="Arial" w:cs="Arial" w:eastAsia="Arial" w:hAnsi="Arial"/>
          <w:sz w:val="18"/>
          <w:szCs w:val="18"/>
          <w:color w:val="000000"/>
        </w:rPr>
        <w:t xml:space="preserve"> 1:00 P.M. (or, in the case of an ABR Loan requested on the proposed Borrowing Date, 3:00 P.M.), New York City time, on the Borrowing Date requested by the Company or the relevant Subsidiary Borrower </w:t>
      </w:r>
      <w:r>
        <w:rPr>
          <w:rFonts w:ascii="Arial" w:cs="Arial" w:eastAsia="Arial" w:hAnsi="Arial"/>
          <w:sz w:val="18"/>
          <w:szCs w:val="18"/>
          <w:color w:val="FF0000"/>
          <w:strike w:val="1"/>
        </w:rPr>
        <w:t>(excluding GMGTC) and (ii) 1:00 P.M., London time, on the</w:t>
      </w:r>
      <w:r>
        <w:rPr>
          <w:rFonts w:ascii="Arial" w:cs="Arial" w:eastAsia="Arial" w:hAnsi="Arial"/>
          <w:sz w:val="18"/>
          <w:szCs w:val="18"/>
          <w:color w:val="000000"/>
        </w:rPr>
        <w:t xml:space="preserve"> </w:t>
      </w:r>
      <w:r>
        <w:rPr>
          <w:rFonts w:ascii="Arial" w:cs="Arial" w:eastAsia="Arial" w:hAnsi="Arial"/>
          <w:sz w:val="18"/>
          <w:szCs w:val="18"/>
          <w:color w:val="FF0000"/>
          <w:strike w:val="1"/>
        </w:rPr>
        <w:t>Borrowing Date requested by GMGTC</w:t>
      </w:r>
      <w:r>
        <w:rPr>
          <w:rFonts w:ascii="Arial" w:cs="Arial" w:eastAsia="Arial" w:hAnsi="Arial"/>
          <w:sz w:val="18"/>
          <w:szCs w:val="18"/>
          <w:color w:val="FF0000"/>
        </w:rPr>
        <w:t xml:space="preserve"> </w:t>
      </w:r>
      <w:r>
        <w:rPr>
          <w:rFonts w:ascii="Arial" w:cs="Arial" w:eastAsia="Arial" w:hAnsi="Arial"/>
          <w:sz w:val="18"/>
          <w:szCs w:val="18"/>
          <w:color w:val="000000"/>
        </w:rPr>
        <w:t>and (y) in the case of any Multicurrency Loan denominated in an Optional Currency, 2:00 P.M.,</w:t>
      </w:r>
      <w:r>
        <w:rPr>
          <w:rFonts w:ascii="Arial" w:cs="Arial" w:eastAsia="Arial" w:hAnsi="Arial"/>
          <w:sz w:val="18"/>
          <w:szCs w:val="18"/>
          <w:color w:val="FF0000"/>
        </w:rPr>
        <w:t xml:space="preserve"> </w:t>
      </w:r>
      <w:r>
        <w:rPr>
          <w:rFonts w:ascii="Arial" w:cs="Arial" w:eastAsia="Arial" w:hAnsi="Arial"/>
          <w:sz w:val="18"/>
          <w:szCs w:val="18"/>
          <w:color w:val="000000"/>
        </w:rPr>
        <w:t>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w:t>
      </w:r>
    </w:p>
    <w:p>
      <w:pPr>
        <w:sectPr>
          <w:pgSz w:w="11900" w:h="16838" w:orient="portrait"/>
          <w:cols w:equalWidth="0" w:num="1">
            <w:col w:w="11240"/>
          </w:cols>
          <w:pgMar w:left="320" w:top="568" w:right="339" w:bottom="1440" w:gutter="0" w:footer="0" w:header="0"/>
        </w:sectPr>
      </w:pPr>
    </w:p>
    <w:bookmarkStart w:id="99" w:name="page100"/>
    <w:bookmarkEnd w:id="99"/>
    <w:p>
      <w:pPr>
        <w:jc w:val="both"/>
        <w:spacing w:after="0" w:line="260" w:lineRule="auto"/>
        <w:rPr>
          <w:sz w:val="20"/>
          <w:szCs w:val="20"/>
          <w:color w:val="auto"/>
        </w:rPr>
      </w:pPr>
      <w:r>
        <w:rPr>
          <w:rFonts w:ascii="Arial" w:cs="Arial" w:eastAsia="Arial" w:hAnsi="Arial"/>
          <w:sz w:val="20"/>
          <w:szCs w:val="20"/>
          <w:color w:val="auto"/>
        </w:rPr>
        <w:t>aggregate of the amounts made available to the Administrative Agent by the applicable Multicurrency Lenders and in like funds as received by the Administrative Agent.</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010000"/>
        </w:rPr>
        <w:t xml:space="preserve">2.5 </w:t>
      </w:r>
      <w:r>
        <w:rPr>
          <w:rFonts w:ascii="Arial" w:cs="Arial" w:eastAsia="Arial" w:hAnsi="Arial"/>
          <w:sz w:val="19"/>
          <w:szCs w:val="19"/>
          <w:color w:val="000000"/>
        </w:rPr>
        <w:t>Brazilian Commitments. (a) Subject to the terms and conditions hereof, each Brazilian Lender severally agrees to make</w:t>
      </w:r>
      <w:r>
        <w:rPr>
          <w:rFonts w:ascii="Arial" w:cs="Arial" w:eastAsia="Arial" w:hAnsi="Arial"/>
          <w:sz w:val="19"/>
          <w:szCs w:val="19"/>
          <w:color w:val="010000"/>
        </w:rPr>
        <w:t xml:space="preserve"> </w:t>
      </w:r>
      <w:r>
        <w:rPr>
          <w:rFonts w:ascii="Arial" w:cs="Arial" w:eastAsia="Arial" w:hAnsi="Arial"/>
          <w:sz w:val="19"/>
          <w:szCs w:val="19"/>
          <w:color w:val="000000"/>
        </w:rPr>
        <w:t>(or cause its Applicable Lending Office to make) revolving loans (“</w:t>
      </w:r>
      <w:r>
        <w:rPr>
          <w:rFonts w:ascii="Arial" w:cs="Arial" w:eastAsia="Arial" w:hAnsi="Arial"/>
          <w:sz w:val="19"/>
          <w:szCs w:val="19"/>
          <w:u w:val="single" w:color="auto"/>
          <w:color w:val="000000"/>
        </w:rPr>
        <w:t>Brazilian Loans</w:t>
      </w:r>
      <w:r>
        <w:rPr>
          <w:rFonts w:ascii="Arial" w:cs="Arial" w:eastAsia="Arial" w:hAnsi="Arial"/>
          <w:sz w:val="19"/>
          <w:szCs w:val="19"/>
          <w:color w:val="000000"/>
        </w:rPr>
        <w:t xml:space="preserve">”) in Brazilian Reais to any Brazilian Subsidiary Borrower from time to time during the Commitment Period of such Brazilian Lender pursuant to, in accordance with and subject to the terms of, its Brazilian Bank Certificate; </w:t>
      </w:r>
      <w:r>
        <w:rPr>
          <w:rFonts w:ascii="Arial" w:cs="Arial" w:eastAsia="Arial" w:hAnsi="Arial"/>
          <w:sz w:val="19"/>
          <w:szCs w:val="19"/>
          <w:u w:val="single" w:color="auto"/>
          <w:color w:val="000000"/>
        </w:rPr>
        <w:t>provided</w:t>
      </w:r>
      <w:r>
        <w:rPr>
          <w:rFonts w:ascii="Arial" w:cs="Arial" w:eastAsia="Arial" w:hAnsi="Arial"/>
          <w:sz w:val="19"/>
          <w:szCs w:val="19"/>
          <w:color w:val="000000"/>
        </w:rPr>
        <w:t>, that, (x) after giving effect to such borrowing and the use of proceeds thereof, (i) such Lender’s Brazilian Extensions of Credit do not exceed the amount of such Lender’s Brazilian Commitments then in effect, (ii) the Total Brazilian Extensions of Credit shall not exceed the Total Brazilian Commitment then in effect and (iii) the Total Extensions of Credit shall not exceed the Total Commitments then in effect and (y) each borrowing under the Brazilian Commitments shall be in an amount that is an integral multiple of R$10 million and no less than R$50 million (or, if the Total Available Brazilian Commitments are less than R$50 million at such time, such lesser amount). During the Commitment Period of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84" w:lineRule="exact"/>
        <w:rPr>
          <w:sz w:val="20"/>
          <w:szCs w:val="20"/>
          <w:color w:val="auto"/>
        </w:rPr>
      </w:pPr>
    </w:p>
    <w:p>
      <w:pPr>
        <w:ind w:firstLine="1304"/>
        <w:spacing w:after="0" w:line="260" w:lineRule="auto"/>
        <w:tabs>
          <w:tab w:leader="none" w:pos="1738"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The relevant Brazilian Subsidiary Borrower shall repay all outstanding Brazilian Loans of a Lender on the Termination Date for such Lender under the Brazilian Facility.</w:t>
      </w:r>
    </w:p>
    <w:p>
      <w:pPr>
        <w:spacing w:after="0" w:line="176" w:lineRule="exact"/>
        <w:rPr>
          <w:rFonts w:ascii="Arial" w:cs="Arial" w:eastAsia="Arial" w:hAnsi="Arial"/>
          <w:sz w:val="20"/>
          <w:szCs w:val="20"/>
          <w:color w:val="010000"/>
        </w:rPr>
      </w:pPr>
    </w:p>
    <w:p>
      <w:pPr>
        <w:ind w:firstLine="1304"/>
        <w:spacing w:after="0" w:line="260" w:lineRule="auto"/>
        <w:tabs>
          <w:tab w:leader="none" w:pos="1767"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The relevant Brazilian Subsidiary Borrower shall repay any outstanding Brazilian Loans on the dates required by the applicable Brazilian Bank Certificate.</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010000"/>
        </w:rPr>
        <w:t xml:space="preserve">2.6 </w:t>
      </w:r>
      <w:r>
        <w:rPr>
          <w:rFonts w:ascii="Arial" w:cs="Arial" w:eastAsia="Arial" w:hAnsi="Arial"/>
          <w:sz w:val="18"/>
          <w:szCs w:val="18"/>
          <w:color w:val="000000"/>
        </w:rPr>
        <w:t>Brazilian Reporting. Unless otherwise requested by the Administrative Agent, the Brazilian Administrative Agent shall</w:t>
      </w:r>
      <w:r>
        <w:rPr>
          <w:rFonts w:ascii="Arial" w:cs="Arial" w:eastAsia="Arial" w:hAnsi="Arial"/>
          <w:sz w:val="18"/>
          <w:szCs w:val="18"/>
          <w:color w:val="010000"/>
        </w:rPr>
        <w:t xml:space="preserve"> </w:t>
      </w:r>
      <w:r>
        <w:rPr>
          <w:rFonts w:ascii="Arial" w:cs="Arial" w:eastAsia="Arial" w:hAnsi="Arial"/>
          <w:sz w:val="18"/>
          <w:szCs w:val="18"/>
          <w:color w:val="000000"/>
        </w:rPr>
        <w:t>report in writing to the Administrative Agent (i) on the last Business Day of each month, the amount of all Brazilian Loans outstanding, (ii) on each Business Day on which the Brazilian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 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6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010000"/>
        </w:rPr>
        <w:t xml:space="preserve">2.7 </w:t>
      </w:r>
      <w:r>
        <w:rPr>
          <w:rFonts w:ascii="Arial" w:cs="Arial" w:eastAsia="Arial" w:hAnsi="Arial"/>
          <w:sz w:val="18"/>
          <w:szCs w:val="18"/>
          <w:color w:val="000000"/>
        </w:rPr>
        <w:t>L/C Tranche Commitments. (a) Subject to the terms and conditions hereof, each L/C Tranche Lender severally agrees</w:t>
      </w:r>
      <w:r>
        <w:rPr>
          <w:rFonts w:ascii="Arial" w:cs="Arial" w:eastAsia="Arial" w:hAnsi="Arial"/>
          <w:sz w:val="18"/>
          <w:szCs w:val="18"/>
          <w:color w:val="010000"/>
        </w:rPr>
        <w:t xml:space="preserve"> </w:t>
      </w:r>
      <w:r>
        <w:rPr>
          <w:rFonts w:ascii="Arial" w:cs="Arial" w:eastAsia="Arial" w:hAnsi="Arial"/>
          <w:sz w:val="18"/>
          <w:szCs w:val="18"/>
          <w:color w:val="000000"/>
        </w:rPr>
        <w:t>to make (or cause its Applicable Lending Office to make) revolving loans (“</w:t>
      </w:r>
      <w:r>
        <w:rPr>
          <w:rFonts w:ascii="Arial" w:cs="Arial" w:eastAsia="Arial" w:hAnsi="Arial"/>
          <w:sz w:val="18"/>
          <w:szCs w:val="18"/>
          <w:u w:val="single" w:color="auto"/>
          <w:color w:val="000000"/>
        </w:rPr>
        <w:t>L/C Tranche Loans</w:t>
      </w:r>
      <w:r>
        <w:rPr>
          <w:rFonts w:ascii="Arial" w:cs="Arial" w:eastAsia="Arial" w:hAnsi="Arial"/>
          <w:sz w:val="18"/>
          <w:szCs w:val="18"/>
          <w:color w:val="000000"/>
        </w:rPr>
        <w:t xml:space="preserve">”) in Dollars or any Optional Currency to the Company or any Foreign Subsidiary Borrower from time to time during the Commitment Period of such L/C Tranche Lender; </w:t>
      </w:r>
      <w:r>
        <w:rPr>
          <w:rFonts w:ascii="Arial" w:cs="Arial" w:eastAsia="Arial" w:hAnsi="Arial"/>
          <w:sz w:val="18"/>
          <w:szCs w:val="18"/>
          <w:u w:val="single" w:color="auto"/>
          <w:color w:val="000000"/>
        </w:rPr>
        <w:t>provided</w:t>
      </w:r>
      <w:r>
        <w:rPr>
          <w:rFonts w:ascii="Arial" w:cs="Arial" w:eastAsia="Arial" w:hAnsi="Arial"/>
          <w:sz w:val="18"/>
          <w:szCs w:val="18"/>
          <w:color w:val="000000"/>
        </w:rPr>
        <w:t>, that, after giving effect to such borrowing and the use of proceeds thereof, (i) such Lender’s L/C Tranche Extensions of Credit do not exceed the amount of such Lender’s L/C Tranche Commitments and (ii) the Total Extensions of Credit shall not exceed the Total Commitments then in effect. During the Commitment Period for the applicable L/C Tranche Lenders for the L/C Tranche Facility, the Company and any relevant Subsidiary Borrower may use the L/C Tranche Commitments by borrowing, prepaying the L/C Tranche Loans in whole or in part, and reborrowing, all in accordance with the terms and conditions hereof. The L/C Tranche Loans shall be Eurocurrency Loans or (if made to the Company and denominated in Dollars) ABR Loans as notified to the Administrative Agent in accordance with Section 2.8 and 2.14.</w:t>
      </w:r>
    </w:p>
    <w:p>
      <w:pPr>
        <w:sectPr>
          <w:pgSz w:w="11900" w:h="16838" w:orient="portrait"/>
          <w:cols w:equalWidth="0" w:num="1">
            <w:col w:w="11240"/>
          </w:cols>
          <w:pgMar w:left="320" w:top="568" w:right="339" w:bottom="1440" w:gutter="0" w:footer="0" w:header="0"/>
        </w:sectPr>
      </w:pPr>
    </w:p>
    <w:bookmarkStart w:id="100" w:name="page101"/>
    <w:bookmarkEnd w:id="100"/>
    <w:p>
      <w:pPr>
        <w:ind w:firstLine="1304"/>
        <w:spacing w:after="0" w:line="260" w:lineRule="auto"/>
        <w:tabs>
          <w:tab w:leader="none" w:pos="1778" w:val="left"/>
        </w:tabs>
        <w:numPr>
          <w:ilvl w:val="0"/>
          <w:numId w:val="29"/>
        </w:numPr>
        <w:rPr>
          <w:rFonts w:ascii="Arial" w:cs="Arial" w:eastAsia="Arial" w:hAnsi="Arial"/>
          <w:sz w:val="20"/>
          <w:szCs w:val="20"/>
          <w:color w:val="010000"/>
        </w:rPr>
      </w:pPr>
      <w:r>
        <w:rPr>
          <w:rFonts w:ascii="Arial" w:cs="Arial" w:eastAsia="Arial" w:hAnsi="Arial"/>
          <w:sz w:val="20"/>
          <w:szCs w:val="20"/>
          <w:color w:val="auto"/>
        </w:rPr>
        <w:t>The Company and, to the extent of its borrowings, any relevant Subsidiary Borrower shall repay all outstanding L/C Tranche Loans of a Lender on the Termination Date for such Lender under the L/C Tranche Facility.</w:t>
      </w:r>
    </w:p>
    <w:p>
      <w:pPr>
        <w:spacing w:after="0" w:line="17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010000"/>
        </w:rPr>
        <w:t xml:space="preserve">2.8 </w:t>
      </w:r>
      <w:r>
        <w:rPr>
          <w:rFonts w:ascii="Arial" w:cs="Arial" w:eastAsia="Arial" w:hAnsi="Arial"/>
          <w:sz w:val="18"/>
          <w:szCs w:val="18"/>
          <w:color w:val="000000"/>
        </w:rPr>
        <w:t>Procedure for L/C Tranche Loan Borrowing. The Company and any relevant Subsidiary Borrower may borrow under</w:t>
      </w:r>
      <w:r>
        <w:rPr>
          <w:rFonts w:ascii="Arial" w:cs="Arial" w:eastAsia="Arial" w:hAnsi="Arial"/>
          <w:sz w:val="18"/>
          <w:szCs w:val="18"/>
          <w:color w:val="010000"/>
        </w:rPr>
        <w:t xml:space="preserve"> </w:t>
      </w:r>
      <w:r>
        <w:rPr>
          <w:rFonts w:ascii="Arial" w:cs="Arial" w:eastAsia="Arial" w:hAnsi="Arial"/>
          <w:sz w:val="18"/>
          <w:szCs w:val="18"/>
          <w:color w:val="000000"/>
        </w:rPr>
        <w:t xml:space="preserve">the L/C Tranche Commitments during the applicable Commitment Period on any Business Day,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except in the case of a deemed request for an ABR Loan (i) on the Reimbursement Date of a Reimbursement Obligation as contemplated by Section 3.5 and (ii) for payment of fees due pursuant to the L/C Fee Letter as contemplated by Section 3.3, the Company or the relevant Subsidiary Borrower shall deliver to the Administrative Agent (x) in the case of any L/C Tranche Loan denominated in Dollars, a written Borrowing Request (or telephonic notice promptly confirmed in a written Borrowing Request) prior to (a) 1:00 P.M., New York City time, three Business Days prior to the requested Borrowing Date, in the case of Eurocurrency Loans, or (b) 12:00 Noon, New York City time, on the date of the proposed borrowing, in the case of ABR Loans requested by the Company and (y) in the case of any L/C Tranche Loan denominated in an Optional Currency, a written Borrowing Request prior to 12:00 Noon, London time, three Business Days prior to the requested Borrowing Date, in each case, specifying (a) the amount, Type and Currency of L/C Tranche Loans to be borrowed, (b) the requested Borrowing Date and (c) the respective lengths of the initial Interest Period(s) therefor, if applicable; </w:t>
      </w:r>
      <w:r>
        <w:rPr>
          <w:rFonts w:ascii="Arial" w:cs="Arial" w:eastAsia="Arial" w:hAnsi="Arial"/>
          <w:sz w:val="18"/>
          <w:szCs w:val="18"/>
          <w:u w:val="single" w:color="auto"/>
          <w:color w:val="000000"/>
        </w:rPr>
        <w:t>provided further,</w:t>
      </w:r>
      <w:r>
        <w:rPr>
          <w:rFonts w:ascii="Arial" w:cs="Arial" w:eastAsia="Arial" w:hAnsi="Arial"/>
          <w:sz w:val="18"/>
          <w:szCs w:val="18"/>
          <w:color w:val="000000"/>
        </w:rPr>
        <w:t xml:space="preserve"> that, any such Borrowing Request submitted by a Subsidiary Borrower shall include the written consent of the Company. If no election as to the Type of an L/C Tranche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Except as otherwise contemplated by Sections 3.3 and 3.5,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 Upon receipt of any such notice from the Company or the relevant Subsidiary Borrower (or, as provided in Sections 3.3 and 3.5, deemed notice), the Administrative Agent shall promptly notify each L/C Tranche Lender holding L/C Tranche Commitments of such notice. Each L/C Tranche Lender holding L/C Tranche Commitments will make (or cause its Applicable Lending Office to make) the amount of its </w:t>
      </w:r>
      <w:r>
        <w:rPr>
          <w:rFonts w:ascii="Arial" w:cs="Arial" w:eastAsia="Arial" w:hAnsi="Arial"/>
          <w:sz w:val="18"/>
          <w:szCs w:val="18"/>
          <w:u w:val="single" w:color="auto"/>
          <w:color w:val="000000"/>
        </w:rPr>
        <w:t>pro rata</w:t>
      </w:r>
      <w:r>
        <w:rPr>
          <w:rFonts w:ascii="Arial" w:cs="Arial" w:eastAsia="Arial" w:hAnsi="Arial"/>
          <w:sz w:val="18"/>
          <w:szCs w:val="18"/>
          <w:color w:val="000000"/>
        </w:rPr>
        <w:t xml:space="preserve"> share of each borrowing available to the Administrative Agent for the account of the Company or the relevant Subsidiary Borrower at the Funding Office prior to (x) in the case of any L/C Tranche Loan denominated in Dollars, 1:00 P.M. (or, in the case of an ABR Loan requested by the Company on the proposed Borrowing Date, 3:00 P.M.), New York City time, on the Borrowing Date requested by the Company or the relevant Subsidiary Borrower and (y) in the case of any L/C Tranche Loan denominated in an Optional Currency, 2:00 P.M., London time, on the Borrowing Date requested by the Company or such Subsidiary Borrower in funds immediately available to the Administrative Agent. Subject to Sections 3.3 and 3.5 (where the proceeds of such borrowing shall be applied to repay fees due pursuant to the L/C Fee Letter or the related Reimbursement Obligation, as applicable),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L/C Tranche Lenders and in like funds as received by the Administrative Agent.</w:t>
      </w:r>
    </w:p>
    <w:p>
      <w:pPr>
        <w:spacing w:after="0" w:line="19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2.9 </w:t>
      </w:r>
      <w:r>
        <w:rPr>
          <w:rFonts w:ascii="Arial" w:cs="Arial" w:eastAsia="Arial" w:hAnsi="Arial"/>
          <w:sz w:val="20"/>
          <w:szCs w:val="20"/>
          <w:color w:val="000000"/>
        </w:rPr>
        <w:t>Competitive Bid Procedure. (a) (i) Subject to the terms and conditions set forth herein, from time to time during the</w:t>
      </w:r>
      <w:r>
        <w:rPr>
          <w:rFonts w:ascii="Arial" w:cs="Arial" w:eastAsia="Arial" w:hAnsi="Arial"/>
          <w:sz w:val="20"/>
          <w:szCs w:val="20"/>
          <w:color w:val="010000"/>
        </w:rPr>
        <w:t xml:space="preserve"> </w:t>
      </w:r>
      <w:r>
        <w:rPr>
          <w:rFonts w:ascii="Arial" w:cs="Arial" w:eastAsia="Arial" w:hAnsi="Arial"/>
          <w:sz w:val="20"/>
          <w:szCs w:val="20"/>
          <w:color w:val="000000"/>
        </w:rPr>
        <w:t>Commitment Period in respect of Domestic Commitments, the Company or any Domestic Subsidiary Borrower may request Competitive Bids under the Domestic Facility and may</w:t>
      </w:r>
    </w:p>
    <w:p>
      <w:pPr>
        <w:sectPr>
          <w:pgSz w:w="11900" w:h="16838" w:orient="portrait"/>
          <w:cols w:equalWidth="0" w:num="1">
            <w:col w:w="11240"/>
          </w:cols>
          <w:pgMar w:left="320" w:top="568" w:right="339" w:bottom="1440" w:gutter="0" w:footer="0" w:header="0"/>
        </w:sectPr>
      </w:pPr>
    </w:p>
    <w:bookmarkStart w:id="101" w:name="page102"/>
    <w:bookmarkEnd w:id="101"/>
    <w:p>
      <w:pPr>
        <w:jc w:val="both"/>
        <w:spacing w:after="0" w:line="269" w:lineRule="auto"/>
        <w:rPr>
          <w:sz w:val="20"/>
          <w:szCs w:val="20"/>
          <w:color w:val="auto"/>
        </w:rPr>
      </w:pPr>
      <w:r>
        <w:rPr>
          <w:rFonts w:ascii="Arial" w:cs="Arial" w:eastAsia="Arial" w:hAnsi="Arial"/>
          <w:sz w:val="18"/>
          <w:szCs w:val="18"/>
          <w:color w:val="auto"/>
        </w:rPr>
        <w:t xml:space="preserve">(but shall not have any obligation to) accept Competitive Bids and borrow Competitive Loans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to such borrowing and the use of proceeds thereof, (i) the Total Domestic Extensions of Credit shall not exceed the Total Domestic Commitments then in effect and (ii)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w:t>
      </w:r>
    </w:p>
    <w:p>
      <w:pPr>
        <w:spacing w:after="0" w:line="1" w:lineRule="exact"/>
        <w:rPr>
          <w:sz w:val="20"/>
          <w:szCs w:val="20"/>
          <w:color w:val="auto"/>
        </w:rPr>
      </w:pPr>
    </w:p>
    <w:p>
      <w:pPr>
        <w:jc w:val="both"/>
        <w:ind w:firstLine="8"/>
        <w:spacing w:after="0"/>
        <w:tabs>
          <w:tab w:leader="none" w:pos="334"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w:t>
      </w:r>
      <w:r>
        <w:rPr>
          <w:rFonts w:ascii="Arial" w:cs="Arial" w:eastAsia="Arial" w:hAnsi="Arial"/>
          <w:sz w:val="20"/>
          <w:szCs w:val="20"/>
          <w:u w:val="single" w:color="auto"/>
          <w:color w:val="auto"/>
        </w:rPr>
        <w:t>provided</w:t>
      </w:r>
      <w:r>
        <w:rPr>
          <w:rFonts w:ascii="Arial" w:cs="Arial" w:eastAsia="Arial" w:hAnsi="Arial"/>
          <w:sz w:val="20"/>
          <w:szCs w:val="20"/>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97" w:lineRule="exact"/>
        <w:rPr>
          <w:rFonts w:ascii="Arial" w:cs="Arial" w:eastAsia="Arial" w:hAnsi="Arial"/>
          <w:sz w:val="20"/>
          <w:szCs w:val="20"/>
          <w:color w:val="auto"/>
        </w:rPr>
      </w:pPr>
    </w:p>
    <w:p>
      <w:pPr>
        <w:jc w:val="both"/>
        <w:ind w:firstLine="1304"/>
        <w:spacing w:after="0" w:line="269" w:lineRule="auto"/>
        <w:tabs>
          <w:tab w:leader="none" w:pos="1803" w:val="left"/>
        </w:tabs>
        <w:numPr>
          <w:ilvl w:val="1"/>
          <w:numId w:val="30"/>
        </w:numPr>
        <w:rPr>
          <w:rFonts w:ascii="Arial" w:cs="Arial" w:eastAsia="Arial" w:hAnsi="Arial"/>
          <w:sz w:val="18"/>
          <w:szCs w:val="18"/>
          <w:color w:val="010000"/>
        </w:rPr>
      </w:pPr>
      <w:r>
        <w:rPr>
          <w:rFonts w:ascii="Arial" w:cs="Arial" w:eastAsia="Arial" w:hAnsi="Arial"/>
          <w:sz w:val="18"/>
          <w:szCs w:val="18"/>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borrowing and the use of proceeds thereof, (x) the Total Multicurrency Extensions of Credit shall not exceed the Total Multicurrency Commitments then in effect and (y) the Total Extensions 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81" w:lineRule="exact"/>
        <w:rPr>
          <w:sz w:val="20"/>
          <w:szCs w:val="20"/>
          <w:color w:val="auto"/>
        </w:rPr>
      </w:pPr>
    </w:p>
    <w:p>
      <w:pPr>
        <w:jc w:val="both"/>
        <w:ind w:firstLine="1304"/>
        <w:spacing w:after="0" w:line="282" w:lineRule="auto"/>
        <w:tabs>
          <w:tab w:leader="none" w:pos="1778"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Promptly following receipt of a Competitive Bid Request conforming to the requirements of this Section 2.9 (but, in any event, no later than (x) 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61" w:lineRule="exact"/>
        <w:rPr>
          <w:rFonts w:ascii="Arial" w:cs="Arial" w:eastAsia="Arial" w:hAnsi="Arial"/>
          <w:sz w:val="18"/>
          <w:szCs w:val="18"/>
          <w:color w:val="010000"/>
        </w:rPr>
      </w:pPr>
    </w:p>
    <w:p>
      <w:pPr>
        <w:jc w:val="both"/>
        <w:ind w:firstLine="1304"/>
        <w:spacing w:after="0" w:line="243" w:lineRule="auto"/>
        <w:tabs>
          <w:tab w:leader="none" w:pos="1740"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w:t>
      </w:r>
    </w:p>
    <w:p>
      <w:pPr>
        <w:sectPr>
          <w:pgSz w:w="11900" w:h="16838" w:orient="portrait"/>
          <w:cols w:equalWidth="0" w:num="1">
            <w:col w:w="11240"/>
          </w:cols>
          <w:pgMar w:left="320" w:top="568" w:right="339" w:bottom="1440" w:gutter="0" w:footer="0" w:header="0"/>
        </w:sectPr>
      </w:pPr>
    </w:p>
    <w:bookmarkStart w:id="102" w:name="page103"/>
    <w:bookmarkEnd w:id="102"/>
    <w:p>
      <w:pPr>
        <w:jc w:val="both"/>
        <w:spacing w:after="0" w:line="271" w:lineRule="auto"/>
        <w:rPr>
          <w:sz w:val="20"/>
          <w:szCs w:val="20"/>
          <w:color w:val="auto"/>
        </w:rPr>
      </w:pPr>
      <w:r>
        <w:rPr>
          <w:rFonts w:ascii="Arial" w:cs="Arial" w:eastAsia="Arial" w:hAnsi="Arial"/>
          <w:sz w:val="18"/>
          <w:szCs w:val="18"/>
          <w:color w:val="auto"/>
        </w:rPr>
        <w:t>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70" w:lineRule="exact"/>
        <w:rPr>
          <w:sz w:val="20"/>
          <w:szCs w:val="20"/>
          <w:color w:val="auto"/>
        </w:rPr>
      </w:pPr>
    </w:p>
    <w:p>
      <w:pPr>
        <w:jc w:val="both"/>
        <w:ind w:firstLine="1304"/>
        <w:spacing w:after="0" w:line="257" w:lineRule="auto"/>
        <w:tabs>
          <w:tab w:leader="none" w:pos="1778" w:val="left"/>
        </w:tabs>
        <w:numPr>
          <w:ilvl w:val="0"/>
          <w:numId w:val="32"/>
        </w:numPr>
        <w:rPr>
          <w:rFonts w:ascii="Arial" w:cs="Arial" w:eastAsia="Arial" w:hAnsi="Arial"/>
          <w:sz w:val="19"/>
          <w:szCs w:val="19"/>
          <w:color w:val="010000"/>
        </w:rPr>
      </w:pPr>
      <w:r>
        <w:rPr>
          <w:rFonts w:ascii="Arial" w:cs="Arial" w:eastAsia="Arial" w:hAnsi="Arial"/>
          <w:sz w:val="19"/>
          <w:szCs w:val="19"/>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80" w:lineRule="exact"/>
        <w:rPr>
          <w:rFonts w:ascii="Arial" w:cs="Arial" w:eastAsia="Arial" w:hAnsi="Arial"/>
          <w:sz w:val="19"/>
          <w:szCs w:val="19"/>
          <w:color w:val="010000"/>
        </w:rPr>
      </w:pPr>
    </w:p>
    <w:p>
      <w:pPr>
        <w:jc w:val="both"/>
        <w:ind w:firstLine="1304"/>
        <w:spacing w:after="0" w:line="269" w:lineRule="auto"/>
        <w:tabs>
          <w:tab w:leader="none" w:pos="1713"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w:t>
      </w:r>
    </w:p>
    <w:p>
      <w:pPr>
        <w:sectPr>
          <w:pgSz w:w="11900" w:h="16838" w:orient="portrait"/>
          <w:cols w:equalWidth="0" w:num="1">
            <w:col w:w="11240"/>
          </w:cols>
          <w:pgMar w:left="320" w:top="568" w:right="339" w:bottom="1440" w:gutter="0" w:footer="0" w:header="0"/>
        </w:sectPr>
      </w:pPr>
    </w:p>
    <w:bookmarkStart w:id="103" w:name="page104"/>
    <w:bookmarkEnd w:id="103"/>
    <w:p>
      <w:pPr>
        <w:jc w:val="both"/>
        <w:spacing w:after="0" w:line="250" w:lineRule="auto"/>
        <w:rPr>
          <w:sz w:val="20"/>
          <w:szCs w:val="20"/>
          <w:color w:val="auto"/>
        </w:rPr>
      </w:pPr>
      <w:r>
        <w:rPr>
          <w:rFonts w:ascii="Arial" w:cs="Arial" w:eastAsia="Arial" w:hAnsi="Arial"/>
          <w:sz w:val="20"/>
          <w:szCs w:val="20"/>
          <w:color w:val="auto"/>
        </w:rPr>
        <w:t>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86" w:lineRule="exact"/>
        <w:rPr>
          <w:sz w:val="20"/>
          <w:szCs w:val="20"/>
          <w:color w:val="auto"/>
        </w:rPr>
      </w:pPr>
    </w:p>
    <w:p>
      <w:pPr>
        <w:jc w:val="both"/>
        <w:ind w:firstLine="1304"/>
        <w:spacing w:after="0" w:line="257" w:lineRule="auto"/>
        <w:tabs>
          <w:tab w:leader="none" w:pos="1692"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80" w:lineRule="exact"/>
        <w:rPr>
          <w:rFonts w:ascii="Arial" w:cs="Arial" w:eastAsia="Arial" w:hAnsi="Arial"/>
          <w:sz w:val="19"/>
          <w:szCs w:val="19"/>
          <w:color w:val="010000"/>
        </w:rPr>
      </w:pPr>
    </w:p>
    <w:p>
      <w:pPr>
        <w:jc w:val="both"/>
        <w:ind w:right="20" w:firstLine="1304"/>
        <w:spacing w:after="0" w:line="291" w:lineRule="auto"/>
        <w:tabs>
          <w:tab w:leader="none" w:pos="1792"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151" w:lineRule="exact"/>
        <w:rPr>
          <w:rFonts w:ascii="Arial" w:cs="Arial" w:eastAsia="Arial" w:hAnsi="Arial"/>
          <w:sz w:val="18"/>
          <w:szCs w:val="18"/>
          <w:color w:val="010000"/>
        </w:rPr>
      </w:pPr>
    </w:p>
    <w:p>
      <w:pPr>
        <w:ind w:firstLine="1304"/>
        <w:spacing w:after="0" w:line="260" w:lineRule="auto"/>
        <w:tabs>
          <w:tab w:leader="none" w:pos="1846"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The Company or, to the extent of its borrowings, any relevant Subsidiary Borrower shall repay each outstanding Competitive Loan on the last day of the Interest Period therefor.</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010000"/>
        </w:rPr>
        <w:t xml:space="preserve">2.10 </w:t>
      </w:r>
      <w:r>
        <w:rPr>
          <w:rFonts w:ascii="Arial" w:cs="Arial" w:eastAsia="Arial" w:hAnsi="Arial"/>
          <w:sz w:val="19"/>
          <w:szCs w:val="19"/>
          <w:color w:val="000000"/>
        </w:rPr>
        <w:t>Facility Fees, etc.. (a) The Company agrees to pay to the Administrative Agent a facility fee (the “</w:t>
      </w:r>
      <w:r>
        <w:rPr>
          <w:rFonts w:ascii="Arial" w:cs="Arial" w:eastAsia="Arial" w:hAnsi="Arial"/>
          <w:sz w:val="19"/>
          <w:szCs w:val="19"/>
          <w:u w:val="single" w:color="auto"/>
          <w:color w:val="000000"/>
        </w:rPr>
        <w:t>Facility Fee</w:t>
      </w:r>
      <w:r>
        <w:rPr>
          <w:rFonts w:ascii="Arial" w:cs="Arial" w:eastAsia="Arial" w:hAnsi="Arial"/>
          <w:sz w:val="19"/>
          <w:szCs w:val="19"/>
          <w:color w:val="000000"/>
        </w:rPr>
        <w:t>”) for</w:t>
      </w:r>
      <w:r>
        <w:rPr>
          <w:rFonts w:ascii="Arial" w:cs="Arial" w:eastAsia="Arial" w:hAnsi="Arial"/>
          <w:sz w:val="19"/>
          <w:szCs w:val="19"/>
          <w:color w:val="010000"/>
        </w:rPr>
        <w:t xml:space="preserve"> </w:t>
      </w:r>
      <w:r>
        <w:rPr>
          <w:rFonts w:ascii="Arial" w:cs="Arial" w:eastAsia="Arial" w:hAnsi="Arial"/>
          <w:sz w:val="19"/>
          <w:szCs w:val="19"/>
          <w:color w:val="000000"/>
        </w:rPr>
        <w:t xml:space="preserve">the account of each Domestic Lender </w:t>
      </w:r>
      <w:r>
        <w:rPr>
          <w:rFonts w:ascii="Arial" w:cs="Arial" w:eastAsia="Arial" w:hAnsi="Arial"/>
          <w:sz w:val="19"/>
          <w:szCs w:val="19"/>
          <w:color w:val="FF0000"/>
          <w:strike w:val="1"/>
        </w:rPr>
        <w:t>and</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Multicurrency Lender </w:t>
      </w:r>
      <w:r>
        <w:rPr>
          <w:rFonts w:ascii="Arial" w:cs="Arial" w:eastAsia="Arial" w:hAnsi="Arial"/>
          <w:sz w:val="19"/>
          <w:szCs w:val="19"/>
          <w:u w:val="single" w:color="auto"/>
          <w:color w:val="0000FF"/>
        </w:rPr>
        <w:t>and L/C Tranche Lender (</w:t>
      </w:r>
      <w:r>
        <w:rPr>
          <w:rFonts w:ascii="Arial" w:cs="Arial" w:eastAsia="Arial" w:hAnsi="Arial"/>
          <w:sz w:val="19"/>
          <w:szCs w:val="19"/>
          <w:color w:val="000000"/>
        </w:rPr>
        <w:t xml:space="preserve">for the period from and including the Closing Date (or such later date as of which such Lender shall become a Lender under the Domestic Facility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 the</w:t>
      </w:r>
      <w:r>
        <w:rPr>
          <w:rFonts w:ascii="Arial" w:cs="Arial" w:eastAsia="Arial" w:hAnsi="Arial"/>
          <w:sz w:val="19"/>
          <w:szCs w:val="19"/>
          <w:color w:val="000000"/>
        </w:rPr>
        <w:t xml:space="preserve"> Multicurrency </w:t>
      </w:r>
      <w:r>
        <w:rPr>
          <w:rFonts w:ascii="Arial" w:cs="Arial" w:eastAsia="Arial" w:hAnsi="Arial"/>
          <w:sz w:val="19"/>
          <w:szCs w:val="19"/>
          <w:u w:val="single" w:color="auto"/>
          <w:color w:val="0000FF"/>
        </w:rPr>
        <w:t>Facility or the L/C</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Tranche</w:t>
      </w:r>
      <w:r>
        <w:rPr>
          <w:rFonts w:ascii="Arial" w:cs="Arial" w:eastAsia="Arial" w:hAnsi="Arial"/>
          <w:sz w:val="19"/>
          <w:szCs w:val="19"/>
          <w:color w:val="0000FF"/>
        </w:rPr>
        <w:t xml:space="preserve"> </w:t>
      </w:r>
      <w:r>
        <w:rPr>
          <w:rFonts w:ascii="Arial" w:cs="Arial" w:eastAsia="Arial" w:hAnsi="Arial"/>
          <w:sz w:val="19"/>
          <w:szCs w:val="19"/>
          <w:color w:val="000000"/>
        </w:rPr>
        <w:t>Facility, as applicable) to the date on which all Extensions of Credit of such Lender under such Facility have been paid in full (or</w:t>
      </w:r>
      <w:r>
        <w:rPr>
          <w:rFonts w:ascii="Arial" w:cs="Arial" w:eastAsia="Arial" w:hAnsi="Arial"/>
          <w:sz w:val="19"/>
          <w:szCs w:val="19"/>
          <w:color w:val="0000FF"/>
        </w:rPr>
        <w:t xml:space="preserve"> </w:t>
      </w:r>
      <w:r>
        <w:rPr>
          <w:rFonts w:ascii="Arial" w:cs="Arial" w:eastAsia="Arial" w:hAnsi="Arial"/>
          <w:sz w:val="19"/>
          <w:szCs w:val="19"/>
          <w:color w:val="000000"/>
        </w:rPr>
        <w:t xml:space="preserve">Collateralized) and the Commitments of such Lender under such Facility have been terminated, computed at the Facility Fee Rate on the average daily amount of the Commitments of such Domestic Lender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Multicurrency Lender </w:t>
      </w:r>
      <w:r>
        <w:rPr>
          <w:rFonts w:ascii="Arial" w:cs="Arial" w:eastAsia="Arial" w:hAnsi="Arial"/>
          <w:sz w:val="19"/>
          <w:szCs w:val="19"/>
          <w:u w:val="single" w:color="auto"/>
          <w:color w:val="0000FF"/>
        </w:rPr>
        <w:t>or L/C Tranche Lender</w:t>
      </w:r>
      <w:r>
        <w:rPr>
          <w:rFonts w:ascii="Arial" w:cs="Arial" w:eastAsia="Arial" w:hAnsi="Arial"/>
          <w:sz w:val="19"/>
          <w:szCs w:val="19"/>
          <w:color w:val="000000"/>
        </w:rPr>
        <w:t xml:space="preserve">,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w:t>
      </w:r>
      <w:r>
        <w:rPr>
          <w:rFonts w:ascii="Arial" w:cs="Arial" w:eastAsia="Arial" w:hAnsi="Arial"/>
          <w:sz w:val="19"/>
          <w:szCs w:val="19"/>
          <w:u w:val="single" w:color="auto"/>
          <w:color w:val="0000FF"/>
        </w:rPr>
        <w:t>(or, with respect to any such Facility Fee paid in respect of the L/C Tranche Facility, the later of (x) the related Fee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Payment Date and (y) the date that is ten days after the Administrative Agent has provided the Company an invoice relating to such Fee Payment Period for such fees)</w:t>
      </w:r>
      <w:r>
        <w:rPr>
          <w:rFonts w:ascii="Arial" w:cs="Arial" w:eastAsia="Arial" w:hAnsi="Arial"/>
          <w:sz w:val="19"/>
          <w:szCs w:val="19"/>
          <w:color w:val="000000"/>
        </w:rPr>
        <w:t>, commencing on the first such date to occur after the Closing Date</w:t>
      </w:r>
      <w:r>
        <w:rPr>
          <w:rFonts w:ascii="Arial" w:cs="Arial" w:eastAsia="Arial" w:hAnsi="Arial"/>
          <w:sz w:val="19"/>
          <w:szCs w:val="19"/>
          <w:color w:val="FF0000"/>
          <w:strike w:val="1"/>
        </w:rPr>
        <w:t>.</w:t>
      </w:r>
      <w:r>
        <w:rPr>
          <w:rFonts w:ascii="Arial" w:cs="Arial" w:eastAsia="Arial" w:hAnsi="Arial"/>
          <w:sz w:val="19"/>
          <w:szCs w:val="19"/>
          <w:u w:val="single" w:color="auto"/>
          <w:color w:val="0000FF"/>
        </w:rPr>
        <w:t>; provided that, for the avoidance of doubt,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any such Facility Fee paid in respect of the L/C Tranche Facility for any period shall be paid without duplication of any “Facility Fees” owing under the L/C Fee Letter with respect to such period.</w:t>
      </w:r>
    </w:p>
    <w:p>
      <w:pPr>
        <w:spacing w:after="0" w:line="182" w:lineRule="exact"/>
        <w:rPr>
          <w:sz w:val="20"/>
          <w:szCs w:val="20"/>
          <w:color w:val="auto"/>
        </w:rPr>
      </w:pPr>
    </w:p>
    <w:p>
      <w:pPr>
        <w:ind w:firstLine="1304"/>
        <w:spacing w:after="0" w:line="316" w:lineRule="auto"/>
        <w:tabs>
          <w:tab w:leader="none" w:pos="1792"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The Company agrees to pay or cause the Applicable Account Party to pay to the L/C Tranche Lenders, the Issuing Lenders or the Administrative Agent, as applicable, the fees in the amounts and on the dates as set forth in the L/C Fee Letter.</w:t>
      </w:r>
    </w:p>
    <w:p>
      <w:pPr>
        <w:spacing w:after="0" w:line="129" w:lineRule="exact"/>
        <w:rPr>
          <w:rFonts w:ascii="Arial" w:cs="Arial" w:eastAsia="Arial" w:hAnsi="Arial"/>
          <w:sz w:val="18"/>
          <w:szCs w:val="18"/>
          <w:color w:val="010000"/>
        </w:rPr>
      </w:pPr>
    </w:p>
    <w:p>
      <w:pPr>
        <w:jc w:val="both"/>
        <w:ind w:firstLine="1304"/>
        <w:spacing w:after="0" w:line="250" w:lineRule="auto"/>
        <w:tabs>
          <w:tab w:leader="none" w:pos="1713"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ectPr>
          <w:pgSz w:w="11900" w:h="16838" w:orient="portrait"/>
          <w:cols w:equalWidth="0" w:num="1">
            <w:col w:w="11240"/>
          </w:cols>
          <w:pgMar w:left="320" w:top="568" w:right="339" w:bottom="1440" w:gutter="0" w:footer="0" w:header="0"/>
        </w:sectPr>
      </w:pPr>
    </w:p>
    <w:bookmarkStart w:id="104" w:name="page105"/>
    <w:bookmarkEnd w:id="104"/>
    <w:p>
      <w:pPr>
        <w:jc w:val="both"/>
        <w:ind w:left="-1120" w:firstLine="1304"/>
        <w:spacing w:after="0" w:line="250" w:lineRule="auto"/>
        <w:tabs>
          <w:tab w:leader="none" w:pos="658"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 xml:space="preserve">The Company agrees to pay to the Administrative Agent the fees in the amounts and on the dates as set forth in the Administrative Agent Fee Letter, dated as of </w:t>
      </w:r>
      <w:r>
        <w:rPr>
          <w:rFonts w:ascii="Arial" w:cs="Arial" w:eastAsia="Arial" w:hAnsi="Arial"/>
          <w:sz w:val="20"/>
          <w:szCs w:val="20"/>
          <w:u w:val="single" w:color="auto"/>
          <w:color w:val="0000FF"/>
        </w:rPr>
        <w:t>(i)</w:t>
      </w:r>
      <w:r>
        <w:rPr>
          <w:rFonts w:ascii="Arial" w:cs="Arial" w:eastAsia="Arial" w:hAnsi="Arial"/>
          <w:sz w:val="20"/>
          <w:szCs w:val="20"/>
          <w:color w:val="auto"/>
        </w:rPr>
        <w:t xml:space="preserve"> February 5, 2018 </w:t>
      </w:r>
      <w:r>
        <w:rPr>
          <w:rFonts w:ascii="Arial" w:cs="Arial" w:eastAsia="Arial" w:hAnsi="Arial"/>
          <w:sz w:val="20"/>
          <w:szCs w:val="20"/>
          <w:u w:val="single" w:color="auto"/>
          <w:color w:val="0000FF"/>
        </w:rPr>
        <w:t>and (ii) April 14, 2020</w:t>
      </w:r>
      <w:r>
        <w:rPr>
          <w:rFonts w:ascii="Arial" w:cs="Arial" w:eastAsia="Arial" w:hAnsi="Arial"/>
          <w:sz w:val="20"/>
          <w:szCs w:val="20"/>
          <w:color w:val="auto"/>
        </w:rPr>
        <w:t xml:space="preserve"> between the Company and the Administrative Agent.</w:t>
      </w:r>
    </w:p>
    <w:p>
      <w:pPr>
        <w:spacing w:after="0" w:line="185" w:lineRule="exact"/>
        <w:rPr>
          <w:rFonts w:ascii="Arial" w:cs="Arial" w:eastAsia="Arial" w:hAnsi="Arial"/>
          <w:sz w:val="20"/>
          <w:szCs w:val="20"/>
          <w:color w:val="010000"/>
        </w:rPr>
      </w:pPr>
    </w:p>
    <w:p>
      <w:pPr>
        <w:ind w:left="-1120" w:firstLine="1304"/>
        <w:spacing w:after="0" w:line="260" w:lineRule="auto"/>
        <w:tabs>
          <w:tab w:leader="none" w:pos="593"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The amount and timing of payments of fees in respect of any Ancillary Facility will be agreed by the relevant Ancillary Lender and the applicable Foreign Subsidiary under such Ancillary Facility.</w:t>
      </w:r>
    </w:p>
    <w:p>
      <w:pPr>
        <w:spacing w:after="0" w:line="177" w:lineRule="exact"/>
        <w:rPr>
          <w:sz w:val="20"/>
          <w:szCs w:val="20"/>
          <w:color w:val="auto"/>
        </w:rPr>
      </w:pPr>
    </w:p>
    <w:p>
      <w:pPr>
        <w:ind w:left="180"/>
        <w:spacing w:after="0"/>
        <w:tabs>
          <w:tab w:leader="none" w:pos="700" w:val="left"/>
        </w:tabs>
        <w:rPr>
          <w:sz w:val="20"/>
          <w:szCs w:val="20"/>
          <w:color w:val="auto"/>
        </w:rPr>
      </w:pPr>
      <w:r>
        <w:rPr>
          <w:rFonts w:ascii="Arial" w:cs="Arial" w:eastAsia="Arial" w:hAnsi="Arial"/>
          <w:sz w:val="20"/>
          <w:szCs w:val="20"/>
          <w:color w:val="010000"/>
        </w:rPr>
        <w:t>2.11</w:t>
      </w:r>
      <w:r>
        <w:rPr>
          <w:sz w:val="20"/>
          <w:szCs w:val="20"/>
          <w:color w:val="auto"/>
        </w:rPr>
        <w:tab/>
      </w:r>
      <w:r>
        <w:rPr>
          <w:rFonts w:ascii="Arial" w:cs="Arial" w:eastAsia="Arial" w:hAnsi="Arial"/>
          <w:sz w:val="18"/>
          <w:szCs w:val="18"/>
          <w:color w:val="auto"/>
        </w:rPr>
        <w:t>Termination, Reduction and Reallocation of Commitments.</w:t>
      </w:r>
    </w:p>
    <w:p>
      <w:pPr>
        <w:spacing w:after="0" w:line="216" w:lineRule="exact"/>
        <w:rPr>
          <w:sz w:val="20"/>
          <w:szCs w:val="20"/>
          <w:color w:val="auto"/>
        </w:rPr>
      </w:pPr>
    </w:p>
    <w:p>
      <w:pPr>
        <w:jc w:val="both"/>
        <w:ind w:left="-1120" w:firstLine="1304"/>
        <w:spacing w:after="0" w:line="269" w:lineRule="auto"/>
        <w:tabs>
          <w:tab w:leader="none" w:pos="607"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 xml:space="preserve">The Company shall have the right, upon not less than three Business Days’ notice to the Administrative Agent (and, in the case of a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such Commitments shall be permitted if, after giving effect thereto and to any prepayments of the Loans (if applicable) made on the effective date thereof, (v) the Total Brazilian Extensions of Credit would exceed the Total Brazilian Commitments then in effect, (w) the Total Domestic Extensions of Credit would exceed the Total Domestic Commitments then in effect, (x) the Domestic Extensions of Credit of any Lender would exceed such Lender’s Domestic Commitment then in effect, (y) the Total L/C Tranche Extensions of Credit would exceed the Total L/C Tranche Commitments then in effect, or (z)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2.11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200" w:lineRule="exact"/>
        <w:rPr>
          <w:rFonts w:ascii="Arial" w:cs="Arial" w:eastAsia="Arial" w:hAnsi="Arial"/>
          <w:sz w:val="18"/>
          <w:szCs w:val="18"/>
          <w:color w:val="010000"/>
        </w:rPr>
      </w:pPr>
    </w:p>
    <w:p>
      <w:pPr>
        <w:spacing w:after="0" w:line="203" w:lineRule="exact"/>
        <w:rPr>
          <w:rFonts w:ascii="Arial" w:cs="Arial" w:eastAsia="Arial" w:hAnsi="Arial"/>
          <w:sz w:val="18"/>
          <w:szCs w:val="18"/>
          <w:color w:val="010000"/>
        </w:rPr>
      </w:pPr>
    </w:p>
    <w:p>
      <w:pPr>
        <w:jc w:val="both"/>
        <w:ind w:left="-1120" w:firstLine="1304"/>
        <w:spacing w:after="0" w:line="255" w:lineRule="auto"/>
        <w:tabs>
          <w:tab w:leader="none" w:pos="685"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 xml:space="preserve">The Company shall have the right, upon not less than three Business Days’ notice to the Administrative Agent, to require the Lenders under the Multicurrency Facility or L/C Tranche Facility, as applicable, to reallocate the Multicurrency Commitments or L/C Tranche Commitments, as applicable,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9"/>
          <w:szCs w:val="19"/>
          <w:u w:val="single" w:color="auto"/>
          <w:color w:val="auto"/>
        </w:rPr>
        <w:t>provided</w:t>
      </w:r>
      <w:r>
        <w:rPr>
          <w:rFonts w:ascii="Arial" w:cs="Arial" w:eastAsia="Arial" w:hAnsi="Arial"/>
          <w:sz w:val="19"/>
          <w:szCs w:val="19"/>
          <w:color w:val="auto"/>
        </w:rPr>
        <w:t>, that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(y) in the case of a reallocation of L/C Tranche Commitments, the Total L/C Tranche Extensions of Credit shall not exceed the Total L/C Tranche Commitments then in effect and (z) in the case of a reallocation of Brazilian Commitments, the Total Brazilian Extensions of Credit shall not exceed the Total Brazilian Commitments then in effect. Except as provided in Section 2.24, any such reallocation shall be in an amount equal to $25 million or a whole multiple of $1 million in excess thereof. Any such reallocation shall reduce the Multicurrency Commitments</w:t>
      </w:r>
    </w:p>
    <w:p>
      <w:pPr>
        <w:sectPr>
          <w:pgSz w:w="11900" w:h="16838" w:orient="portrait"/>
          <w:cols w:equalWidth="0" w:num="1">
            <w:col w:w="10120"/>
          </w:cols>
          <w:pgMar w:left="1440" w:top="568" w:right="339" w:bottom="1440" w:gutter="0" w:footer="0" w:header="0"/>
        </w:sectPr>
      </w:pPr>
    </w:p>
    <w:bookmarkStart w:id="105" w:name="page106"/>
    <w:bookmarkEnd w:id="105"/>
    <w:p>
      <w:pPr>
        <w:jc w:val="both"/>
        <w:spacing w:after="0" w:line="270" w:lineRule="auto"/>
        <w:rPr>
          <w:sz w:val="20"/>
          <w:szCs w:val="20"/>
          <w:color w:val="auto"/>
        </w:rPr>
      </w:pPr>
      <w:r>
        <w:rPr>
          <w:rFonts w:ascii="Arial" w:cs="Arial" w:eastAsia="Arial" w:hAnsi="Arial"/>
          <w:sz w:val="18"/>
          <w:szCs w:val="18"/>
          <w:color w:val="auto"/>
        </w:rPr>
        <w:t xml:space="preserve">or L/C Tranche Commitments, as applicable, of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their existing Multicurrency Commitments or L/C Tranche Commitments, as applicable, at such time and increase such Lender’s Domestic Commitment by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reallocation would result in amounts being payable by the Company or any Subsidiary Borrower to any Lender under Section 2.20 or 2.21, such Lender shall use reasonable efforts (subject to Section 2.23)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2.22 as a result of such prepayment. Notwithstanding anything in this clause (b) to the contrary, no Brazilian Lender shall be obligated to reallocate any portion of its Brazilian Commitments to the Domestic Facility unless such Lender agrees.</w:t>
      </w:r>
    </w:p>
    <w:p>
      <w:pPr>
        <w:spacing w:after="0" w:line="176" w:lineRule="exact"/>
        <w:rPr>
          <w:sz w:val="20"/>
          <w:szCs w:val="20"/>
          <w:color w:val="auto"/>
        </w:rPr>
      </w:pPr>
    </w:p>
    <w:p>
      <w:pPr>
        <w:jc w:val="both"/>
        <w:ind w:firstLine="1304"/>
        <w:spacing w:after="0" w:line="266" w:lineRule="auto"/>
        <w:tabs>
          <w:tab w:leader="none" w:pos="1740"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 xml:space="preserve">The Company may at any time or from time to time after the Closing Date, by notice to the Administrative Agent and the Lenders, request that one or more of the Lenders under the Domestic Facility, L/C Tranche Facility or Brazilian Facility, as applicable, reallocate a portion of their respective Domestic Commitments, L/C Tranche Commitments or Brazilian Commitments, as applicable, to the Multicurrency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reallocation and any prepayment of the Domestic Loans, L/C Tranche Loans or Brazilian Loans, as applicable (which, notwithstanding anything to the contrary contained herein, may include a non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prepayment of the Lenders agreeing to such reallocation), (i)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(ii) in the case of a reallocation of L/C Tranche Commitments, the Total L/C Tranche Extensions of Credit shall not exceed the Total L/C Tranche Commitments then in effect and (iii) in the case of a reallocation of Brazilian Commitments, the Total Brazilian Extensions of Credit shall not exceed the Total Brazilian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the L/C Tranche Lenders or the Brazilian Lenders, as applicable, to such reallocation. The relevant Lenders agreeing to reallocate a portion of their Domestic Commitments, L/C Tranche Commitments or Brazilian Commitments, as applicable, to the Multicurrency Facility shall have such portion of their Domestic Commitment, L/C Tranche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2.22 as a result of such prepayment(s). Notwithstanding anything in this clause</w:t>
      </w:r>
    </w:p>
    <w:p>
      <w:pPr>
        <w:spacing w:after="0" w:line="18" w:lineRule="exact"/>
        <w:rPr>
          <w:rFonts w:ascii="Arial" w:cs="Arial" w:eastAsia="Arial" w:hAnsi="Arial"/>
          <w:sz w:val="18"/>
          <w:szCs w:val="18"/>
          <w:color w:val="010000"/>
        </w:rPr>
      </w:pPr>
    </w:p>
    <w:p>
      <w:pPr>
        <w:jc w:val="both"/>
        <w:ind w:firstLine="8"/>
        <w:spacing w:after="0" w:line="241" w:lineRule="auto"/>
        <w:tabs>
          <w:tab w:leader="none" w:pos="269"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the contrary, no Domestic Lender, L/C Tranche Lender or Brazilian Lender, as applicable, shall be obligated to reallocate any portion of its Domestic Commitments, L/C Tranche Commitments or Brazilian Commitments, as applicable, to the Multicurrency Facility unless such Lender agrees.</w:t>
      </w:r>
    </w:p>
    <w:p>
      <w:pPr>
        <w:sectPr>
          <w:pgSz w:w="11900" w:h="16838" w:orient="portrait"/>
          <w:cols w:equalWidth="0" w:num="1">
            <w:col w:w="11240"/>
          </w:cols>
          <w:pgMar w:left="320" w:top="568" w:right="339" w:bottom="1440" w:gutter="0" w:footer="0" w:header="0"/>
        </w:sectPr>
      </w:pPr>
    </w:p>
    <w:bookmarkStart w:id="106" w:name="page107"/>
    <w:bookmarkEnd w:id="106"/>
    <w:p>
      <w:pPr>
        <w:jc w:val="both"/>
        <w:ind w:firstLine="1304"/>
        <w:spacing w:after="0" w:line="268" w:lineRule="auto"/>
        <w:tabs>
          <w:tab w:leader="none" w:pos="1751"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 xml:space="preserve">The Company may at any time or from time to time after the Closing Date, by notice to the Administrative Agent and the Lenders, request that one or more of the Lenders under the Domestic Facility, Multicurrency Facility or Brazilian Facility, as applicable, reallocate a portion of their respective Domestic Commitments, Multicurrency Commitments or Brazilian Commitments, as applicable, to the L/C Tranche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after giving effect to any such reallocation and any prepayment of the Domestic Loans, Multicurrency Loans or Brazilian Loans, as applicable (which, notwithstanding anything to the contrary contained herein, may include a non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prepayment of the Lenders agreeing to such reallocation), (x)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(y)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(z) in the case of a reallocation of Brazilian Commitments, the Total Brazilian Extensions of Credit shall not exceed the Total Brazilian Commitments then in effect and (ii) such reallocation shall have been consented to by each Material Issuing Lender to the extent such consent would be required for an assignment to such Lender pursuant to Section 10.6(b). Each notice from the Company pursuant to this paragraph (d) shall set forth the requested amount of such reallocation and date of such reallocation (which shall be at least three Business Days after the date of such request) and shall also set forth the agreement of the relevant Domestic Lenders, the Multicurrency Lenders or the Brazilian Lenders, as applicable, to such reallocation. The relevant Lenders agreeing to reallocate a portion of their Domestic Commitments, Multicurrency Commitments or Brazilian Commitments, as applicable, to the L/C Tranche Facility shall have such portion of their Domestic Commitments, Multicurrency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L/C Tranche Loans of the other L/C Tranche Lenders, the L/C Tranche Loans to be held ratably by all L/C Tranche Lenders in accordance with their respective L/C Tranche Commitments after giving effect to such reallocation, (ii) the Company and any relevant Subsidiary Borrower shall be deemed to have prepaid and reborrowed all outstanding L/C Tranche Loans and (iii) the Company and any relevant Subsidiary Borrower shall pay to the relevant Lenders the amounts, if any, payable under Section 2.22 as a result of such prepayment(s). Notwithstanding anything in this clause (d) to the contrary, no Domestic Lender, Multicurrency Lender or Brazilian Lender, as applicable, shall be obligated to reallocate any portion of its Domestic Commitments, Multicurrency Commitments or Brazilian Commitments, as applicable, to the L/C Tranche Facility unless such Lender agrees.</w:t>
      </w:r>
    </w:p>
    <w:p>
      <w:pPr>
        <w:spacing w:after="0" w:line="171" w:lineRule="exact"/>
        <w:rPr>
          <w:rFonts w:ascii="Arial" w:cs="Arial" w:eastAsia="Arial" w:hAnsi="Arial"/>
          <w:sz w:val="18"/>
          <w:szCs w:val="18"/>
          <w:color w:val="010000"/>
        </w:rPr>
      </w:pPr>
    </w:p>
    <w:p>
      <w:pPr>
        <w:jc w:val="both"/>
        <w:ind w:firstLine="1304"/>
        <w:spacing w:after="0" w:line="246" w:lineRule="auto"/>
        <w:tabs>
          <w:tab w:leader="none" w:pos="1740" w:val="left"/>
        </w:tabs>
        <w:numPr>
          <w:ilvl w:val="0"/>
          <w:numId w:val="39"/>
        </w:numPr>
        <w:rPr>
          <w:rFonts w:ascii="Arial" w:cs="Arial" w:eastAsia="Arial" w:hAnsi="Arial"/>
          <w:sz w:val="20"/>
          <w:szCs w:val="20"/>
          <w:color w:val="010000"/>
        </w:rPr>
      </w:pPr>
      <w:r>
        <w:rPr>
          <w:rFonts w:ascii="Arial" w:cs="Arial" w:eastAsia="Arial" w:hAnsi="Arial"/>
          <w:sz w:val="20"/>
          <w:szCs w:val="20"/>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19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2.12 </w:t>
      </w:r>
      <w:r>
        <w:rPr>
          <w:rFonts w:ascii="Arial" w:cs="Arial" w:eastAsia="Arial" w:hAnsi="Arial"/>
          <w:sz w:val="20"/>
          <w:szCs w:val="20"/>
          <w:color w:val="000000"/>
        </w:rPr>
        <w:t>Optional Prepayments. The Company and any relevant Subsidiary Borrower may at any time and from time to time</w:t>
      </w:r>
      <w:r>
        <w:rPr>
          <w:rFonts w:ascii="Arial" w:cs="Arial" w:eastAsia="Arial" w:hAnsi="Arial"/>
          <w:sz w:val="20"/>
          <w:szCs w:val="20"/>
          <w:color w:val="010000"/>
        </w:rPr>
        <w:t xml:space="preserve"> </w:t>
      </w:r>
      <w:r>
        <w:rPr>
          <w:rFonts w:ascii="Arial" w:cs="Arial" w:eastAsia="Arial" w:hAnsi="Arial"/>
          <w:sz w:val="20"/>
          <w:szCs w:val="20"/>
          <w:color w:val="000000"/>
        </w:rPr>
        <w:t>prepay the Loans (other than the Brazilian Loans), in whole or in part, without premium or penalty, upon irrevocable notice delivered to the Administrative Agent no later than (x) with respect to Domestic Loans and Domestic Competitive Loans, 1:00 P.M., New York City time, three Business Days prior thereto, in the case of Eurocurrency Loans, and no later than 1:00 P.M., New York City time, on the day of such prepayment, in the case of ABR Loans, and (y) with respect to L/C Tranche Loans, Multicurrency Loans and Multicurrency Competitive Loans, 11 A.M., London time, three Business Days prior thereto, in each case which notice shall specify the applicable Facility, the date and amount of prepayment</w:t>
      </w:r>
    </w:p>
    <w:p>
      <w:pPr>
        <w:sectPr>
          <w:pgSz w:w="11900" w:h="16838" w:orient="portrait"/>
          <w:cols w:equalWidth="0" w:num="1">
            <w:col w:w="11240"/>
          </w:cols>
          <w:pgMar w:left="320" w:top="568" w:right="339" w:bottom="1440" w:gutter="0" w:footer="0" w:header="0"/>
        </w:sectPr>
      </w:pPr>
    </w:p>
    <w:bookmarkStart w:id="107" w:name="page108"/>
    <w:bookmarkEnd w:id="107"/>
    <w:p>
      <w:pPr>
        <w:jc w:val="both"/>
        <w:spacing w:after="0" w:line="269" w:lineRule="auto"/>
        <w:rPr>
          <w:sz w:val="20"/>
          <w:szCs w:val="20"/>
          <w:color w:val="auto"/>
        </w:rPr>
      </w:pPr>
      <w:r>
        <w:rPr>
          <w:rFonts w:ascii="Arial" w:cs="Arial" w:eastAsia="Arial" w:hAnsi="Arial"/>
          <w:sz w:val="18"/>
          <w:szCs w:val="18"/>
          <w:color w:val="auto"/>
        </w:rPr>
        <w:t xml:space="preserve">and whether the prepayment is of Eurocurrency Loans or ABR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a Eurocurrency Loan is prepaid on any day other than the last day of the Interest Period applicable thereto, the Company or the relevant Subsidiary Borrower shall also pay any amounts owing pursuant to Section 2.22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 Any Brazilian Subsidiary Borrower may at any time and from time to time prepay the Brazilian Loans, in whole or in part, without premium or penalty, upon irrevocable notice delivered to the Brazilian Administrative Agent pursuant to, and in accordance with the terms of, each Brazilian Bank Certificate.</w:t>
      </w:r>
    </w:p>
    <w:p>
      <w:pPr>
        <w:spacing w:after="0" w:line="17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2.13 </w:t>
      </w:r>
      <w:r>
        <w:rPr>
          <w:rFonts w:ascii="Arial" w:cs="Arial" w:eastAsia="Arial" w:hAnsi="Arial"/>
          <w:sz w:val="20"/>
          <w:szCs w:val="20"/>
          <w:color w:val="000000"/>
        </w:rPr>
        <w:t>Mandatory Prepayments. (a) On each Fee Payment Date, the Administrative Agent shall determine the Total</w:t>
      </w:r>
      <w:r>
        <w:rPr>
          <w:rFonts w:ascii="Arial" w:cs="Arial" w:eastAsia="Arial" w:hAnsi="Arial"/>
          <w:sz w:val="20"/>
          <w:szCs w:val="20"/>
          <w:color w:val="010000"/>
        </w:rPr>
        <w:t xml:space="preserve"> </w:t>
      </w:r>
      <w:r>
        <w:rPr>
          <w:rFonts w:ascii="Arial" w:cs="Arial" w:eastAsia="Arial" w:hAnsi="Arial"/>
          <w:sz w:val="20"/>
          <w:szCs w:val="20"/>
          <w:color w:val="000000"/>
        </w:rPr>
        <w:t xml:space="preserve">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20"/>
          <w:szCs w:val="20"/>
          <w:u w:val="single" w:color="auto"/>
          <w:color w:val="000000"/>
        </w:rPr>
        <w:t>provided</w:t>
      </w:r>
      <w:r>
        <w:rPr>
          <w:rFonts w:ascii="Arial" w:cs="Arial" w:eastAsia="Arial" w:hAnsi="Arial"/>
          <w:sz w:val="20"/>
          <w:szCs w:val="20"/>
          <w:color w:val="000000"/>
        </w:rPr>
        <w:t>, that the failure of the Administrative Agent to determine the Total Multicurrency Extensions of Credit as provided in this Section 2.13(a) shall not subject the Administrative Agent to any liability hereunder.</w:t>
      </w:r>
    </w:p>
    <w:p>
      <w:pPr>
        <w:spacing w:after="0" w:line="193" w:lineRule="exact"/>
        <w:rPr>
          <w:sz w:val="20"/>
          <w:szCs w:val="20"/>
          <w:color w:val="auto"/>
        </w:rPr>
      </w:pPr>
    </w:p>
    <w:p>
      <w:pPr>
        <w:jc w:val="both"/>
        <w:ind w:firstLine="1304"/>
        <w:spacing w:after="0" w:line="257" w:lineRule="auto"/>
        <w:tabs>
          <w:tab w:leader="none" w:pos="1738"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 xml:space="preserve">On each Fee Payment Date, the Administrative Agent shall determine the Total L/C Tranche Extensions of Credit as of the last day of the related Fee Payment Period. If, as of the last day of any Fee Payment Period, the Total L/C Tranche Extensions of Credit exceeds the Total L/C Tranche Commitments then in effect by 5% or more, then the Administrative Agent shall notify the Company and, within five Business Days of such notice, the Company or the relevant Subsidiary Borrower shall prepay L/C Tranche Loans or Collateralize outstanding Letters of Credit in an aggregate principal or face amount at least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of the Administrative Agent to determine the Total L/C Tranche Extensions of Credit as provided in this Section 2.13(b) shall not subject the Administrative Agent to any liability hereunder.</w:t>
      </w:r>
    </w:p>
    <w:p>
      <w:pPr>
        <w:spacing w:after="0" w:line="184" w:lineRule="exact"/>
        <w:rPr>
          <w:rFonts w:ascii="Arial" w:cs="Arial" w:eastAsia="Arial" w:hAnsi="Arial"/>
          <w:sz w:val="19"/>
          <w:szCs w:val="19"/>
          <w:color w:val="010000"/>
        </w:rPr>
      </w:pPr>
    </w:p>
    <w:p>
      <w:pPr>
        <w:jc w:val="both"/>
        <w:ind w:firstLine="1304"/>
        <w:spacing w:after="0" w:line="243" w:lineRule="auto"/>
        <w:tabs>
          <w:tab w:leader="none" w:pos="1781" w:val="left"/>
        </w:tabs>
        <w:numPr>
          <w:ilvl w:val="0"/>
          <w:numId w:val="40"/>
        </w:numPr>
        <w:rPr>
          <w:rFonts w:ascii="Arial" w:cs="Arial" w:eastAsia="Arial" w:hAnsi="Arial"/>
          <w:sz w:val="20"/>
          <w:szCs w:val="20"/>
          <w:color w:val="010000"/>
        </w:rPr>
      </w:pPr>
      <w:r>
        <w:rPr>
          <w:rFonts w:ascii="Arial" w:cs="Arial" w:eastAsia="Arial" w:hAnsi="Arial"/>
          <w:sz w:val="20"/>
          <w:szCs w:val="20"/>
          <w:color w:val="auto"/>
        </w:rPr>
        <w:t xml:space="preserve">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the Brazilian Administrative Agent to determine the Total Brazilian Extensions of Credit</w:t>
      </w:r>
    </w:p>
    <w:p>
      <w:pPr>
        <w:sectPr>
          <w:pgSz w:w="11900" w:h="16838" w:orient="portrait"/>
          <w:cols w:equalWidth="0" w:num="1">
            <w:col w:w="11240"/>
          </w:cols>
          <w:pgMar w:left="320" w:top="568"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as provided in this Section 2.13(c) shall not subject the Brazilian Administrative Agent to any liability hereunder.</w:t>
      </w:r>
    </w:p>
    <w:p>
      <w:pPr>
        <w:spacing w:after="0" w:line="21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010000"/>
        </w:rPr>
        <w:t xml:space="preserve">2.14 </w:t>
      </w:r>
      <w:r>
        <w:rPr>
          <w:rFonts w:ascii="Arial" w:cs="Arial" w:eastAsia="Arial" w:hAnsi="Arial"/>
          <w:sz w:val="18"/>
          <w:szCs w:val="18"/>
          <w:color w:val="000000"/>
        </w:rPr>
        <w:t>Conversion and Continuation Options. (a) The Company or any Subsidiary Borrower may elect from time to time to</w:t>
      </w:r>
      <w:r>
        <w:rPr>
          <w:rFonts w:ascii="Arial" w:cs="Arial" w:eastAsia="Arial" w:hAnsi="Arial"/>
          <w:sz w:val="18"/>
          <w:szCs w:val="18"/>
          <w:color w:val="010000"/>
        </w:rPr>
        <w:t xml:space="preserve"> </w:t>
      </w:r>
      <w:r>
        <w:rPr>
          <w:rFonts w:ascii="Arial" w:cs="Arial" w:eastAsia="Arial" w:hAnsi="Arial"/>
          <w:sz w:val="18"/>
          <w:szCs w:val="18"/>
          <w:color w:val="000000"/>
        </w:rPr>
        <w:t xml:space="preserve">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such conversion of Eurocurrency Loans that is not made on the last day of an Interest Period with respect thereto shall be subject to Section 2.22.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8"/>
          <w:szCs w:val="18"/>
          <w:u w:val="single" w:color="auto"/>
          <w:color w:val="000000"/>
        </w:rPr>
        <w:t>provided</w:t>
      </w:r>
      <w:r>
        <w:rPr>
          <w:rFonts w:ascii="Arial" w:cs="Arial" w:eastAsia="Arial" w:hAnsi="Arial"/>
          <w:sz w:val="18"/>
          <w:szCs w:val="18"/>
          <w:color w:val="000000"/>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76" w:lineRule="exact"/>
        <w:rPr>
          <w:sz w:val="20"/>
          <w:szCs w:val="20"/>
          <w:color w:val="auto"/>
        </w:rPr>
      </w:pPr>
    </w:p>
    <w:p>
      <w:pPr>
        <w:jc w:val="both"/>
        <w:ind w:firstLine="1304"/>
        <w:spacing w:after="0" w:line="254" w:lineRule="auto"/>
        <w:tabs>
          <w:tab w:leader="none" w:pos="1751" w:val="left"/>
        </w:tabs>
        <w:numPr>
          <w:ilvl w:val="0"/>
          <w:numId w:val="41"/>
        </w:numPr>
        <w:rPr>
          <w:rFonts w:ascii="Arial" w:cs="Arial" w:eastAsia="Arial" w:hAnsi="Arial"/>
          <w:sz w:val="19"/>
          <w:szCs w:val="19"/>
          <w:color w:val="010000"/>
        </w:rPr>
      </w:pPr>
      <w:r>
        <w:rPr>
          <w:rFonts w:ascii="Arial" w:cs="Arial" w:eastAsia="Arial" w:hAnsi="Arial"/>
          <w:sz w:val="19"/>
          <w:szCs w:val="19"/>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010000"/>
        </w:rPr>
        <w:t xml:space="preserve">2.15 </w:t>
      </w:r>
      <w:r>
        <w:rPr>
          <w:rFonts w:ascii="Arial" w:cs="Arial" w:eastAsia="Arial" w:hAnsi="Arial"/>
          <w:sz w:val="19"/>
          <w:szCs w:val="19"/>
          <w:color w:val="000000"/>
        </w:rPr>
        <w:t>Limitations on Eurocurrency Tranches. Notwithstanding anything to the contrary in this Agreement, all borrowings,</w:t>
      </w:r>
      <w:r>
        <w:rPr>
          <w:rFonts w:ascii="Arial" w:cs="Arial" w:eastAsia="Arial" w:hAnsi="Arial"/>
          <w:sz w:val="19"/>
          <w:szCs w:val="19"/>
          <w:color w:val="010000"/>
        </w:rPr>
        <w:t xml:space="preserve"> </w:t>
      </w:r>
      <w:r>
        <w:rPr>
          <w:rFonts w:ascii="Arial" w:cs="Arial" w:eastAsia="Arial" w:hAnsi="Arial"/>
          <w:sz w:val="19"/>
          <w:szCs w:val="19"/>
          <w:color w:val="000000"/>
        </w:rPr>
        <w:t>conversions and continuations of Eurocurrency Loans and all selections of Interest Periods shall be in such amounts and be made pursuant to such elections so that no more than 30 Eurocurrency Tranches shall be outstanding at any one time.</w:t>
      </w:r>
    </w:p>
    <w:p>
      <w:pPr>
        <w:spacing w:after="0" w:line="17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2.16 </w:t>
      </w:r>
      <w:r>
        <w:rPr>
          <w:rFonts w:ascii="Arial" w:cs="Arial" w:eastAsia="Arial" w:hAnsi="Arial"/>
          <w:sz w:val="20"/>
          <w:szCs w:val="20"/>
          <w:color w:val="000000"/>
        </w:rPr>
        <w:t>Interest Rates and Payment Dates. (a) Each Eurocurrency Loan that is an L/C Tranche Loan, a Multicurrency Loan or</w:t>
      </w:r>
      <w:r>
        <w:rPr>
          <w:rFonts w:ascii="Arial" w:cs="Arial" w:eastAsia="Arial" w:hAnsi="Arial"/>
          <w:sz w:val="20"/>
          <w:szCs w:val="20"/>
          <w:color w:val="010000"/>
        </w:rPr>
        <w:t xml:space="preserve"> </w:t>
      </w:r>
      <w:r>
        <w:rPr>
          <w:rFonts w:ascii="Arial" w:cs="Arial" w:eastAsia="Arial" w:hAnsi="Arial"/>
          <w:sz w:val="20"/>
          <w:szCs w:val="20"/>
          <w:color w:val="000000"/>
        </w:rPr>
        <w:t xml:space="preserve">a Domestic Loan shall bear interest for each day during each Interest Period with respect thereto at a rate per annum equal to the Eurocurrency Rate determined for such Interest Period </w:t>
      </w:r>
      <w:r>
        <w:rPr>
          <w:rFonts w:ascii="Arial" w:cs="Arial" w:eastAsia="Arial" w:hAnsi="Arial"/>
          <w:sz w:val="20"/>
          <w:szCs w:val="20"/>
          <w:u w:val="single" w:color="auto"/>
          <w:color w:val="000000"/>
        </w:rPr>
        <w:t>plus</w:t>
      </w:r>
      <w:r>
        <w:rPr>
          <w:rFonts w:ascii="Arial" w:cs="Arial" w:eastAsia="Arial" w:hAnsi="Arial"/>
          <w:sz w:val="20"/>
          <w:szCs w:val="20"/>
          <w:color w:val="000000"/>
        </w:rPr>
        <w:t xml:space="preserve"> the Applicable Margin.</w:t>
      </w:r>
    </w:p>
    <w:p>
      <w:pPr>
        <w:sectPr>
          <w:pgSz w:w="11900" w:h="16838" w:orient="portrait"/>
          <w:cols w:equalWidth="0" w:num="1">
            <w:col w:w="11240"/>
          </w:cols>
          <w:pgMar w:left="320" w:top="568" w:right="339" w:bottom="1440" w:gutter="0" w:footer="0" w:header="0"/>
        </w:sectPr>
      </w:pPr>
    </w:p>
    <w:bookmarkStart w:id="109" w:name="page110"/>
    <w:bookmarkEnd w:id="109"/>
    <w:p>
      <w:pPr>
        <w:ind w:right="20" w:firstLine="1304"/>
        <w:spacing w:after="0" w:line="260" w:lineRule="auto"/>
        <w:tabs>
          <w:tab w:leader="none" w:pos="1738"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 xml:space="preserve">Each Eurocurrency Competitive Loan shall bear interest at a rate per annum equal to the Eurocurrency Rate applicable to such Loan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(or minus, as applicable) the Margin.</w:t>
      </w:r>
    </w:p>
    <w:p>
      <w:pPr>
        <w:spacing w:after="0" w:line="176" w:lineRule="exact"/>
        <w:rPr>
          <w:rFonts w:ascii="Arial" w:cs="Arial" w:eastAsia="Arial" w:hAnsi="Arial"/>
          <w:sz w:val="20"/>
          <w:szCs w:val="20"/>
          <w:color w:val="010000"/>
        </w:rPr>
      </w:pPr>
    </w:p>
    <w:p>
      <w:pPr>
        <w:ind w:left="1720" w:hanging="416"/>
        <w:spacing w:after="0"/>
        <w:tabs>
          <w:tab w:leader="none" w:pos="1720"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 xml:space="preserve">Each ABR Loan shall bear interest at a rate per annum equal to the ABR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215" w:lineRule="exact"/>
        <w:rPr>
          <w:rFonts w:ascii="Arial" w:cs="Arial" w:eastAsia="Arial" w:hAnsi="Arial"/>
          <w:sz w:val="20"/>
          <w:szCs w:val="20"/>
          <w:color w:val="010000"/>
        </w:rPr>
      </w:pPr>
    </w:p>
    <w:p>
      <w:pPr>
        <w:ind w:left="1740" w:hanging="436"/>
        <w:spacing w:after="0"/>
        <w:tabs>
          <w:tab w:leader="none" w:pos="1740"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Each Fixed Rate Loan shall bear interest at the fixed rate applicable to such Loan.</w:t>
      </w:r>
    </w:p>
    <w:p>
      <w:pPr>
        <w:spacing w:after="0" w:line="215" w:lineRule="exact"/>
        <w:rPr>
          <w:rFonts w:ascii="Arial" w:cs="Arial" w:eastAsia="Arial" w:hAnsi="Arial"/>
          <w:sz w:val="20"/>
          <w:szCs w:val="20"/>
          <w:color w:val="010000"/>
        </w:rPr>
      </w:pPr>
    </w:p>
    <w:p>
      <w:pPr>
        <w:jc w:val="both"/>
        <w:ind w:firstLine="1304"/>
        <w:spacing w:after="0" w:line="270" w:lineRule="auto"/>
        <w:tabs>
          <w:tab w:leader="none" w:pos="1713"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 xml:space="preserve">(i) If all or a portion of the principal amount of any Loan (other than any Brazilian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2.16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or (y) in the case of Reimbursement Obligations, the rate applicable to ABR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(ii) if all or a portion of any interest payable on any Loan or Reimbursement Obligation or any Facility Fee payable hereunder (in each case, other than any of the foregoing in connection with the Brazilian Facility) or any fees payable pursuant to the L/C Fee Letter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principal amount of any Brazilian Loans or any interest payable on any Brazilian Loan or any fee payable in connection with the Brazilian Facility shall not be paid when due (whether at the stated maturity, by acceleration or otherwise), such overdue amount shall bear interest at the rate per annum required by the Brazilian Bank Certificates.</w:t>
      </w:r>
    </w:p>
    <w:p>
      <w:pPr>
        <w:spacing w:after="0" w:line="172" w:lineRule="exact"/>
        <w:rPr>
          <w:rFonts w:ascii="Arial" w:cs="Arial" w:eastAsia="Arial" w:hAnsi="Arial"/>
          <w:sz w:val="18"/>
          <w:szCs w:val="18"/>
          <w:color w:val="010000"/>
        </w:rPr>
      </w:pPr>
    </w:p>
    <w:p>
      <w:pPr>
        <w:jc w:val="both"/>
        <w:ind w:firstLine="1304"/>
        <w:spacing w:after="0" w:line="250" w:lineRule="auto"/>
        <w:tabs>
          <w:tab w:leader="none" w:pos="1800"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that (x) interest accruing pursuant to Section 2.16(e) shall be payable from time to time on demand and (y) interest accruing in respect of the Brazilian Facility shall be payable in accordance with and pursuant to the terms of the Brazilian Bank Certificates.</w:t>
      </w:r>
    </w:p>
    <w:p>
      <w:pPr>
        <w:spacing w:after="0" w:line="185" w:lineRule="exact"/>
        <w:rPr>
          <w:rFonts w:ascii="Arial" w:cs="Arial" w:eastAsia="Arial" w:hAnsi="Arial"/>
          <w:sz w:val="20"/>
          <w:szCs w:val="20"/>
          <w:color w:val="010000"/>
        </w:rPr>
      </w:pPr>
    </w:p>
    <w:p>
      <w:pPr>
        <w:ind w:right="20" w:firstLine="1304"/>
        <w:spacing w:after="0" w:line="260" w:lineRule="auto"/>
        <w:tabs>
          <w:tab w:leader="none" w:pos="1819"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The amount and timing of payments of interest in respect of any Ancillary Facility will be agreed by the relevant Ancillary Lender and the applicable Ancillary Borrower under such Ancillary Facility.</w:t>
      </w:r>
    </w:p>
    <w:p>
      <w:pPr>
        <w:spacing w:after="0" w:line="176" w:lineRule="exact"/>
        <w:rPr>
          <w:rFonts w:ascii="Arial" w:cs="Arial" w:eastAsia="Arial" w:hAnsi="Arial"/>
          <w:sz w:val="20"/>
          <w:szCs w:val="20"/>
          <w:color w:val="010000"/>
        </w:rPr>
      </w:pPr>
    </w:p>
    <w:p>
      <w:pPr>
        <w:ind w:left="1740" w:hanging="436"/>
        <w:spacing w:after="0"/>
        <w:tabs>
          <w:tab w:leader="none" w:pos="1740"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All interest hereunder shall be paid in the Currency in which the Loan giving rise to such interest is denominated.</w:t>
      </w:r>
    </w:p>
    <w:p>
      <w:pPr>
        <w:spacing w:after="0" w:line="22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010000"/>
        </w:rPr>
        <w:t xml:space="preserve">2.17 </w:t>
      </w:r>
      <w:r>
        <w:rPr>
          <w:rFonts w:ascii="Arial" w:cs="Arial" w:eastAsia="Arial" w:hAnsi="Arial"/>
          <w:sz w:val="19"/>
          <w:szCs w:val="19"/>
          <w:color w:val="000000"/>
        </w:rPr>
        <w:t>Computation of Interest and Fees. (a) Interest and fees payable pursuant hereto shall be calculated on the basis of a</w:t>
      </w:r>
      <w:r>
        <w:rPr>
          <w:rFonts w:ascii="Arial" w:cs="Arial" w:eastAsia="Arial" w:hAnsi="Arial"/>
          <w:sz w:val="19"/>
          <w:szCs w:val="19"/>
          <w:color w:val="010000"/>
        </w:rPr>
        <w:t xml:space="preserve"> </w:t>
      </w:r>
      <w:r>
        <w:rPr>
          <w:rFonts w:ascii="Arial" w:cs="Arial" w:eastAsia="Arial" w:hAnsi="Arial"/>
          <w:sz w:val="19"/>
          <w:szCs w:val="19"/>
          <w:color w:val="000000"/>
        </w:rPr>
        <w:t>360-day year for the actual days elapsed, except that (i) interest computed by reference to ABR at times when ABR is based on the Prime Rate shall be computed on the basis of a year of 365 days (or 366 days in a leap year), and shall be payable for the actual number of days elapsed, (ii) interest computed on Loans and Letters of Credit denominated in Pounds Sterling shall be computed on the basis of a year of 365 days, and shall be payable for the actual number of days elapsed and (iii) interest and fees payable in connection with the Brazilian Facility shall be calculated in the 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w:t>
      </w:r>
    </w:p>
    <w:p>
      <w:pPr>
        <w:sectPr>
          <w:pgSz w:w="11900" w:h="16838" w:orient="portrait"/>
          <w:cols w:equalWidth="0" w:num="1">
            <w:col w:w="11240"/>
          </w:cols>
          <w:pgMar w:left="320" w:top="568" w:right="339" w:bottom="1440" w:gutter="0" w:footer="0" w:header="0"/>
        </w:sectPr>
      </w:pPr>
    </w:p>
    <w:bookmarkStart w:id="110" w:name="page111"/>
    <w:bookmarkEnd w:id="110"/>
    <w:p>
      <w:pPr>
        <w:ind w:right="20"/>
        <w:spacing w:after="0" w:line="260" w:lineRule="auto"/>
        <w:rPr>
          <w:sz w:val="20"/>
          <w:szCs w:val="20"/>
          <w:color w:val="auto"/>
        </w:rPr>
      </w:pPr>
      <w:r>
        <w:rPr>
          <w:rFonts w:ascii="Arial" w:cs="Arial" w:eastAsia="Arial" w:hAnsi="Arial"/>
          <w:sz w:val="20"/>
          <w:szCs w:val="20"/>
          <w:color w:val="auto"/>
        </w:rPr>
        <w:t>Borrower and the relevant Lenders of the effective date and the amount of each such change in interest rate (other than any such change in the CDI).</w:t>
      </w:r>
    </w:p>
    <w:p>
      <w:pPr>
        <w:spacing w:after="0" w:line="177" w:lineRule="exact"/>
        <w:rPr>
          <w:sz w:val="20"/>
          <w:szCs w:val="20"/>
          <w:color w:val="auto"/>
        </w:rPr>
      </w:pPr>
    </w:p>
    <w:p>
      <w:pPr>
        <w:jc w:val="both"/>
        <w:ind w:firstLine="1304"/>
        <w:spacing w:after="0" w:line="243" w:lineRule="auto"/>
        <w:tabs>
          <w:tab w:leader="none" w:pos="1900" w:val="left"/>
        </w:tabs>
        <w:numPr>
          <w:ilvl w:val="0"/>
          <w:numId w:val="43"/>
        </w:numPr>
        <w:rPr>
          <w:rFonts w:ascii="Arial" w:cs="Arial" w:eastAsia="Arial" w:hAnsi="Arial"/>
          <w:sz w:val="20"/>
          <w:szCs w:val="20"/>
          <w:color w:val="010000"/>
        </w:rPr>
      </w:pPr>
      <w:r>
        <w:rPr>
          <w:rFonts w:ascii="Arial" w:cs="Arial" w:eastAsia="Arial" w:hAnsi="Arial"/>
          <w:sz w:val="20"/>
          <w:szCs w:val="20"/>
          <w:color w:val="auto"/>
        </w:rPr>
        <w:t>Each determination of an interest rate by the Administrative Agent (or, in the case of the CDI, the Brazilian Administrative Agent) pursuant to any provision of this Agreement or any other Loan Document shall be conclusive and binding on the Company, any Subsidiary Borrower and the 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 Agent (or the Brazilian Administrative Agent, as the case may be) in determining any interest rate pursuant to Section 2.17(a).</w:t>
      </w:r>
    </w:p>
    <w:p>
      <w:pPr>
        <w:spacing w:after="0" w:line="19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010000"/>
        </w:rPr>
        <w:t>2.18</w:t>
      </w:r>
      <w:r>
        <w:rPr>
          <w:sz w:val="20"/>
          <w:szCs w:val="20"/>
          <w:color w:val="auto"/>
        </w:rPr>
        <w:tab/>
      </w:r>
      <w:r>
        <w:rPr>
          <w:rFonts w:ascii="Arial" w:cs="Arial" w:eastAsia="Arial" w:hAnsi="Arial"/>
          <w:sz w:val="18"/>
          <w:szCs w:val="18"/>
          <w:color w:val="auto"/>
        </w:rPr>
        <w:t>Inability to Determine Interest Rate; Illegality. (a) If prior to the first day of any Interest Period:</w:t>
      </w:r>
    </w:p>
    <w:p>
      <w:pPr>
        <w:spacing w:after="0" w:line="216" w:lineRule="exact"/>
        <w:rPr>
          <w:sz w:val="20"/>
          <w:szCs w:val="20"/>
          <w:color w:val="auto"/>
        </w:rPr>
      </w:pPr>
    </w:p>
    <w:p>
      <w:pPr>
        <w:jc w:val="both"/>
        <w:ind w:right="20" w:firstLine="1304"/>
        <w:spacing w:after="0" w:line="250" w:lineRule="auto"/>
        <w:tabs>
          <w:tab w:leader="none" w:pos="1829" w:val="left"/>
        </w:tabs>
        <w:numPr>
          <w:ilvl w:val="0"/>
          <w:numId w:val="44"/>
        </w:numPr>
        <w:rPr>
          <w:rFonts w:ascii="Arial" w:cs="Arial" w:eastAsia="Arial" w:hAnsi="Arial"/>
          <w:sz w:val="20"/>
          <w:szCs w:val="20"/>
          <w:color w:val="010000"/>
        </w:rPr>
      </w:pPr>
      <w:r>
        <w:rPr>
          <w:rFonts w:ascii="Arial" w:cs="Arial" w:eastAsia="Arial" w:hAnsi="Arial"/>
          <w:sz w:val="20"/>
          <w:szCs w:val="20"/>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185" w:lineRule="exact"/>
        <w:rPr>
          <w:rFonts w:ascii="Arial" w:cs="Arial" w:eastAsia="Arial" w:hAnsi="Arial"/>
          <w:sz w:val="20"/>
          <w:szCs w:val="20"/>
          <w:color w:val="010000"/>
        </w:rPr>
      </w:pPr>
    </w:p>
    <w:p>
      <w:pPr>
        <w:jc w:val="both"/>
        <w:ind w:firstLine="1304"/>
        <w:spacing w:after="0" w:line="269" w:lineRule="auto"/>
        <w:tabs>
          <w:tab w:leader="none" w:pos="1749"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 certified by such Lenders) of making or maintaining their affected Loans during such Interest Period; or</w:t>
      </w:r>
    </w:p>
    <w:p>
      <w:pPr>
        <w:spacing w:after="0" w:line="169" w:lineRule="exact"/>
        <w:rPr>
          <w:rFonts w:ascii="Arial" w:cs="Arial" w:eastAsia="Arial" w:hAnsi="Arial"/>
          <w:sz w:val="19"/>
          <w:szCs w:val="19"/>
          <w:color w:val="010000"/>
        </w:rPr>
      </w:pPr>
    </w:p>
    <w:p>
      <w:pPr>
        <w:jc w:val="both"/>
        <w:ind w:firstLine="1304"/>
        <w:spacing w:after="0" w:line="269" w:lineRule="auto"/>
        <w:tabs>
          <w:tab w:leader="none" w:pos="1817"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9"/>
          <w:szCs w:val="19"/>
          <w:u w:val="single" w:color="auto"/>
          <w:color w:val="auto"/>
        </w:rPr>
        <w:t>Affected Foreign Currency</w:t>
      </w:r>
      <w:r>
        <w:rPr>
          <w:rFonts w:ascii="Arial" w:cs="Arial" w:eastAsia="Arial" w:hAnsi="Arial"/>
          <w:sz w:val="19"/>
          <w:szCs w:val="19"/>
          <w:color w:val="auto"/>
        </w:rPr>
        <w: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Administrative Agent shall give notice thereof to the Company and any relevant Subsidiary Borrower and the relevant Lenders as soon as practicable thereafter. If any such notice is given (A) pursuant to clause (i) or (ii) of this Section 2.18(a)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 then-current Interest Period, to ABR Loans, (4) any L/C Tranche Loans or Multicurrency Loans denominated in an Optional Currency requested to be made on the first day of such Interest Period shall not be made and (5) any outstanding L/C Tranche Loans or Multicurrency Loans denominated in an Optional Currency shall be converted to or be made as Alternate Rate Loans (and any request set forth in such interest rate election shall be deemed to be a request for such L/C Tranche Loans or Multicurrency Loans to be converted to or be made as Alternate Rate Loans) and (B) in respect of any L/C Tranche Loans or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 (iii) above, any</w:t>
      </w:r>
    </w:p>
    <w:p>
      <w:pPr>
        <w:sectPr>
          <w:pgSz w:w="11900" w:h="16838" w:orient="portrait"/>
          <w:cols w:equalWidth="0" w:num="1">
            <w:col w:w="11240"/>
          </w:cols>
          <w:pgMar w:left="320" w:top="568" w:right="339" w:bottom="1440" w:gutter="0" w:footer="0" w:header="0"/>
        </w:sectPr>
      </w:pPr>
    </w:p>
    <w:bookmarkStart w:id="111" w:name="page112"/>
    <w:bookmarkEnd w:id="111"/>
    <w:p>
      <w:pPr>
        <w:spacing w:after="0" w:line="260" w:lineRule="auto"/>
        <w:rPr>
          <w:sz w:val="20"/>
          <w:szCs w:val="20"/>
          <w:color w:val="auto"/>
        </w:rPr>
      </w:pPr>
      <w:r>
        <w:rPr>
          <w:rFonts w:ascii="Arial" w:cs="Arial" w:eastAsia="Arial" w:hAnsi="Arial"/>
          <w:sz w:val="20"/>
          <w:szCs w:val="20"/>
          <w:color w:val="auto"/>
        </w:rPr>
        <w:t>L/C Tranche Loans or Multicurrency Loans in an Affected Foreign Currency requested to be made on the first day of such Interest Period shall not be made.</w:t>
      </w:r>
    </w:p>
    <w:p>
      <w:pPr>
        <w:spacing w:after="0" w:line="177" w:lineRule="exact"/>
        <w:rPr>
          <w:sz w:val="20"/>
          <w:szCs w:val="20"/>
          <w:color w:val="auto"/>
        </w:rPr>
      </w:pPr>
    </w:p>
    <w:p>
      <w:pPr>
        <w:jc w:val="both"/>
        <w:ind w:firstLine="1304"/>
        <w:spacing w:after="0" w:line="254" w:lineRule="auto"/>
        <w:tabs>
          <w:tab w:leader="none" w:pos="1724"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2.22.</w:t>
      </w:r>
    </w:p>
    <w:p>
      <w:pPr>
        <w:spacing w:after="0" w:line="191" w:lineRule="exact"/>
        <w:rPr>
          <w:rFonts w:ascii="Arial" w:cs="Arial" w:eastAsia="Arial" w:hAnsi="Arial"/>
          <w:sz w:val="19"/>
          <w:szCs w:val="19"/>
          <w:color w:val="010000"/>
        </w:rPr>
      </w:pPr>
    </w:p>
    <w:p>
      <w:pPr>
        <w:jc w:val="both"/>
        <w:ind w:firstLine="1304"/>
        <w:spacing w:after="0" w:line="304" w:lineRule="auto"/>
        <w:tabs>
          <w:tab w:leader="none" w:pos="1794" w:val="left"/>
        </w:tabs>
        <w:numPr>
          <w:ilvl w:val="0"/>
          <w:numId w:val="45"/>
        </w:numPr>
        <w:rPr>
          <w:rFonts w:ascii="Arial" w:cs="Arial" w:eastAsia="Arial" w:hAnsi="Arial"/>
          <w:sz w:val="16"/>
          <w:szCs w:val="16"/>
          <w:color w:val="010000"/>
        </w:rPr>
      </w:pPr>
      <w:r>
        <w:rPr>
          <w:rFonts w:ascii="Arial" w:cs="Arial" w:eastAsia="Arial" w:hAnsi="Arial"/>
          <w:sz w:val="16"/>
          <w:szCs w:val="16"/>
          <w:color w:val="auto"/>
        </w:rPr>
        <w:t xml:space="preserve">If at any time the Administrative Agent determines (which determination shall be conclusive and binding upon the Company or relevant Subsidiary Borrower) that (i) the circumstances set forth in clause (a)(i) have arisen and such circumstances are unlikely to be temporary or (ii) the circumstances set forth in clause (a)(i) have not arisen, but the supervisor for the administrator of the Screen Rate or a Governmental Authority having jurisdiction over the Administrative Agent has made a public statement identifying a specific date after which the Screen Rate for the applicable Currency shall no longer be used for determining interest rates for loans, then the Administrative Agent and the Company shall use their commercially reasonable efforts to endeavor to promptly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changes will not include a reduction in the Applicable Margin). 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Majority Facility Lenders in respect of each Facility stating that such Majority Facility Lenders object to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alternate rate of interest shall be less than zero, such rate shall be deemed to be zero for the purposes of this Agreement. Until an alternate rate of interest shall be determined in accordance with this clause (c) (but, only to the extent the Screen Rate for the applicable Currency and such Interest Period is not available or published at such time on a current basis), (A) any notice that requests the conversion of any Loans to, or continuation of any Loans as, Eurocurrency Loans shall be ineffective, (B) if any Borrowing Request requests a Eurocurrency Loan, such Loan shall be made as an ABR Loan and (C) any request by the Borrower for a Eurocurrency Competitive Loan shall be ineffective.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2.19 </w:t>
      </w:r>
      <w:r>
        <w:rPr>
          <w:rFonts w:ascii="Arial" w:cs="Arial" w:eastAsia="Arial" w:hAnsi="Arial"/>
          <w:sz w:val="20"/>
          <w:szCs w:val="20"/>
          <w:color w:val="000000"/>
        </w:rPr>
        <w:t>Pro Rata Treatment and Payments; Evidence of Debt. (a) Each borrowing of Loans under any Facility by the</w:t>
      </w:r>
      <w:r>
        <w:rPr>
          <w:rFonts w:ascii="Arial" w:cs="Arial" w:eastAsia="Arial" w:hAnsi="Arial"/>
          <w:sz w:val="20"/>
          <w:szCs w:val="20"/>
          <w:color w:val="010000"/>
        </w:rPr>
        <w:t xml:space="preserve"> </w:t>
      </w:r>
      <w:r>
        <w:rPr>
          <w:rFonts w:ascii="Arial" w:cs="Arial" w:eastAsia="Arial" w:hAnsi="Arial"/>
          <w:sz w:val="20"/>
          <w:szCs w:val="20"/>
          <w:color w:val="000000"/>
        </w:rPr>
        <w:t>Company or any Subsidiary Borrower from the Lenders under such Facility, each payment by the Company or any Subsidiary Borrower on account of any Facility Fee or any fee payable</w:t>
      </w:r>
    </w:p>
    <w:p>
      <w:pPr>
        <w:sectPr>
          <w:pgSz w:w="11900" w:h="16838" w:orient="portrait"/>
          <w:cols w:equalWidth="0" w:num="1">
            <w:col w:w="11240"/>
          </w:cols>
          <w:pgMar w:left="320" w:top="568" w:right="339" w:bottom="1440" w:gutter="0" w:footer="0" w:header="0"/>
        </w:sectPr>
      </w:pPr>
    </w:p>
    <w:bookmarkStart w:id="112" w:name="page113"/>
    <w:bookmarkEnd w:id="112"/>
    <w:p>
      <w:pPr>
        <w:jc w:val="both"/>
        <w:spacing w:after="0" w:line="246" w:lineRule="auto"/>
        <w:rPr>
          <w:sz w:val="20"/>
          <w:szCs w:val="20"/>
          <w:color w:val="auto"/>
        </w:rPr>
      </w:pPr>
      <w:r>
        <w:rPr>
          <w:rFonts w:ascii="Arial" w:cs="Arial" w:eastAsia="Arial" w:hAnsi="Arial"/>
          <w:sz w:val="20"/>
          <w:szCs w:val="20"/>
          <w:color w:val="auto"/>
        </w:rPr>
        <w:t xml:space="preserve">pursuant to the L/C Fee Letter, and any reduction of the Commitments of the Lenders under any Facility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according to the respective Percentages under such Facility, of the relevant Lenders in such Facility except to the extent required or permitted pursuant to Sections 2.9, 2.11, 2.24, 2.25, 2.27, 2.29 and 2.30 and except, in the case of the L/C Tranche Facility, as otherwise provided in the L/C Fee Letter.</w:t>
      </w:r>
    </w:p>
    <w:p>
      <w:pPr>
        <w:spacing w:after="0" w:line="191" w:lineRule="exact"/>
        <w:rPr>
          <w:sz w:val="20"/>
          <w:szCs w:val="20"/>
          <w:color w:val="auto"/>
        </w:rPr>
      </w:pPr>
    </w:p>
    <w:p>
      <w:pPr>
        <w:jc w:val="both"/>
        <w:ind w:firstLine="1304"/>
        <w:spacing w:after="0" w:line="244" w:lineRule="auto"/>
        <w:tabs>
          <w:tab w:leader="none" w:pos="1724"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 xml:space="preserve">Each payment (including each prepayment) by the Company or any Subsidiary Borrower on account of principal of and interest on the Loans under any Facility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to the Lenders under such Facility according to the respective outstanding principal amounts of the Loans under such Facility then held by the Lenders under such Facility except to the extent required or permitted pursuant to Sections 2.9, 2.11, 2.24, 2.25, 2.27, 2.29 and 2.30. Except as otherwise provided in Section 8, each such payment shall be paid in the relevant Currency in which such Loan was made.</w:t>
      </w:r>
    </w:p>
    <w:p>
      <w:pPr>
        <w:spacing w:after="0" w:line="194" w:lineRule="exact"/>
        <w:rPr>
          <w:rFonts w:ascii="Arial" w:cs="Arial" w:eastAsia="Arial" w:hAnsi="Arial"/>
          <w:sz w:val="20"/>
          <w:szCs w:val="20"/>
          <w:color w:val="010000"/>
        </w:rPr>
      </w:pPr>
    </w:p>
    <w:p>
      <w:pPr>
        <w:jc w:val="both"/>
        <w:ind w:firstLine="1304"/>
        <w:spacing w:after="0" w:line="307" w:lineRule="auto"/>
        <w:tabs>
          <w:tab w:leader="none" w:pos="1727" w:val="left"/>
        </w:tabs>
        <w:numPr>
          <w:ilvl w:val="0"/>
          <w:numId w:val="46"/>
        </w:numPr>
        <w:rPr>
          <w:rFonts w:ascii="Arial" w:cs="Arial" w:eastAsia="Arial" w:hAnsi="Arial"/>
          <w:sz w:val="16"/>
          <w:szCs w:val="16"/>
          <w:color w:val="010000"/>
        </w:rPr>
      </w:pPr>
      <w:r>
        <w:rPr>
          <w:rFonts w:ascii="Arial" w:cs="Arial" w:eastAsia="Arial" w:hAnsi="Arial"/>
          <w:sz w:val="16"/>
          <w:szCs w:val="16"/>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(x) payment of fronting fees owing to any Issuing Lender shall be made as provided in the L/C Fee Letter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375" w:lineRule="exact"/>
        <w:rPr>
          <w:rFonts w:ascii="Arial" w:cs="Arial" w:eastAsia="Arial" w:hAnsi="Arial"/>
          <w:sz w:val="16"/>
          <w:szCs w:val="16"/>
          <w:color w:val="010000"/>
        </w:rPr>
      </w:pPr>
    </w:p>
    <w:p>
      <w:pPr>
        <w:jc w:val="both"/>
        <w:ind w:firstLine="1304"/>
        <w:spacing w:after="0" w:line="269" w:lineRule="auto"/>
        <w:tabs>
          <w:tab w:leader="none" w:pos="1819"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w:t>
      </w:r>
    </w:p>
    <w:p>
      <w:pPr>
        <w:sectPr>
          <w:pgSz w:w="11900" w:h="16838" w:orient="portrait"/>
          <w:cols w:equalWidth="0" w:num="1">
            <w:col w:w="11240"/>
          </w:cols>
          <w:pgMar w:left="320" w:top="56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by the Administrative Agent to be the cost to it of funding such amount, on demand, from the Company or the relevant Subsidiary Borrower.</w:t>
      </w:r>
    </w:p>
    <w:p>
      <w:pPr>
        <w:spacing w:after="0" w:line="239" w:lineRule="exact"/>
        <w:rPr>
          <w:sz w:val="20"/>
          <w:szCs w:val="20"/>
          <w:color w:val="auto"/>
        </w:rPr>
      </w:pPr>
    </w:p>
    <w:p>
      <w:pPr>
        <w:jc w:val="both"/>
        <w:ind w:firstLine="1304"/>
        <w:spacing w:after="0" w:line="271" w:lineRule="auto"/>
        <w:tabs>
          <w:tab w:leader="none" w:pos="174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69" w:lineRule="exact"/>
        <w:rPr>
          <w:rFonts w:ascii="Arial" w:cs="Arial" w:eastAsia="Arial" w:hAnsi="Arial"/>
          <w:sz w:val="18"/>
          <w:szCs w:val="18"/>
          <w:color w:val="010000"/>
        </w:rPr>
      </w:pPr>
    </w:p>
    <w:p>
      <w:pPr>
        <w:jc w:val="both"/>
        <w:ind w:firstLine="1304"/>
        <w:spacing w:after="0" w:line="246" w:lineRule="auto"/>
        <w:tabs>
          <w:tab w:leader="none" w:pos="1854"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91" w:lineRule="exact"/>
        <w:rPr>
          <w:rFonts w:ascii="Arial" w:cs="Arial" w:eastAsia="Arial" w:hAnsi="Arial"/>
          <w:sz w:val="20"/>
          <w:szCs w:val="20"/>
          <w:color w:val="010000"/>
        </w:rPr>
      </w:pPr>
    </w:p>
    <w:p>
      <w:pPr>
        <w:jc w:val="both"/>
        <w:ind w:firstLine="1304"/>
        <w:spacing w:after="0" w:line="246" w:lineRule="auto"/>
        <w:tabs>
          <w:tab w:leader="none" w:pos="1765"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20"/>
          <w:szCs w:val="20"/>
          <w:u w:val="single" w:color="auto"/>
          <w:color w:val="auto"/>
        </w:rPr>
        <w:t>Note</w:t>
      </w:r>
      <w:r>
        <w:rPr>
          <w:rFonts w:ascii="Arial" w:cs="Arial" w:eastAsia="Arial" w:hAnsi="Arial"/>
          <w:sz w:val="20"/>
          <w:szCs w:val="20"/>
          <w:color w:val="auto"/>
        </w:rPr>
        <w:t>”), with appropriate insertions as to date and principal amount.</w:t>
      </w:r>
    </w:p>
    <w:p>
      <w:pPr>
        <w:spacing w:after="0" w:line="19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010000"/>
        </w:rPr>
        <w:t>2.20</w:t>
      </w:r>
      <w:r>
        <w:rPr>
          <w:sz w:val="20"/>
          <w:szCs w:val="20"/>
          <w:color w:val="auto"/>
        </w:rPr>
        <w:tab/>
      </w:r>
      <w:r>
        <w:rPr>
          <w:rFonts w:ascii="Arial" w:cs="Arial" w:eastAsia="Arial" w:hAnsi="Arial"/>
          <w:sz w:val="18"/>
          <w:szCs w:val="18"/>
          <w:color w:val="auto"/>
        </w:rPr>
        <w:t>Requirements of Law. Except with respect to Competitive Loans to which this Section 2.20 shall not apply:</w:t>
      </w:r>
    </w:p>
    <w:p>
      <w:pPr>
        <w:spacing w:after="0" w:line="216" w:lineRule="exact"/>
        <w:rPr>
          <w:sz w:val="20"/>
          <w:szCs w:val="20"/>
          <w:color w:val="auto"/>
        </w:rPr>
      </w:pPr>
    </w:p>
    <w:p>
      <w:pPr>
        <w:ind w:left="1720" w:hanging="416"/>
        <w:spacing w:after="0"/>
        <w:tabs>
          <w:tab w:leader="none" w:pos="1720" w:val="left"/>
        </w:tabs>
        <w:numPr>
          <w:ilvl w:val="0"/>
          <w:numId w:val="48"/>
        </w:numPr>
        <w:rPr>
          <w:rFonts w:ascii="Arial" w:cs="Arial" w:eastAsia="Arial" w:hAnsi="Arial"/>
          <w:sz w:val="20"/>
          <w:szCs w:val="20"/>
          <w:color w:val="010000"/>
        </w:rPr>
      </w:pPr>
      <w:r>
        <w:rPr>
          <w:rFonts w:ascii="Arial" w:cs="Arial" w:eastAsia="Arial" w:hAnsi="Arial"/>
          <w:sz w:val="20"/>
          <w:szCs w:val="20"/>
          <w:color w:val="auto"/>
        </w:rPr>
        <w:t>If any Change in Law shall:</w:t>
      </w:r>
    </w:p>
    <w:p>
      <w:pPr>
        <w:spacing w:after="0" w:line="216" w:lineRule="exact"/>
        <w:rPr>
          <w:sz w:val="20"/>
          <w:szCs w:val="20"/>
          <w:color w:val="auto"/>
        </w:rPr>
      </w:pPr>
    </w:p>
    <w:p>
      <w:pPr>
        <w:jc w:val="both"/>
        <w:ind w:firstLine="1304"/>
        <w:spacing w:after="0" w:line="269" w:lineRule="auto"/>
        <w:tabs>
          <w:tab w:leader="none" w:pos="1721"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69" w:lineRule="exact"/>
        <w:rPr>
          <w:rFonts w:ascii="Arial" w:cs="Arial" w:eastAsia="Arial" w:hAnsi="Arial"/>
          <w:sz w:val="19"/>
          <w:szCs w:val="19"/>
          <w:color w:val="010000"/>
        </w:rPr>
      </w:pPr>
    </w:p>
    <w:p>
      <w:pPr>
        <w:ind w:left="1740" w:hanging="436"/>
        <w:spacing w:after="0"/>
        <w:tabs>
          <w:tab w:leader="none" w:pos="1740"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 xml:space="preserve">impose on such Lender or any London </w:t>
      </w:r>
      <w:r>
        <w:rPr>
          <w:rFonts w:ascii="Arial" w:cs="Arial" w:eastAsia="Arial" w:hAnsi="Arial"/>
          <w:sz w:val="20"/>
          <w:szCs w:val="20"/>
          <w:color w:val="FF0000"/>
          <w:strike w:val="1"/>
        </w:rPr>
        <w:t>I</w:t>
      </w:r>
      <w:r>
        <w:rPr>
          <w:rFonts w:ascii="Arial" w:cs="Arial" w:eastAsia="Arial" w:hAnsi="Arial"/>
          <w:sz w:val="20"/>
          <w:szCs w:val="20"/>
          <w:u w:val="single" w:color="auto"/>
          <w:color w:val="0000FF"/>
        </w:rPr>
        <w:t>i</w:t>
      </w:r>
      <w:r>
        <w:rPr>
          <w:rFonts w:ascii="Arial" w:cs="Arial" w:eastAsia="Arial" w:hAnsi="Arial"/>
          <w:sz w:val="20"/>
          <w:szCs w:val="20"/>
          <w:color w:val="auto"/>
        </w:rPr>
        <w:t>nterbank market any other condition;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and the result of any of the foregoing is to increase the cost to the Administrative Agent, the Brazilian Administrative Agent or such Lender (or its affiliate, as the case may be), by an amount that the Administrative Agent, the Brazilian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w:t>
      </w:r>
    </w:p>
    <w:p>
      <w:pPr>
        <w:sectPr>
          <w:pgSz w:w="11900" w:h="16838" w:orient="portrait"/>
          <w:cols w:equalWidth="0" w:num="1">
            <w:col w:w="11240"/>
          </w:cols>
          <w:pgMar w:left="320" w:top="568" w:right="339" w:bottom="1440" w:gutter="0" w:footer="0" w:header="0"/>
        </w:sectPr>
      </w:pPr>
    </w:p>
    <w:bookmarkStart w:id="114" w:name="page115"/>
    <w:bookmarkEnd w:id="114"/>
    <w:p>
      <w:pPr>
        <w:jc w:val="both"/>
        <w:spacing w:after="0" w:line="243" w:lineRule="auto"/>
        <w:rPr>
          <w:sz w:val="20"/>
          <w:szCs w:val="20"/>
          <w:color w:val="auto"/>
        </w:rPr>
      </w:pPr>
      <w:r>
        <w:rPr>
          <w:rFonts w:ascii="Arial" w:cs="Arial" w:eastAsia="Arial" w:hAnsi="Arial"/>
          <w:sz w:val="20"/>
          <w:szCs w:val="20"/>
          <w:color w:val="auto"/>
        </w:rPr>
        <w:t>Administrative Agent, the Brazilian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96" w:lineRule="exact"/>
        <w:rPr>
          <w:sz w:val="20"/>
          <w:szCs w:val="20"/>
          <w:color w:val="auto"/>
        </w:rPr>
      </w:pPr>
    </w:p>
    <w:p>
      <w:pPr>
        <w:jc w:val="both"/>
        <w:ind w:firstLine="1304"/>
        <w:spacing w:after="0" w:line="241" w:lineRule="auto"/>
        <w:tabs>
          <w:tab w:leader="none" w:pos="1765"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201" w:lineRule="exact"/>
        <w:rPr>
          <w:rFonts w:ascii="Arial" w:cs="Arial" w:eastAsia="Arial" w:hAnsi="Arial"/>
          <w:sz w:val="20"/>
          <w:szCs w:val="20"/>
          <w:color w:val="010000"/>
        </w:rPr>
      </w:pPr>
    </w:p>
    <w:p>
      <w:pPr>
        <w:jc w:val="both"/>
        <w:ind w:firstLine="1304"/>
        <w:spacing w:after="0" w:line="254" w:lineRule="auto"/>
        <w:tabs>
          <w:tab w:leader="none" w:pos="1713"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A certificate as to any additional amounts payable pursuant to this Section 2.20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the Brazilian Administrative Agent nor any Lender shall be entitled to request any payment or amount under this Section 2.20 unless the Administrative Agent, the Brazilian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Administrative Agent nor the Brazilian Administrative Agent shall be under any obligation to verify any such request of a Lender) and (ii) the Company and any relevant Subsidiary Borrower shall not be required to compensate the Administrative Agent, the Brazilian Administrative Agent or a Lender pursuant to this Section 2.20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8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2.21 </w:t>
      </w:r>
      <w:r>
        <w:rPr>
          <w:rFonts w:ascii="Arial" w:cs="Arial" w:eastAsia="Arial" w:hAnsi="Arial"/>
          <w:sz w:val="20"/>
          <w:szCs w:val="20"/>
          <w:color w:val="000000"/>
        </w:rPr>
        <w:t>Taxes. (a) All payments made by or on behalf of any Loan Party under this Agreement (other than in respect of any</w:t>
      </w:r>
      <w:r>
        <w:rPr>
          <w:rFonts w:ascii="Arial" w:cs="Arial" w:eastAsia="Arial" w:hAnsi="Arial"/>
          <w:sz w:val="20"/>
          <w:szCs w:val="20"/>
          <w:color w:val="010000"/>
        </w:rPr>
        <w:t xml:space="preserve"> </w:t>
      </w:r>
      <w:r>
        <w:rPr>
          <w:rFonts w:ascii="Arial" w:cs="Arial" w:eastAsia="Arial" w:hAnsi="Arial"/>
          <w:sz w:val="20"/>
          <w:szCs w:val="20"/>
          <w:color w:val="000000"/>
        </w:rPr>
        <w:t xml:space="preserve">Competitive Loans as to which 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w:t>
      </w:r>
      <w:r>
        <w:rPr>
          <w:rFonts w:ascii="Arial" w:cs="Arial" w:eastAsia="Arial" w:hAnsi="Arial"/>
          <w:sz w:val="20"/>
          <w:szCs w:val="20"/>
          <w:color w:val="FF0000"/>
          <w:strike w:val="1"/>
        </w:rPr>
        <w:t>t</w:t>
      </w:r>
      <w:r>
        <w:rPr>
          <w:rFonts w:ascii="Arial" w:cs="Arial" w:eastAsia="Arial" w:hAnsi="Arial"/>
          <w:sz w:val="20"/>
          <w:szCs w:val="20"/>
          <w:u w:val="single" w:color="auto"/>
          <w:color w:val="0000FF"/>
        </w:rPr>
        <w:t>T</w:t>
      </w:r>
      <w:r>
        <w:rPr>
          <w:rFonts w:ascii="Arial" w:cs="Arial" w:eastAsia="Arial" w:hAnsi="Arial"/>
          <w:sz w:val="20"/>
          <w:szCs w:val="20"/>
          <w:color w:val="000000"/>
        </w:rPr>
        <w:t>axes) imposed on the Administrative Agent, the Brazilian Administrative Agent or any Lender as a result of a present or former connection between the Administrative Agent, the Brazilian Administrative Agent or such Lender and the</w:t>
      </w:r>
    </w:p>
    <w:p>
      <w:pPr>
        <w:sectPr>
          <w:pgSz w:w="11900" w:h="16838" w:orient="portrait"/>
          <w:cols w:equalWidth="0" w:num="1">
            <w:col w:w="11240"/>
          </w:cols>
          <w:pgMar w:left="320" w:top="568" w:right="339" w:bottom="1440" w:gutter="0" w:footer="0" w:header="0"/>
        </w:sectPr>
      </w:pPr>
    </w:p>
    <w:bookmarkStart w:id="115" w:name="page116"/>
    <w:bookmarkEnd w:id="115"/>
    <w:p>
      <w:pPr>
        <w:jc w:val="both"/>
        <w:spacing w:after="0" w:line="268" w:lineRule="auto"/>
        <w:rPr>
          <w:sz w:val="20"/>
          <w:szCs w:val="20"/>
          <w:color w:val="auto"/>
        </w:rPr>
      </w:pPr>
      <w:r>
        <w:rPr>
          <w:rFonts w:ascii="Arial" w:cs="Arial" w:eastAsia="Arial" w:hAnsi="Arial"/>
          <w:sz w:val="18"/>
          <w:szCs w:val="18"/>
          <w:color w:val="auto"/>
        </w:rPr>
        <w:t xml:space="preserve">jurisdiction of the Governmental Authority imposing such </w:t>
      </w:r>
      <w:r>
        <w:rPr>
          <w:rFonts w:ascii="Arial" w:cs="Arial" w:eastAsia="Arial" w:hAnsi="Arial"/>
          <w:sz w:val="18"/>
          <w:szCs w:val="18"/>
          <w:color w:val="FF0000"/>
          <w:strike w:val="1"/>
        </w:rPr>
        <w:t>t</w:t>
      </w:r>
      <w:r>
        <w:rPr>
          <w:rFonts w:ascii="Arial" w:cs="Arial" w:eastAsia="Arial" w:hAnsi="Arial"/>
          <w:sz w:val="18"/>
          <w:szCs w:val="18"/>
          <w:u w:val="single" w:color="auto"/>
          <w:color w:val="0000FF"/>
        </w:rPr>
        <w:t>T</w:t>
      </w:r>
      <w:r>
        <w:rPr>
          <w:rFonts w:ascii="Arial" w:cs="Arial" w:eastAsia="Arial" w:hAnsi="Arial"/>
          <w:sz w:val="18"/>
          <w:szCs w:val="18"/>
          <w:color w:val="auto"/>
        </w:rPr>
        <w:t xml:space="preserve">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w:t>
      </w:r>
      <w:r>
        <w:rPr>
          <w:rFonts w:ascii="Arial" w:cs="Arial" w:eastAsia="Arial" w:hAnsi="Arial"/>
          <w:sz w:val="18"/>
          <w:szCs w:val="18"/>
          <w:color w:val="FF0000"/>
          <w:strike w:val="1"/>
        </w:rPr>
        <w:t>t</w:t>
      </w:r>
      <w:r>
        <w:rPr>
          <w:rFonts w:ascii="Arial" w:cs="Arial" w:eastAsia="Arial" w:hAnsi="Arial"/>
          <w:sz w:val="18"/>
          <w:szCs w:val="18"/>
          <w:u w:val="single" w:color="auto"/>
          <w:color w:val="0000FF"/>
        </w:rPr>
        <w:t>T</w:t>
      </w:r>
      <w:r>
        <w:rPr>
          <w:rFonts w:ascii="Arial" w:cs="Arial" w:eastAsia="Arial" w:hAnsi="Arial"/>
          <w:sz w:val="18"/>
          <w:szCs w:val="18"/>
          <w:color w:val="auto"/>
        </w:rPr>
        <w:t>ax imposed by any other Governmental Authority in a jurisdiction described in clause (i) above and (iii) any Taxes imposed by reason of FATCA (any such non-excluded Taxes, “</w:t>
      </w:r>
      <w:r>
        <w:rPr>
          <w:rFonts w:ascii="Arial" w:cs="Arial" w:eastAsia="Arial" w:hAnsi="Arial"/>
          <w:sz w:val="18"/>
          <w:szCs w:val="18"/>
          <w:u w:val="single" w:color="auto"/>
          <w:color w:val="auto"/>
        </w:rPr>
        <w:t>Non-Excluded Taxes</w:t>
      </w:r>
      <w:r>
        <w:rPr>
          <w:rFonts w:ascii="Arial" w:cs="Arial" w:eastAsia="Arial" w:hAnsi="Arial"/>
          <w:sz w:val="18"/>
          <w:szCs w:val="18"/>
          <w:color w:val="auto"/>
        </w:rPr>
        <w:t xml:space="preserve">”). If any Taxes are required to be </w:t>
      </w:r>
      <w:r>
        <w:rPr>
          <w:rFonts w:ascii="Arial" w:cs="Arial" w:eastAsia="Arial" w:hAnsi="Arial"/>
          <w:sz w:val="18"/>
          <w:szCs w:val="18"/>
          <w:u w:val="single" w:color="auto"/>
          <w:color w:val="0000FF"/>
        </w:rPr>
        <w:t>deducted or</w:t>
      </w:r>
      <w:r>
        <w:rPr>
          <w:rFonts w:ascii="Arial" w:cs="Arial" w:eastAsia="Arial" w:hAnsi="Arial"/>
          <w:sz w:val="18"/>
          <w:szCs w:val="18"/>
          <w:color w:val="auto"/>
        </w:rPr>
        <w:t xml:space="preserve"> withheld from any amounts payable to the Administrative Agent, the Brazilian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w:t>
      </w:r>
      <w:r>
        <w:rPr>
          <w:rFonts w:ascii="Arial" w:cs="Arial" w:eastAsia="Arial" w:hAnsi="Arial"/>
          <w:sz w:val="18"/>
          <w:szCs w:val="18"/>
          <w:u w:val="single" w:color="auto"/>
          <w:color w:val="0000FF"/>
        </w:rPr>
        <w:t>or withholdings</w:t>
      </w:r>
      <w:r>
        <w:rPr>
          <w:rFonts w:ascii="Arial" w:cs="Arial" w:eastAsia="Arial" w:hAnsi="Arial"/>
          <w:sz w:val="18"/>
          <w:szCs w:val="18"/>
          <w:color w:val="auto"/>
        </w:rPr>
        <w:t xml:space="preserve"> and shall pay the full amount deducted </w:t>
      </w:r>
      <w:r>
        <w:rPr>
          <w:rFonts w:ascii="Arial" w:cs="Arial" w:eastAsia="Arial" w:hAnsi="Arial"/>
          <w:sz w:val="18"/>
          <w:szCs w:val="18"/>
          <w:u w:val="single" w:color="auto"/>
          <w:color w:val="0000FF"/>
        </w:rPr>
        <w:t>or withheld</w:t>
      </w:r>
      <w:r>
        <w:rPr>
          <w:rFonts w:ascii="Arial" w:cs="Arial" w:eastAsia="Arial" w:hAnsi="Arial"/>
          <w:sz w:val="18"/>
          <w:szCs w:val="18"/>
          <w:color w:val="auto"/>
        </w:rPr>
        <w:t xml:space="preserve"> to the relevant Governmental Authority in accordance with applicable laws. In the case of any Non-Excluded Taxes or Other Taxes, the amounts so payable by the applicable Loan Party to the Administrative Agent, the Brazilian Administrative Agent or such Lender shall be increased to the extent necessary to yield to the Administrative Agent, the Brazilian Administrative Agent or such Lender (after payment of all Non-Excluded Taxes and Other Taxes) an amount equal to the sum which would have been received had no such deduction or withholding been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Loan Party shall be required to increase any such amounts payable to the Administrative Agent, the Brazilian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8"/>
          <w:szCs w:val="18"/>
          <w:u w:val="single" w:color="auto"/>
          <w:color w:val="auto"/>
        </w:rPr>
        <w:t>Change in Tax Law</w:t>
      </w:r>
      <w:r>
        <w:rPr>
          <w:rFonts w:ascii="Arial" w:cs="Arial" w:eastAsia="Arial" w:hAnsi="Arial"/>
          <w:sz w:val="18"/>
          <w:szCs w:val="18"/>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w:t>
      </w:r>
      <w:r>
        <w:rPr>
          <w:rFonts w:ascii="Arial" w:cs="Arial" w:eastAsia="Arial" w:hAnsi="Arial"/>
          <w:sz w:val="18"/>
          <w:szCs w:val="18"/>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color w:val="auto"/>
        </w:rPr>
        <w:t>) of this Section 2.21 except as such failure relates to a Change in Tax Law rendering such Person legally unable to comply.</w:t>
      </w:r>
    </w:p>
    <w:p>
      <w:pPr>
        <w:spacing w:after="0" w:line="178" w:lineRule="exact"/>
        <w:rPr>
          <w:sz w:val="20"/>
          <w:szCs w:val="20"/>
          <w:color w:val="auto"/>
        </w:rPr>
      </w:pPr>
    </w:p>
    <w:p>
      <w:pPr>
        <w:ind w:left="1740" w:hanging="436"/>
        <w:spacing w:after="0"/>
        <w:tabs>
          <w:tab w:leader="none" w:pos="1740"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In addition, each Loan Party shall pay any Other Taxes over to the relevant Governmental Authority in accordance with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applicable law.</w:t>
      </w:r>
    </w:p>
    <w:p>
      <w:pPr>
        <w:spacing w:after="0" w:line="200" w:lineRule="exact"/>
        <w:rPr>
          <w:sz w:val="20"/>
          <w:szCs w:val="20"/>
          <w:color w:val="auto"/>
        </w:rPr>
      </w:pPr>
    </w:p>
    <w:p>
      <w:pPr>
        <w:jc w:val="both"/>
        <w:ind w:firstLine="1304"/>
        <w:spacing w:after="0" w:line="255" w:lineRule="auto"/>
        <w:tabs>
          <w:tab w:leader="none" w:pos="1713"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 xml:space="preserve">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2.21 shall be made within 30 days after the date the Administrative Agent, the Brazilian Administrative Agent or such Lender (as the case may be) makes a written demand therefor (together with a reasonably detailed calculation of such amounts). </w:t>
      </w:r>
      <w:r>
        <w:rPr>
          <w:rFonts w:ascii="Arial" w:cs="Arial" w:eastAsia="Arial" w:hAnsi="Arial"/>
          <w:sz w:val="19"/>
          <w:szCs w:val="19"/>
          <w:color w:val="FF0000"/>
          <w:strike w:val="1"/>
        </w:rPr>
        <w:t>The UK Borrower shall not be required to indemnify the Administrative</w:t>
      </w:r>
      <w:r>
        <w:rPr>
          <w:rFonts w:ascii="Arial" w:cs="Arial" w:eastAsia="Arial" w:hAnsi="Arial"/>
          <w:sz w:val="19"/>
          <w:szCs w:val="19"/>
          <w:color w:val="auto"/>
        </w:rPr>
        <w:t xml:space="preserve"> </w:t>
      </w:r>
      <w:r>
        <w:rPr>
          <w:rFonts w:ascii="Arial" w:cs="Arial" w:eastAsia="Arial" w:hAnsi="Arial"/>
          <w:sz w:val="19"/>
          <w:szCs w:val="19"/>
          <w:color w:val="FF0000"/>
          <w:strike w:val="1"/>
        </w:rPr>
        <w:t>Agent, the Brazilian Administrative</w:t>
      </w:r>
    </w:p>
    <w:p>
      <w:pPr>
        <w:sectPr>
          <w:pgSz w:w="11900" w:h="16838" w:orient="portrait"/>
          <w:cols w:equalWidth="0" w:num="1">
            <w:col w:w="11240"/>
          </w:cols>
          <w:pgMar w:left="320" w:top="568" w:right="339" w:bottom="1440" w:gutter="0" w:footer="0" w:header="0"/>
        </w:sectPr>
      </w:pPr>
    </w:p>
    <w:bookmarkStart w:id="116" w:name="page117"/>
    <w:bookmarkEnd w:id="116"/>
    <w:p>
      <w:pPr>
        <w:spacing w:after="0" w:line="260" w:lineRule="auto"/>
        <w:rPr>
          <w:sz w:val="20"/>
          <w:szCs w:val="20"/>
          <w:color w:val="auto"/>
        </w:rPr>
      </w:pPr>
      <w:r>
        <w:rPr>
          <w:rFonts w:ascii="Arial" w:cs="Arial" w:eastAsia="Arial" w:hAnsi="Arial"/>
          <w:sz w:val="20"/>
          <w:szCs w:val="20"/>
          <w:color w:val="FF0000"/>
          <w:strike w:val="1"/>
        </w:rPr>
        <w:t>Agent or the Lenders for any amount which would have been compensated for by an increased payment pursuant to Section 2.21(a) but was not so compensated solely because one of the exclusions in Section 2.21(e)(ii) applied.</w:t>
      </w:r>
    </w:p>
    <w:p>
      <w:pPr>
        <w:spacing w:after="0" w:line="177" w:lineRule="exact"/>
        <w:rPr>
          <w:sz w:val="20"/>
          <w:szCs w:val="20"/>
          <w:color w:val="auto"/>
        </w:rPr>
      </w:pPr>
    </w:p>
    <w:p>
      <w:pPr>
        <w:jc w:val="both"/>
        <w:ind w:firstLine="1304"/>
        <w:spacing w:after="0" w:line="267" w:lineRule="auto"/>
        <w:tabs>
          <w:tab w:leader="none" w:pos="1778"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Each Lender (or Transferee) (i) that is not a “United States person” as defined in Section 7701(a)(30) of the Code (a “</w:t>
      </w:r>
      <w:r>
        <w:rPr>
          <w:rFonts w:ascii="Arial" w:cs="Arial" w:eastAsia="Arial" w:hAnsi="Arial"/>
          <w:sz w:val="18"/>
          <w:szCs w:val="18"/>
          <w:u w:val="single" w:color="auto"/>
          <w:color w:val="auto"/>
        </w:rPr>
        <w:t>Non-U.S. Lender</w:t>
      </w:r>
      <w:r>
        <w:rPr>
          <w:rFonts w:ascii="Arial" w:cs="Arial" w:eastAsia="Arial" w:hAnsi="Arial"/>
          <w:sz w:val="18"/>
          <w:szCs w:val="18"/>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200" w:lineRule="exact"/>
        <w:rPr>
          <w:rFonts w:ascii="Arial" w:cs="Arial" w:eastAsia="Arial" w:hAnsi="Arial"/>
          <w:sz w:val="18"/>
          <w:szCs w:val="18"/>
          <w:color w:val="010000"/>
        </w:rPr>
      </w:pPr>
    </w:p>
    <w:p>
      <w:pPr>
        <w:spacing w:after="0" w:line="220" w:lineRule="exact"/>
        <w:rPr>
          <w:rFonts w:ascii="Arial" w:cs="Arial" w:eastAsia="Arial" w:hAnsi="Arial"/>
          <w:sz w:val="18"/>
          <w:szCs w:val="18"/>
          <w:color w:val="010000"/>
        </w:rPr>
      </w:pPr>
    </w:p>
    <w:p>
      <w:pPr>
        <w:ind w:left="1720" w:hanging="416"/>
        <w:spacing w:after="0"/>
        <w:tabs>
          <w:tab w:leader="none" w:pos="1720" w:val="left"/>
        </w:tabs>
        <w:numPr>
          <w:ilvl w:val="0"/>
          <w:numId w:val="53"/>
        </w:numPr>
        <w:rPr>
          <w:rFonts w:ascii="Arial" w:cs="Arial" w:eastAsia="Arial" w:hAnsi="Arial"/>
          <w:sz w:val="20"/>
          <w:szCs w:val="20"/>
          <w:color w:val="FF0000"/>
          <w:strike w:val="1"/>
        </w:rPr>
      </w:pPr>
      <w:r>
        <w:rPr>
          <w:rFonts w:ascii="Arial" w:cs="Arial" w:eastAsia="Arial" w:hAnsi="Arial"/>
          <w:sz w:val="20"/>
          <w:szCs w:val="20"/>
          <w:u w:val="single" w:color="auto"/>
          <w:color w:val="FF0000"/>
          <w:strike w:val="1"/>
        </w:rPr>
        <w:t>Additional United Kingdom Withholding Tax Matters</w:t>
      </w:r>
      <w:r>
        <w:rPr>
          <w:rFonts w:ascii="Arial" w:cs="Arial" w:eastAsia="Arial" w:hAnsi="Arial"/>
          <w:sz w:val="20"/>
          <w:szCs w:val="20"/>
          <w:color w:val="FF0000"/>
          <w:strike w:val="1"/>
        </w:rPr>
        <w:t>.</w:t>
      </w:r>
    </w:p>
    <w:p>
      <w:pPr>
        <w:sectPr>
          <w:pgSz w:w="11900" w:h="16838" w:orient="portrait"/>
          <w:cols w:equalWidth="0" w:num="1">
            <w:col w:w="11240"/>
          </w:cols>
          <w:pgMar w:left="320" w:top="568" w:right="339" w:bottom="1440" w:gutter="0" w:footer="0" w:header="0"/>
        </w:sectPr>
      </w:pPr>
    </w:p>
    <w:bookmarkStart w:id="117" w:name="page118"/>
    <w:bookmarkEnd w:id="117"/>
    <w:p>
      <w:pPr>
        <w:jc w:val="both"/>
        <w:ind w:left="-1120" w:firstLine="1304"/>
        <w:spacing w:after="0" w:line="263" w:lineRule="auto"/>
        <w:tabs>
          <w:tab w:leader="none" w:pos="601" w:val="left"/>
        </w:tabs>
        <w:numPr>
          <w:ilvl w:val="0"/>
          <w:numId w:val="54"/>
        </w:numPr>
        <w:rPr>
          <w:rFonts w:ascii="Arial" w:cs="Arial" w:eastAsia="Arial" w:hAnsi="Arial"/>
          <w:sz w:val="19"/>
          <w:szCs w:val="19"/>
          <w:color w:val="FF0000"/>
          <w:strike w:val="1"/>
        </w:rPr>
      </w:pPr>
      <w:r>
        <w:rPr>
          <w:rFonts w:ascii="Arial" w:cs="Arial" w:eastAsia="Arial" w:hAnsi="Arial"/>
          <w:sz w:val="19"/>
          <w:szCs w:val="19"/>
          <w:color w:val="FF0000"/>
          <w:strike w:val="1"/>
        </w:rPr>
        <w:t>Each UK Borrower shall promptly upon becoming aware that it must make a UK Tax Deduction (or that there is any change in the rate or the basis of a UK Tax Deduction) notify the Administrative Agent accordingly. Similarly, a Lender shall promptly notify the Administrative Agent on becoming so aware in respect of a payment payable by any UK Borrower to that Lender. If the Administrative Agent receives such notification from a Lender it shall notify the relevant UK Borrower.</w:t>
      </w:r>
    </w:p>
    <w:p>
      <w:pPr>
        <w:spacing w:after="0" w:line="176" w:lineRule="exact"/>
        <w:rPr>
          <w:rFonts w:ascii="Arial" w:cs="Arial" w:eastAsia="Arial" w:hAnsi="Arial"/>
          <w:sz w:val="19"/>
          <w:szCs w:val="19"/>
          <w:color w:val="FF0000"/>
          <w:strike w:val="1"/>
        </w:rPr>
      </w:pPr>
    </w:p>
    <w:p>
      <w:pPr>
        <w:jc w:val="both"/>
        <w:ind w:left="-1120" w:firstLine="1304"/>
        <w:spacing w:after="0" w:line="269" w:lineRule="auto"/>
        <w:tabs>
          <w:tab w:leader="none" w:pos="629" w:val="left"/>
        </w:tabs>
        <w:numPr>
          <w:ilvl w:val="0"/>
          <w:numId w:val="54"/>
        </w:numPr>
        <w:rPr>
          <w:rFonts w:ascii="Arial" w:cs="Arial" w:eastAsia="Arial" w:hAnsi="Arial"/>
          <w:sz w:val="18"/>
          <w:szCs w:val="18"/>
          <w:color w:val="FF0000"/>
          <w:strike w:val="1"/>
        </w:rPr>
      </w:pPr>
      <w:r>
        <w:rPr>
          <w:rFonts w:ascii="Arial" w:cs="Arial" w:eastAsia="Arial" w:hAnsi="Arial"/>
          <w:sz w:val="18"/>
          <w:szCs w:val="18"/>
          <w:color w:val="FF0000"/>
          <w:strike w:val="1"/>
        </w:rPr>
        <w:t>Without prejudice to the generality of Section 2.21(a), a payment from a UK Borrower shall not be increased pursuant to Section 2.21(a) by reason of a UK Tax Deduction on account of Taxes imposed by the United Kingdom, if on the date on which the payment falls due: (A) 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 (B) the relevant Lender is a UK Qualifying Lender solely by virtue of paragraph (a)(ii) of the definition of “UK Qualifying Lender”; an officer of HMRC has given (and not revoked) a direction (a “</w:t>
      </w:r>
      <w:r>
        <w:rPr>
          <w:rFonts w:ascii="Arial" w:cs="Arial" w:eastAsia="Arial" w:hAnsi="Arial"/>
          <w:sz w:val="18"/>
          <w:szCs w:val="18"/>
          <w:u w:val="single" w:color="auto"/>
          <w:color w:val="FF0000"/>
          <w:strike w:val="1"/>
        </w:rPr>
        <w:t>Direction</w:t>
      </w:r>
      <w:r>
        <w:rPr>
          <w:rFonts w:ascii="Arial" w:cs="Arial" w:eastAsia="Arial" w:hAnsi="Arial"/>
          <w:sz w:val="18"/>
          <w:szCs w:val="18"/>
          <w:color w:val="FF0000"/>
          <w:strike w:val="1"/>
        </w:rPr>
        <w:t>”) under section 931 of the UK ITA which relates to the payment and that Lender has received from the relevant UK Borrower (or from the Company) a certified copy of that Direction; and the payment could have been made to the Lender without any UK Tax Deduction if that Direction had not been made; or (C) the relevant Lender is a UK Qualifying Lender solely by virtue of paragraph (a)(ii) of the definition of “UK Qualifying Lender”; the relevant Lender has not given a UK Tax Confirmation to the relevant UK Borrower; and the payment could have been made to the Lender without any UK Tax Deduction if the Lender had given a UK Tax Confirmation to the relevant UK Borrower, on the basis that the UK Tax Confirmation would have enabled the relevant UK Borrower to have formed a reasonable belief that the payment was an "excepted payment" for the purpose of section 930 of the UK ITA; or (D) the relevant Lender is a UK Treaty Lender (or would be a UK Treaty Lender following the completion of any necessary procedural formalities) and the relevant UK Borrower is able to demonstrate that the payment could have been made to the Lender without the UK Tax Deduction had that Lender complied with its obligations under Section 2.21(e)(iii) or Section 2.21(e)(iv) (as applicable) below.</w:t>
      </w:r>
    </w:p>
    <w:p>
      <w:pPr>
        <w:spacing w:after="0" w:line="173" w:lineRule="exact"/>
        <w:rPr>
          <w:rFonts w:ascii="Arial" w:cs="Arial" w:eastAsia="Arial" w:hAnsi="Arial"/>
          <w:sz w:val="18"/>
          <w:szCs w:val="18"/>
          <w:color w:val="FF0000"/>
          <w:strike w:val="1"/>
        </w:rPr>
      </w:pPr>
    </w:p>
    <w:p>
      <w:pPr>
        <w:jc w:val="both"/>
        <w:ind w:left="-1120" w:firstLine="1304"/>
        <w:spacing w:after="0" w:line="250" w:lineRule="auto"/>
        <w:tabs>
          <w:tab w:leader="none" w:pos="711" w:val="left"/>
        </w:tabs>
        <w:numPr>
          <w:ilvl w:val="0"/>
          <w:numId w:val="54"/>
        </w:numPr>
        <w:rPr>
          <w:rFonts w:ascii="Arial" w:cs="Arial" w:eastAsia="Arial" w:hAnsi="Arial"/>
          <w:sz w:val="20"/>
          <w:szCs w:val="20"/>
          <w:color w:val="FF0000"/>
          <w:strike w:val="1"/>
        </w:rPr>
      </w:pPr>
      <w:r>
        <w:rPr>
          <w:rFonts w:ascii="Arial" w:cs="Arial" w:eastAsia="Arial" w:hAnsi="Arial"/>
          <w:sz w:val="20"/>
          <w:szCs w:val="20"/>
          <w:color w:val="FF0000"/>
          <w:strike w:val="1"/>
        </w:rPr>
        <w:t>Subject to clause (e)(iv) below, each Lender and each UK Borrower which makes a payment to which that Lender is entitled shall co-operate in completing any procedural formalities necessary for such UK Borrower to obtain authorization to make such payment without a UK Tax Deduction.</w:t>
      </w:r>
    </w:p>
    <w:p>
      <w:pPr>
        <w:spacing w:after="0" w:line="185" w:lineRule="exact"/>
        <w:rPr>
          <w:rFonts w:ascii="Arial" w:cs="Arial" w:eastAsia="Arial" w:hAnsi="Arial"/>
          <w:sz w:val="20"/>
          <w:szCs w:val="20"/>
          <w:color w:val="FF0000"/>
          <w:strike w:val="1"/>
        </w:rPr>
      </w:pPr>
    </w:p>
    <w:p>
      <w:pPr>
        <w:jc w:val="both"/>
        <w:ind w:left="-1120" w:right="20" w:firstLine="1304"/>
        <w:spacing w:after="0" w:line="250" w:lineRule="auto"/>
        <w:tabs>
          <w:tab w:leader="none" w:pos="713" w:val="left"/>
        </w:tabs>
        <w:numPr>
          <w:ilvl w:val="0"/>
          <w:numId w:val="54"/>
        </w:numPr>
        <w:rPr>
          <w:rFonts w:ascii="Arial" w:cs="Arial" w:eastAsia="Arial" w:hAnsi="Arial"/>
          <w:sz w:val="20"/>
          <w:szCs w:val="20"/>
          <w:color w:val="FF0000"/>
          <w:strike w:val="1"/>
        </w:rPr>
      </w:pPr>
      <w:r>
        <w:rPr>
          <w:rFonts w:ascii="Arial" w:cs="Arial" w:eastAsia="Arial" w:hAnsi="Arial"/>
          <w:sz w:val="20"/>
          <w:szCs w:val="20"/>
          <w:color w:val="FF0000"/>
          <w:strike w:val="1"/>
        </w:rPr>
        <w:t>(A) A Lender on the day on which this Agreement is entered into that (x) holds a passport under the HMRC DT Treaty Passport scheme and (y) wishes such scheme to apply to this Agreement, shall confirm its scheme reference number and its jurisdiction of tax residence to each UK Borrower and the Administrative Agent; and</w:t>
      </w:r>
    </w:p>
    <w:p>
      <w:pPr>
        <w:spacing w:after="0" w:line="185" w:lineRule="exact"/>
        <w:rPr>
          <w:rFonts w:ascii="Arial" w:cs="Arial" w:eastAsia="Arial" w:hAnsi="Arial"/>
          <w:sz w:val="20"/>
          <w:szCs w:val="20"/>
          <w:color w:val="FF0000"/>
          <w:strike w:val="1"/>
        </w:rPr>
      </w:pPr>
    </w:p>
    <w:p>
      <w:pPr>
        <w:jc w:val="both"/>
        <w:ind w:left="180" w:firstLine="652"/>
        <w:spacing w:after="0" w:line="244" w:lineRule="auto"/>
        <w:tabs>
          <w:tab w:leader="none" w:pos="1290" w:val="left"/>
        </w:tabs>
        <w:numPr>
          <w:ilvl w:val="1"/>
          <w:numId w:val="54"/>
        </w:numPr>
        <w:rPr>
          <w:rFonts w:ascii="Arial" w:cs="Arial" w:eastAsia="Arial" w:hAnsi="Arial"/>
          <w:sz w:val="20"/>
          <w:szCs w:val="20"/>
          <w:color w:val="FF0000"/>
          <w:strike w:val="1"/>
        </w:rPr>
      </w:pPr>
      <w:r>
        <w:rPr>
          <w:rFonts w:ascii="Arial" w:cs="Arial" w:eastAsia="Arial" w:hAnsi="Arial"/>
          <w:sz w:val="20"/>
          <w:szCs w:val="20"/>
          <w:color w:val="FF0000"/>
          <w:strike w:val="1"/>
        </w:rPr>
        <w:t>A Lender which becomes a Lender hereunder after the day on which this Agreement is entered into (including, for the avoidance of doubt, any Transferee) that (x) holds a passport under the HMRC DT Treaty Passport scheme and (y) wishes such scheme to apply to this Agreement, shall confirm its scheme reference number and its jurisdiction of tax residence to each UK Borrower and the Administrative Agent in the documentation which it executes upon becoming a party to this Agreement, and</w:t>
      </w:r>
    </w:p>
    <w:p>
      <w:pPr>
        <w:spacing w:after="0" w:line="194" w:lineRule="exact"/>
        <w:rPr>
          <w:rFonts w:ascii="Arial" w:cs="Arial" w:eastAsia="Arial" w:hAnsi="Arial"/>
          <w:sz w:val="20"/>
          <w:szCs w:val="20"/>
          <w:color w:val="FF0000"/>
          <w:strike w:val="1"/>
        </w:rPr>
      </w:pPr>
    </w:p>
    <w:p>
      <w:pPr>
        <w:ind w:left="1300" w:hanging="468"/>
        <w:spacing w:after="0"/>
        <w:tabs>
          <w:tab w:leader="none" w:pos="1300" w:val="left"/>
        </w:tabs>
        <w:numPr>
          <w:ilvl w:val="1"/>
          <w:numId w:val="54"/>
        </w:numPr>
        <w:rPr>
          <w:rFonts w:ascii="Arial" w:cs="Arial" w:eastAsia="Arial" w:hAnsi="Arial"/>
          <w:sz w:val="18"/>
          <w:szCs w:val="18"/>
          <w:color w:val="FF0000"/>
          <w:strike w:val="1"/>
        </w:rPr>
      </w:pPr>
      <w:r>
        <w:rPr>
          <w:rFonts w:ascii="Arial" w:cs="Arial" w:eastAsia="Arial" w:hAnsi="Arial"/>
          <w:sz w:val="18"/>
          <w:szCs w:val="18"/>
          <w:color w:val="FF0000"/>
          <w:strike w:val="1"/>
        </w:rPr>
        <w:t>Upon satisfying either clause (A) or (B) above, such Lender shall have satisfied its obligation under clause (e)</w:t>
      </w:r>
    </w:p>
    <w:p>
      <w:pPr>
        <w:spacing w:after="0" w:line="38" w:lineRule="exact"/>
        <w:rPr>
          <w:rFonts w:ascii="Arial" w:cs="Arial" w:eastAsia="Arial" w:hAnsi="Arial"/>
          <w:sz w:val="18"/>
          <w:szCs w:val="18"/>
          <w:color w:val="FF0000"/>
          <w:strike w:val="1"/>
        </w:rPr>
      </w:pPr>
    </w:p>
    <w:p>
      <w:pPr>
        <w:ind w:left="540" w:hanging="356"/>
        <w:spacing w:after="0"/>
        <w:tabs>
          <w:tab w:leader="none" w:pos="540" w:val="left"/>
        </w:tabs>
        <w:numPr>
          <w:ilvl w:val="0"/>
          <w:numId w:val="55"/>
        </w:numPr>
        <w:rPr>
          <w:rFonts w:ascii="Arial" w:cs="Arial" w:eastAsia="Arial" w:hAnsi="Arial"/>
          <w:sz w:val="20"/>
          <w:szCs w:val="20"/>
          <w:color w:val="FF0000"/>
          <w:strike w:val="1"/>
        </w:rPr>
      </w:pPr>
      <w:r>
        <w:rPr>
          <w:rFonts w:ascii="Arial" w:cs="Arial" w:eastAsia="Arial" w:hAnsi="Arial"/>
          <w:sz w:val="20"/>
          <w:szCs w:val="20"/>
          <w:color w:val="FF0000"/>
          <w:strike w:val="1"/>
        </w:rPr>
        <w:t>above.</w:t>
      </w:r>
    </w:p>
    <w:p>
      <w:pPr>
        <w:sectPr>
          <w:pgSz w:w="11900" w:h="16838" w:orient="portrait"/>
          <w:cols w:equalWidth="0" w:num="1">
            <w:col w:w="10120"/>
          </w:cols>
          <w:pgMar w:left="1440" w:top="568" w:right="339" w:bottom="1440" w:gutter="0" w:footer="0" w:header="0"/>
        </w:sectPr>
      </w:pPr>
    </w:p>
    <w:bookmarkStart w:id="118" w:name="page119"/>
    <w:bookmarkEnd w:id="118"/>
    <w:p>
      <w:pPr>
        <w:ind w:firstLine="1304"/>
        <w:spacing w:after="0" w:line="260" w:lineRule="auto"/>
        <w:tabs>
          <w:tab w:leader="none" w:pos="1765" w:val="left"/>
        </w:tabs>
        <w:numPr>
          <w:ilvl w:val="0"/>
          <w:numId w:val="56"/>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If a Lender has confirmed its scheme reference number and its jurisdiction of tax residence in accordance with clause (e)(iv) above, the UK Borrower(s) shall make a Borrower DTTP Filing with respect to such Lender;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that, if:</w:t>
      </w:r>
    </w:p>
    <w:p>
      <w:pPr>
        <w:spacing w:after="0" w:line="176" w:lineRule="exact"/>
        <w:rPr>
          <w:rFonts w:ascii="Arial" w:cs="Arial" w:eastAsia="Arial" w:hAnsi="Arial"/>
          <w:sz w:val="20"/>
          <w:szCs w:val="20"/>
          <w:color w:val="FF0000"/>
          <w:strike w:val="1"/>
        </w:rPr>
      </w:pPr>
    </w:p>
    <w:p>
      <w:pPr>
        <w:ind w:left="2460" w:hanging="508"/>
        <w:spacing w:after="0"/>
        <w:tabs>
          <w:tab w:leader="none" w:pos="2460" w:val="left"/>
        </w:tabs>
        <w:numPr>
          <w:ilvl w:val="1"/>
          <w:numId w:val="56"/>
        </w:numPr>
        <w:rPr>
          <w:rFonts w:ascii="Arial" w:cs="Arial" w:eastAsia="Arial" w:hAnsi="Arial"/>
          <w:sz w:val="18"/>
          <w:szCs w:val="18"/>
          <w:color w:val="FF0000"/>
          <w:strike w:val="1"/>
        </w:rPr>
      </w:pPr>
      <w:r>
        <w:rPr>
          <w:rFonts w:ascii="Arial" w:cs="Arial" w:eastAsia="Arial" w:hAnsi="Arial"/>
          <w:sz w:val="18"/>
          <w:szCs w:val="18"/>
          <w:color w:val="FF0000"/>
          <w:strike w:val="1"/>
        </w:rPr>
        <w:t>a UK Borrower making a payment to such Lender has not made a Borrower DTTP Filing in respect of such</w:t>
      </w:r>
    </w:p>
    <w:p>
      <w:pPr>
        <w:spacing w:after="0" w:line="38" w:lineRule="exact"/>
        <w:rPr>
          <w:rFonts w:ascii="Arial" w:cs="Arial" w:eastAsia="Arial" w:hAnsi="Arial"/>
          <w:sz w:val="18"/>
          <w:szCs w:val="18"/>
          <w:color w:val="FF0000"/>
          <w:strike w:val="1"/>
        </w:rPr>
      </w:pPr>
    </w:p>
    <w:p>
      <w:pPr>
        <w:ind w:left="1300"/>
        <w:spacing w:after="0"/>
        <w:rPr>
          <w:rFonts w:ascii="Arial" w:cs="Arial" w:eastAsia="Arial" w:hAnsi="Arial"/>
          <w:sz w:val="18"/>
          <w:szCs w:val="18"/>
          <w:color w:val="FF0000"/>
          <w:strike w:val="1"/>
        </w:rPr>
      </w:pPr>
      <w:r>
        <w:rPr>
          <w:rFonts w:ascii="Arial" w:cs="Arial" w:eastAsia="Arial" w:hAnsi="Arial"/>
          <w:sz w:val="20"/>
          <w:szCs w:val="20"/>
          <w:color w:val="FF0000"/>
          <w:strike w:val="1"/>
        </w:rPr>
        <w:t>Lender; or</w:t>
      </w:r>
    </w:p>
    <w:p>
      <w:pPr>
        <w:spacing w:after="0" w:line="199" w:lineRule="exact"/>
        <w:rPr>
          <w:rFonts w:ascii="Arial" w:cs="Arial" w:eastAsia="Arial" w:hAnsi="Arial"/>
          <w:sz w:val="18"/>
          <w:szCs w:val="18"/>
          <w:color w:val="FF0000"/>
          <w:strike w:val="1"/>
        </w:rPr>
      </w:pPr>
    </w:p>
    <w:p>
      <w:pPr>
        <w:ind w:left="2420" w:hanging="468"/>
        <w:spacing w:after="0"/>
        <w:tabs>
          <w:tab w:leader="none" w:pos="2420" w:val="left"/>
        </w:tabs>
        <w:numPr>
          <w:ilvl w:val="1"/>
          <w:numId w:val="56"/>
        </w:numPr>
        <w:rPr>
          <w:rFonts w:ascii="Arial" w:cs="Arial" w:eastAsia="Arial" w:hAnsi="Arial"/>
          <w:sz w:val="18"/>
          <w:szCs w:val="18"/>
          <w:color w:val="FF0000"/>
          <w:strike w:val="1"/>
        </w:rPr>
      </w:pPr>
      <w:r>
        <w:rPr>
          <w:rFonts w:ascii="Arial" w:cs="Arial" w:eastAsia="Arial" w:hAnsi="Arial"/>
          <w:sz w:val="18"/>
          <w:szCs w:val="18"/>
          <w:color w:val="FF0000"/>
          <w:strike w:val="1"/>
        </w:rPr>
        <w:t>a UK Borrower making a payment to such Lender has made a Borrower DTTP Filing in respect of such Lender</w:t>
      </w:r>
    </w:p>
    <w:p>
      <w:pPr>
        <w:spacing w:after="0" w:line="38" w:lineRule="exact"/>
        <w:rPr>
          <w:rFonts w:ascii="Arial" w:cs="Arial" w:eastAsia="Arial" w:hAnsi="Arial"/>
          <w:sz w:val="18"/>
          <w:szCs w:val="18"/>
          <w:color w:val="FF0000"/>
          <w:strike w:val="1"/>
        </w:rPr>
      </w:pPr>
    </w:p>
    <w:p>
      <w:pPr>
        <w:ind w:left="1300"/>
        <w:spacing w:after="0"/>
        <w:rPr>
          <w:rFonts w:ascii="Arial" w:cs="Arial" w:eastAsia="Arial" w:hAnsi="Arial"/>
          <w:sz w:val="18"/>
          <w:szCs w:val="18"/>
          <w:color w:val="FF0000"/>
          <w:strike w:val="1"/>
        </w:rPr>
      </w:pPr>
      <w:r>
        <w:rPr>
          <w:rFonts w:ascii="Arial" w:cs="Arial" w:eastAsia="Arial" w:hAnsi="Arial"/>
          <w:sz w:val="20"/>
          <w:szCs w:val="20"/>
          <w:color w:val="FF0000"/>
          <w:strike w:val="1"/>
        </w:rPr>
        <w:t>but:</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FF0000"/>
          <w:strike w:val="1"/>
        </w:rPr>
        <w:t>(1)such Borrower DTTP Filing has been rejected by HMRC; or</w:t>
      </w:r>
    </w:p>
    <w:p>
      <w:pPr>
        <w:spacing w:after="0" w:line="216"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FF0000"/>
          <w:strike w:val="1"/>
        </w:rPr>
        <w:t>(2)HMRC has not given such UK Borrower authority to make payments to such Lender without a UK Tax</w:t>
      </w:r>
    </w:p>
    <w:p>
      <w:pPr>
        <w:spacing w:after="0" w:line="39" w:lineRule="exact"/>
        <w:rPr>
          <w:sz w:val="20"/>
          <w:szCs w:val="20"/>
          <w:color w:val="auto"/>
        </w:rPr>
      </w:pPr>
    </w:p>
    <w:p>
      <w:pPr>
        <w:jc w:val="center"/>
        <w:ind w:left="2500"/>
        <w:spacing w:after="0"/>
        <w:rPr>
          <w:sz w:val="20"/>
          <w:szCs w:val="20"/>
          <w:color w:val="auto"/>
        </w:rPr>
      </w:pPr>
      <w:r>
        <w:rPr>
          <w:rFonts w:ascii="Arial" w:cs="Arial" w:eastAsia="Arial" w:hAnsi="Arial"/>
          <w:sz w:val="20"/>
          <w:szCs w:val="20"/>
          <w:color w:val="FF0000"/>
          <w:strike w:val="1"/>
        </w:rPr>
        <w:t>Deduction within 60 days of the date of such Borrower DTTP Filing;</w:t>
      </w:r>
    </w:p>
    <w:p>
      <w:pPr>
        <w:spacing w:after="0" w:line="200" w:lineRule="exact"/>
        <w:rPr>
          <w:sz w:val="20"/>
          <w:szCs w:val="20"/>
          <w:color w:val="auto"/>
        </w:rPr>
      </w:pPr>
    </w:p>
    <w:p>
      <w:pPr>
        <w:jc w:val="both"/>
        <w:ind w:left="2600"/>
        <w:spacing w:after="0" w:line="246" w:lineRule="auto"/>
        <w:rPr>
          <w:sz w:val="20"/>
          <w:szCs w:val="20"/>
          <w:color w:val="auto"/>
        </w:rPr>
      </w:pPr>
      <w:r>
        <w:rPr>
          <w:rFonts w:ascii="Arial" w:cs="Arial" w:eastAsia="Arial" w:hAnsi="Arial"/>
          <w:sz w:val="20"/>
          <w:szCs w:val="20"/>
          <w:color w:val="FF0000"/>
          <w:strike w:val="1"/>
        </w:rPr>
        <w:t>and in each case, such UK Borrower has notified that Lender in writing of either clause (1) or (2) above, then such Lender and such UK Borrower shall co-operate in completing any additional procedural formalities necessary for such UK Borrower to obtain authorization to make that payment without a UK Tax Deduction.</w:t>
      </w:r>
    </w:p>
    <w:p>
      <w:pPr>
        <w:spacing w:after="0" w:line="191" w:lineRule="exact"/>
        <w:rPr>
          <w:sz w:val="20"/>
          <w:szCs w:val="20"/>
          <w:color w:val="auto"/>
        </w:rPr>
      </w:pPr>
    </w:p>
    <w:p>
      <w:pPr>
        <w:jc w:val="both"/>
        <w:ind w:firstLine="1304"/>
        <w:spacing w:after="0" w:line="269" w:lineRule="auto"/>
        <w:tabs>
          <w:tab w:leader="none" w:pos="1793" w:val="left"/>
        </w:tabs>
        <w:numPr>
          <w:ilvl w:val="0"/>
          <w:numId w:val="57"/>
        </w:numPr>
        <w:rPr>
          <w:rFonts w:ascii="Arial" w:cs="Arial" w:eastAsia="Arial" w:hAnsi="Arial"/>
          <w:sz w:val="19"/>
          <w:szCs w:val="19"/>
          <w:color w:val="FF0000"/>
          <w:strike w:val="1"/>
        </w:rPr>
      </w:pPr>
      <w:r>
        <w:rPr>
          <w:rFonts w:ascii="Arial" w:cs="Arial" w:eastAsia="Arial" w:hAnsi="Arial"/>
          <w:sz w:val="19"/>
          <w:szCs w:val="19"/>
          <w:color w:val="FF0000"/>
          <w:strike w:val="1"/>
        </w:rPr>
        <w:t>If a Lender has not confirmed its scheme reference number and jurisdiction of tax residence in accordance with clause (e)(iv) above, no UK Borrower shall make a Borrower DTTP Filing or file any other form relating to the HMRC DT Treaty Passport scheme in respect of that Lender's Commitment(s) or its participation in any Loan unless the Lender otherwise agrees.</w:t>
      </w:r>
    </w:p>
    <w:p>
      <w:pPr>
        <w:spacing w:after="0" w:line="169" w:lineRule="exact"/>
        <w:rPr>
          <w:rFonts w:ascii="Arial" w:cs="Arial" w:eastAsia="Arial" w:hAnsi="Arial"/>
          <w:sz w:val="19"/>
          <w:szCs w:val="19"/>
          <w:color w:val="FF0000"/>
          <w:strike w:val="1"/>
        </w:rPr>
      </w:pPr>
    </w:p>
    <w:p>
      <w:pPr>
        <w:ind w:right="20" w:firstLine="1304"/>
        <w:spacing w:after="0" w:line="260" w:lineRule="auto"/>
        <w:tabs>
          <w:tab w:leader="none" w:pos="1929" w:val="left"/>
        </w:tabs>
        <w:numPr>
          <w:ilvl w:val="0"/>
          <w:numId w:val="57"/>
        </w:numPr>
        <w:rPr>
          <w:rFonts w:ascii="Arial" w:cs="Arial" w:eastAsia="Arial" w:hAnsi="Arial"/>
          <w:sz w:val="20"/>
          <w:szCs w:val="20"/>
          <w:color w:val="FF0000"/>
          <w:strike w:val="1"/>
        </w:rPr>
      </w:pPr>
      <w:r>
        <w:rPr>
          <w:rFonts w:ascii="Arial" w:cs="Arial" w:eastAsia="Arial" w:hAnsi="Arial"/>
          <w:sz w:val="20"/>
          <w:szCs w:val="20"/>
          <w:color w:val="FF0000"/>
          <w:strike w:val="1"/>
        </w:rPr>
        <w:t>Each UK Borrower shall, promptly on making a Borrower DTTP Filing, deliver a copy of such Borrower DTTP Filing to the Administrative Agent for delivery to the relevant Lender.</w:t>
      </w:r>
    </w:p>
    <w:p>
      <w:pPr>
        <w:spacing w:after="0" w:line="176" w:lineRule="exact"/>
        <w:rPr>
          <w:rFonts w:ascii="Arial" w:cs="Arial" w:eastAsia="Arial" w:hAnsi="Arial"/>
          <w:sz w:val="20"/>
          <w:szCs w:val="20"/>
          <w:color w:val="FF0000"/>
          <w:strike w:val="1"/>
        </w:rPr>
      </w:pPr>
    </w:p>
    <w:p>
      <w:pPr>
        <w:jc w:val="both"/>
        <w:ind w:firstLine="1304"/>
        <w:spacing w:after="0" w:line="246" w:lineRule="auto"/>
        <w:tabs>
          <w:tab w:leader="none" w:pos="2011" w:val="left"/>
        </w:tabs>
        <w:numPr>
          <w:ilvl w:val="0"/>
          <w:numId w:val="57"/>
        </w:numPr>
        <w:rPr>
          <w:rFonts w:ascii="Arial" w:cs="Arial" w:eastAsia="Arial" w:hAnsi="Arial"/>
          <w:sz w:val="20"/>
          <w:szCs w:val="20"/>
          <w:color w:val="FF0000"/>
          <w:strike w:val="1"/>
        </w:rPr>
      </w:pPr>
      <w:r>
        <w:rPr>
          <w:rFonts w:ascii="Arial" w:cs="Arial" w:eastAsia="Arial" w:hAnsi="Arial"/>
          <w:sz w:val="20"/>
          <w:szCs w:val="20"/>
          <w:color w:val="FF0000"/>
          <w:strike w:val="1"/>
        </w:rPr>
        <w:t>Each Lender shall notify HMRC, each UK Borrower and the Administrative Agent if it determines in its sole discretion that it is not or ceases to be entitled to claim the benefits of the applicable UK Treaty with respect to payments made by any UK Borrower hereunder, including as the result of any participation under Section 10.6(c) pursuant to which it ceases to be beneficially entitled to any interest payable to it by any UK Borrower under any Loan Document.</w:t>
      </w:r>
    </w:p>
    <w:p>
      <w:pPr>
        <w:spacing w:after="0" w:line="191" w:lineRule="exact"/>
        <w:rPr>
          <w:rFonts w:ascii="Arial" w:cs="Arial" w:eastAsia="Arial" w:hAnsi="Arial"/>
          <w:sz w:val="20"/>
          <w:szCs w:val="20"/>
          <w:color w:val="FF0000"/>
          <w:strike w:val="1"/>
        </w:rPr>
      </w:pPr>
    </w:p>
    <w:p>
      <w:pPr>
        <w:jc w:val="both"/>
        <w:ind w:firstLine="1304"/>
        <w:spacing w:after="0" w:line="242" w:lineRule="auto"/>
        <w:tabs>
          <w:tab w:leader="none" w:pos="1941" w:val="left"/>
        </w:tabs>
        <w:numPr>
          <w:ilvl w:val="0"/>
          <w:numId w:val="57"/>
        </w:numPr>
        <w:rPr>
          <w:rFonts w:ascii="Arial" w:cs="Arial" w:eastAsia="Arial" w:hAnsi="Arial"/>
          <w:sz w:val="20"/>
          <w:szCs w:val="20"/>
          <w:color w:val="FF0000"/>
          <w:strike w:val="1"/>
        </w:rPr>
      </w:pPr>
      <w:r>
        <w:rPr>
          <w:rFonts w:ascii="Arial" w:cs="Arial" w:eastAsia="Arial" w:hAnsi="Arial"/>
          <w:sz w:val="20"/>
          <w:szCs w:val="20"/>
          <w:color w:val="FF0000"/>
          <w:strike w:val="1"/>
        </w:rPr>
        <w:t>Each Lender which becomes a party to this Agreement after the date of this Agreement shall indicate, in the documentation which it executes on becoming a party, and for the benefit of the Administrative Agent and without liability to any Loan Party, which of the following categories it falls in with respect to any UK Borrower to which it will make advances under any Loan Document: (A) not a UK Qualifying Lender; (B) a UK Qualifying Lender (other than a UK Treaty Lender); or (C) a UK Treaty Lender. If such a Lender fails to indicate its status in accordance with this Section 2.21(e)(ix) then that Lender shall be treated for the purposes of this Agreement (including by each UK Borrower) as if it is not a UK Qualifying Lender until such time as it notifies the Administrative Agent which category applies (and the Administrative Agent, upon receipt of such notification, shall inform the Company). For the avoidance of doubt, the documentation which a Lender executes on becoming a party to this Agreement shall not be invalidated by any failure of a Lender to comply with this Section 2.21(e)(ix).</w:t>
      </w:r>
    </w:p>
    <w:p>
      <w:pPr>
        <w:spacing w:after="0" w:line="194"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010000"/>
        </w:rPr>
        <w:t>(</w:t>
      </w:r>
      <w:r>
        <w:rPr>
          <w:rFonts w:ascii="Arial" w:cs="Arial" w:eastAsia="Arial" w:hAnsi="Arial"/>
          <w:sz w:val="20"/>
          <w:szCs w:val="20"/>
          <w:color w:val="FF0000"/>
          <w:strike w:val="1"/>
        </w:rPr>
        <w:t>f</w:t>
      </w:r>
      <w:r>
        <w:rPr>
          <w:rFonts w:ascii="Arial" w:cs="Arial" w:eastAsia="Arial" w:hAnsi="Arial"/>
          <w:sz w:val="20"/>
          <w:szCs w:val="20"/>
          <w:u w:val="single" w:color="auto"/>
          <w:color w:val="0000FF"/>
        </w:rPr>
        <w:t>e</w:t>
      </w:r>
      <w:r>
        <w:rPr>
          <w:rFonts w:ascii="Arial" w:cs="Arial" w:eastAsia="Arial" w:hAnsi="Arial"/>
          <w:sz w:val="20"/>
          <w:szCs w:val="20"/>
          <w:color w:val="010000"/>
        </w:rPr>
        <w:t xml:space="preserve">) </w:t>
      </w:r>
      <w:r>
        <w:rPr>
          <w:rFonts w:ascii="Arial" w:cs="Arial" w:eastAsia="Arial" w:hAnsi="Arial"/>
          <w:sz w:val="20"/>
          <w:szCs w:val="20"/>
          <w:color w:val="000000"/>
        </w:rPr>
        <w:t>With respect to each Foreign Subsidiary Borrower a Lender or Transferee shall, to the extent it is legally able to do so,</w:t>
      </w:r>
      <w:r>
        <w:rPr>
          <w:rFonts w:ascii="Arial" w:cs="Arial" w:eastAsia="Arial" w:hAnsi="Arial"/>
          <w:sz w:val="20"/>
          <w:szCs w:val="20"/>
          <w:color w:val="010000"/>
        </w:rPr>
        <w:t xml:space="preserve"> </w:t>
      </w:r>
      <w:r>
        <w:rPr>
          <w:rFonts w:ascii="Arial" w:cs="Arial" w:eastAsia="Arial" w:hAnsi="Arial"/>
          <w:sz w:val="20"/>
          <w:szCs w:val="20"/>
          <w:color w:val="000000"/>
        </w:rPr>
        <w:t>deliver to the Company (with a copy to the Administrative Agent), prior</w:t>
      </w:r>
    </w:p>
    <w:p>
      <w:pPr>
        <w:sectPr>
          <w:pgSz w:w="11900" w:h="16838" w:orient="portrait"/>
          <w:cols w:equalWidth="0" w:num="1">
            <w:col w:w="11240"/>
          </w:cols>
          <w:pgMar w:left="320" w:top="568" w:right="339" w:bottom="1440" w:gutter="0" w:footer="0" w:header="0"/>
        </w:sectPr>
      </w:pPr>
    </w:p>
    <w:bookmarkStart w:id="119" w:name="page120"/>
    <w:bookmarkEnd w:id="119"/>
    <w:p>
      <w:pPr>
        <w:jc w:val="both"/>
        <w:spacing w:after="0" w:line="271" w:lineRule="auto"/>
        <w:rPr>
          <w:sz w:val="20"/>
          <w:szCs w:val="20"/>
          <w:color w:val="auto"/>
        </w:rPr>
      </w:pPr>
      <w:r>
        <w:rPr>
          <w:rFonts w:ascii="Arial" w:cs="Arial" w:eastAsia="Arial" w:hAnsi="Arial"/>
          <w:sz w:val="18"/>
          <w:szCs w:val="18"/>
          <w:color w:val="auto"/>
        </w:rPr>
        <w:t xml:space="preserve">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2.11(c) or 2.11(d),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 </w:t>
      </w:r>
      <w:r>
        <w:rPr>
          <w:rFonts w:ascii="Arial" w:cs="Arial" w:eastAsia="Arial" w:hAnsi="Arial"/>
          <w:sz w:val="18"/>
          <w:szCs w:val="18"/>
          <w:color w:val="FF0000"/>
          <w:strike w:val="1"/>
        </w:rPr>
        <w:t>With respect to any</w:t>
      </w:r>
      <w:r>
        <w:rPr>
          <w:rFonts w:ascii="Arial" w:cs="Arial" w:eastAsia="Arial" w:hAnsi="Arial"/>
          <w:sz w:val="18"/>
          <w:szCs w:val="18"/>
          <w:color w:val="auto"/>
        </w:rPr>
        <w:t xml:space="preserve"> </w:t>
      </w:r>
      <w:r>
        <w:rPr>
          <w:rFonts w:ascii="Arial" w:cs="Arial" w:eastAsia="Arial" w:hAnsi="Arial"/>
          <w:sz w:val="18"/>
          <w:szCs w:val="18"/>
          <w:color w:val="FF0000"/>
          <w:strike w:val="1"/>
        </w:rPr>
        <w:t>UK Borrower, in the case of any conflict between this Section 2.21(f) and Section 2.21(e), the provisions of Section 2.21(e) shall prevail.</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010000"/>
        </w:rPr>
        <w:t>(</w:t>
      </w:r>
      <w:r>
        <w:rPr>
          <w:rFonts w:ascii="Arial" w:cs="Arial" w:eastAsia="Arial" w:hAnsi="Arial"/>
          <w:sz w:val="18"/>
          <w:szCs w:val="18"/>
          <w:color w:val="FF0000"/>
          <w:strike w:val="1"/>
        </w:rPr>
        <w:t>g</w:t>
      </w:r>
      <w:r>
        <w:rPr>
          <w:rFonts w:ascii="Arial" w:cs="Arial" w:eastAsia="Arial" w:hAnsi="Arial"/>
          <w:sz w:val="18"/>
          <w:szCs w:val="18"/>
          <w:u w:val="single" w:color="auto"/>
          <w:color w:val="0000FF"/>
        </w:rPr>
        <w:t>f</w:t>
      </w:r>
      <w:r>
        <w:rPr>
          <w:rFonts w:ascii="Arial" w:cs="Arial" w:eastAsia="Arial" w:hAnsi="Arial"/>
          <w:sz w:val="18"/>
          <w:szCs w:val="18"/>
          <w:color w:val="010000"/>
        </w:rPr>
        <w:t xml:space="preserve">) </w:t>
      </w:r>
      <w:r>
        <w:rPr>
          <w:rFonts w:ascii="Arial" w:cs="Arial" w:eastAsia="Arial" w:hAnsi="Arial"/>
          <w:sz w:val="18"/>
          <w:szCs w:val="18"/>
          <w:color w:val="000000"/>
        </w:rPr>
        <w:t>If the Administrative Agent, the Brazilian Administrative Agent, any Transferee or any Lender determines, in its sole</w:t>
      </w:r>
      <w:r>
        <w:rPr>
          <w:rFonts w:ascii="Arial" w:cs="Arial" w:eastAsia="Arial" w:hAnsi="Arial"/>
          <w:sz w:val="18"/>
          <w:szCs w:val="18"/>
          <w:color w:val="010000"/>
        </w:rPr>
        <w:t xml:space="preserve"> </w:t>
      </w:r>
      <w:r>
        <w:rPr>
          <w:rFonts w:ascii="Arial" w:cs="Arial" w:eastAsia="Arial" w:hAnsi="Arial"/>
          <w:sz w:val="18"/>
          <w:szCs w:val="18"/>
          <w:color w:val="000000"/>
        </w:rPr>
        <w:t xml:space="preserve">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the Brazilian Administrative Agent, such Transferee or such Lender and without interest (other than any interest paid by the relevant Governmental Authority with respect to such refund); </w:t>
      </w:r>
      <w:r>
        <w:rPr>
          <w:rFonts w:ascii="Arial" w:cs="Arial" w:eastAsia="Arial" w:hAnsi="Arial"/>
          <w:sz w:val="18"/>
          <w:szCs w:val="18"/>
          <w:u w:val="single" w:color="auto"/>
          <w:color w:val="000000"/>
        </w:rPr>
        <w:t>provided</w:t>
      </w:r>
      <w:r>
        <w:rPr>
          <w:rFonts w:ascii="Arial" w:cs="Arial" w:eastAsia="Arial" w:hAnsi="Arial"/>
          <w:sz w:val="18"/>
          <w:szCs w:val="18"/>
          <w:color w:val="000000"/>
        </w:rPr>
        <w:t>, that such Loan Party, upon the request of the Administrative Agent, the Brazilian Administrative Agent, such Transferee or such Lender, agrees to repay the amount paid over to such Loan Party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17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w:t>
      </w:r>
      <w:r>
        <w:rPr>
          <w:rFonts w:ascii="Arial" w:cs="Arial" w:eastAsia="Arial" w:hAnsi="Arial"/>
          <w:sz w:val="20"/>
          <w:szCs w:val="20"/>
          <w:color w:val="FF0000"/>
          <w:strike w:val="1"/>
        </w:rPr>
        <w:t>h</w:t>
      </w:r>
      <w:r>
        <w:rPr>
          <w:rFonts w:ascii="Arial" w:cs="Arial" w:eastAsia="Arial" w:hAnsi="Arial"/>
          <w:sz w:val="20"/>
          <w:szCs w:val="20"/>
          <w:u w:val="single" w:color="auto"/>
          <w:color w:val="0000FF"/>
        </w:rPr>
        <w:t>g</w:t>
      </w:r>
      <w:r>
        <w:rPr>
          <w:rFonts w:ascii="Arial" w:cs="Arial" w:eastAsia="Arial" w:hAnsi="Arial"/>
          <w:sz w:val="20"/>
          <w:szCs w:val="20"/>
          <w:color w:val="010000"/>
        </w:rPr>
        <w:t xml:space="preserve">) </w:t>
      </w:r>
      <w:r>
        <w:rPr>
          <w:rFonts w:ascii="Arial" w:cs="Arial" w:eastAsia="Arial" w:hAnsi="Arial"/>
          <w:sz w:val="20"/>
          <w:szCs w:val="20"/>
          <w:color w:val="000000"/>
        </w:rPr>
        <w:t>Each Lender shall indemnify the Administrative Agent and the Brazilian Administrative Agent (to the extent not</w:t>
      </w:r>
      <w:r>
        <w:rPr>
          <w:rFonts w:ascii="Arial" w:cs="Arial" w:eastAsia="Arial" w:hAnsi="Arial"/>
          <w:sz w:val="20"/>
          <w:szCs w:val="20"/>
          <w:color w:val="010000"/>
        </w:rPr>
        <w:t xml:space="preserve"> </w:t>
      </w:r>
      <w:r>
        <w:rPr>
          <w:rFonts w:ascii="Arial" w:cs="Arial" w:eastAsia="Arial" w:hAnsi="Arial"/>
          <w:sz w:val="20"/>
          <w:szCs w:val="20"/>
          <w:color w:val="000000"/>
        </w:rPr>
        <w:t>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 as applicable, in good faith.</w:t>
      </w:r>
    </w:p>
    <w:p>
      <w:pPr>
        <w:sectPr>
          <w:pgSz w:w="11900" w:h="16838" w:orient="portrait"/>
          <w:cols w:equalWidth="0" w:num="1">
            <w:col w:w="11240"/>
          </w:cols>
          <w:pgMar w:left="320" w:top="568" w:right="339" w:bottom="1440" w:gutter="0" w:footer="0" w:header="0"/>
        </w:sectPr>
      </w:pPr>
    </w:p>
    <w:bookmarkStart w:id="120" w:name="page121"/>
    <w:bookmarkEnd w:id="120"/>
    <w:p>
      <w:pPr>
        <w:jc w:val="both"/>
        <w:spacing w:after="0" w:line="260" w:lineRule="auto"/>
        <w:rPr>
          <w:sz w:val="20"/>
          <w:szCs w:val="20"/>
          <w:color w:val="auto"/>
        </w:rPr>
      </w:pPr>
      <w:r>
        <w:rPr>
          <w:rFonts w:ascii="Arial" w:cs="Arial" w:eastAsia="Arial" w:hAnsi="Arial"/>
          <w:sz w:val="20"/>
          <w:szCs w:val="20"/>
          <w:color w:val="auto"/>
        </w:rPr>
        <w:t>A certificate as to the amount of such payment or liability delivered to any Lender by the Administrative Agent or the Brazilian Administrative Agent shall be conclusive absent manifest error.</w:t>
      </w:r>
    </w:p>
    <w:p>
      <w:pPr>
        <w:spacing w:after="0" w:line="177"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010000"/>
        </w:rPr>
        <w:t>(</w:t>
      </w:r>
      <w:r>
        <w:rPr>
          <w:rFonts w:ascii="Arial" w:cs="Arial" w:eastAsia="Arial" w:hAnsi="Arial"/>
          <w:sz w:val="20"/>
          <w:szCs w:val="20"/>
          <w:color w:val="FF0000"/>
          <w:strike w:val="1"/>
        </w:rPr>
        <w:t>i</w:t>
      </w:r>
      <w:r>
        <w:rPr>
          <w:rFonts w:ascii="Arial" w:cs="Arial" w:eastAsia="Arial" w:hAnsi="Arial"/>
          <w:sz w:val="20"/>
          <w:szCs w:val="20"/>
          <w:u w:val="single" w:color="auto"/>
          <w:color w:val="0000FF"/>
        </w:rPr>
        <w:t>h</w:t>
      </w:r>
      <w:r>
        <w:rPr>
          <w:rFonts w:ascii="Arial" w:cs="Arial" w:eastAsia="Arial" w:hAnsi="Arial"/>
          <w:sz w:val="20"/>
          <w:szCs w:val="20"/>
          <w:color w:val="010000"/>
        </w:rPr>
        <w:t>)</w:t>
      </w:r>
      <w:r>
        <w:rPr>
          <w:sz w:val="20"/>
          <w:szCs w:val="20"/>
          <w:color w:val="auto"/>
        </w:rPr>
        <w:tab/>
      </w:r>
      <w:r>
        <w:rPr>
          <w:rFonts w:ascii="Arial" w:cs="Arial" w:eastAsia="Arial" w:hAnsi="Arial"/>
          <w:sz w:val="16"/>
          <w:szCs w:val="16"/>
          <w:color w:val="auto"/>
        </w:rPr>
        <w:t>Each Assignee shall be bound by this Section 2.21.</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010000"/>
        </w:rPr>
        <w:t>(</w:t>
      </w:r>
      <w:r>
        <w:rPr>
          <w:rFonts w:ascii="Arial" w:cs="Arial" w:eastAsia="Arial" w:hAnsi="Arial"/>
          <w:sz w:val="20"/>
          <w:szCs w:val="20"/>
          <w:color w:val="FF0000"/>
          <w:strike w:val="1"/>
        </w:rPr>
        <w:t>j</w:t>
      </w:r>
      <w:r>
        <w:rPr>
          <w:rFonts w:ascii="Arial" w:cs="Arial" w:eastAsia="Arial" w:hAnsi="Arial"/>
          <w:sz w:val="20"/>
          <w:szCs w:val="20"/>
          <w:u w:val="single" w:color="auto"/>
          <w:color w:val="0000FF"/>
        </w:rPr>
        <w:t>i</w:t>
      </w:r>
      <w:r>
        <w:rPr>
          <w:rFonts w:ascii="Arial" w:cs="Arial" w:eastAsia="Arial" w:hAnsi="Arial"/>
          <w:sz w:val="20"/>
          <w:szCs w:val="20"/>
          <w:color w:val="010000"/>
        </w:rPr>
        <w:t xml:space="preserve">) </w:t>
      </w:r>
      <w:r>
        <w:rPr>
          <w:rFonts w:ascii="Arial" w:cs="Arial" w:eastAsia="Arial" w:hAnsi="Arial"/>
          <w:sz w:val="20"/>
          <w:szCs w:val="20"/>
          <w:color w:val="000000"/>
        </w:rPr>
        <w:t>The agreements in this Section 2.21 shall survive the termination of this Agreement and the payment of the Loans and</w:t>
      </w:r>
      <w:r>
        <w:rPr>
          <w:rFonts w:ascii="Arial" w:cs="Arial" w:eastAsia="Arial" w:hAnsi="Arial"/>
          <w:sz w:val="20"/>
          <w:szCs w:val="20"/>
          <w:color w:val="010000"/>
        </w:rPr>
        <w:t xml:space="preserve"> </w:t>
      </w:r>
      <w:r>
        <w:rPr>
          <w:rFonts w:ascii="Arial" w:cs="Arial" w:eastAsia="Arial" w:hAnsi="Arial"/>
          <w:sz w:val="20"/>
          <w:szCs w:val="20"/>
          <w:color w:val="000000"/>
        </w:rPr>
        <w:t>all other amounts payable hereunder and the other Loan Documents.</w:t>
      </w:r>
    </w:p>
    <w:p>
      <w:pPr>
        <w:spacing w:after="0" w:line="17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010000"/>
        </w:rPr>
        <w:t xml:space="preserve">2.22 </w:t>
      </w:r>
      <w:r>
        <w:rPr>
          <w:rFonts w:ascii="Arial" w:cs="Arial" w:eastAsia="Arial" w:hAnsi="Arial"/>
          <w:sz w:val="18"/>
          <w:szCs w:val="18"/>
          <w:color w:val="000000"/>
        </w:rPr>
        <w:t>Indemnity. The Company and each relevant Subsidiary Borrower agrees to indemnify each Lender for, and to hold</w:t>
      </w:r>
      <w:r>
        <w:rPr>
          <w:rFonts w:ascii="Arial" w:cs="Arial" w:eastAsia="Arial" w:hAnsi="Arial"/>
          <w:sz w:val="18"/>
          <w:szCs w:val="18"/>
          <w:color w:val="010000"/>
        </w:rPr>
        <w:t xml:space="preserve"> </w:t>
      </w:r>
      <w:r>
        <w:rPr>
          <w:rFonts w:ascii="Arial" w:cs="Arial" w:eastAsia="Arial" w:hAnsi="Arial"/>
          <w:sz w:val="18"/>
          <w:szCs w:val="18"/>
          <w:color w:val="000000"/>
        </w:rPr>
        <w:t>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8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010000"/>
        </w:rPr>
        <w:t xml:space="preserve">2.23 </w:t>
      </w:r>
      <w:r>
        <w:rPr>
          <w:rFonts w:ascii="Arial" w:cs="Arial" w:eastAsia="Arial" w:hAnsi="Arial"/>
          <w:sz w:val="18"/>
          <w:szCs w:val="18"/>
          <w:color w:val="000000"/>
        </w:rPr>
        <w:t>Change of Applicable Lending Office. Each Lender agrees that, upon the occurrence of any event giving rise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nothing in this Section 2.23 shall affect or postpone any of the obligations of the Company or the rights of any Lender pursuant to Section 2.20 or 2.21(a).</w:t>
      </w:r>
    </w:p>
    <w:p>
      <w:pPr>
        <w:spacing w:after="0" w:line="16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010000"/>
        </w:rPr>
        <w:t xml:space="preserve">2.24 </w:t>
      </w:r>
      <w:r>
        <w:rPr>
          <w:rFonts w:ascii="Arial" w:cs="Arial" w:eastAsia="Arial" w:hAnsi="Arial"/>
          <w:sz w:val="19"/>
          <w:szCs w:val="19"/>
          <w:color w:val="000000"/>
        </w:rPr>
        <w:t>Replacement/Termination of Lenders. The Company shall be permitted (a) to replace with a replacement financial</w:t>
      </w:r>
      <w:r>
        <w:rPr>
          <w:rFonts w:ascii="Arial" w:cs="Arial" w:eastAsia="Arial" w:hAnsi="Arial"/>
          <w:sz w:val="19"/>
          <w:szCs w:val="19"/>
          <w:color w:val="010000"/>
        </w:rPr>
        <w:t xml:space="preserve"> </w:t>
      </w:r>
      <w:r>
        <w:rPr>
          <w:rFonts w:ascii="Arial" w:cs="Arial" w:eastAsia="Arial" w:hAnsi="Arial"/>
          <w:sz w:val="19"/>
          <w:szCs w:val="19"/>
          <w:color w:val="000000"/>
        </w:rPr>
        <w:t>institution or terminate the Commitments under any applicable Facility and repay any outstanding Loans at par under such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such Facility (and such Lender is an affected Lender) and</w:t>
      </w:r>
    </w:p>
    <w:p>
      <w:pPr>
        <w:sectPr>
          <w:pgSz w:w="11900" w:h="16838" w:orient="portrait"/>
          <w:cols w:equalWidth="0" w:num="1">
            <w:col w:w="11240"/>
          </w:cols>
          <w:pgMar w:left="320" w:top="568" w:right="339" w:bottom="1440" w:gutter="0" w:footer="0" w:header="0"/>
        </w:sectPr>
      </w:pPr>
    </w:p>
    <w:bookmarkStart w:id="121" w:name="page122"/>
    <w:bookmarkEnd w:id="121"/>
    <w:p>
      <w:pPr>
        <w:jc w:val="both"/>
        <w:spacing w:after="0" w:line="268" w:lineRule="auto"/>
        <w:rPr>
          <w:sz w:val="20"/>
          <w:szCs w:val="20"/>
          <w:color w:val="auto"/>
        </w:rPr>
      </w:pPr>
      <w:r>
        <w:rPr>
          <w:rFonts w:ascii="Arial" w:cs="Arial" w:eastAsia="Arial" w:hAnsi="Arial"/>
          <w:sz w:val="18"/>
          <w:szCs w:val="18"/>
          <w:color w:val="auto"/>
        </w:rPr>
        <w:t xml:space="preserve">for which the Required Lenders or Majority Facility Lenders under such Facility, as applicable, have consented or (iii) fails to give its consent to an extension of the Termination Date to which the Majority Facility Lenders under such Facility have consented, (b) in the case of any Multicurrency Lender or L/C Tranche Lender that fails to give its consent to the addition of a new Optional Currency to which the Majority Facility Lenders under such Facility have consented, to reallocate such Lender’s Multicurrency Commitment or L/C Tranche Commitment, as applicable, to a Domestic Commitment pursuant to Section 2.11(b) (regardless of whether the amount of such Commitment is less than the minimum amount required under such section) and (c) in the case of any Multicurrency Lender or L/C Tranche Lender that fails to give its consent to the addition of a new Borrower pursuant to Section 10.1(d)(i) to which the Administrative Agent has agreed, to reallocate such Lender’s Multicurrency Commitment or L/C Tranche Commitment, as applicable, to a Domestic Commitment pursuant to Section 2.11(b) (regardless of whether the amount of such Commitment is less than the minimum amount required under such section);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7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010000"/>
        </w:rPr>
        <w:t>2.25</w:t>
      </w:r>
      <w:r>
        <w:rPr>
          <w:sz w:val="20"/>
          <w:szCs w:val="20"/>
          <w:color w:val="auto"/>
        </w:rPr>
        <w:tab/>
      </w:r>
      <w:r>
        <w:rPr>
          <w:rFonts w:ascii="Arial" w:cs="Arial" w:eastAsia="Arial" w:hAnsi="Arial"/>
          <w:sz w:val="18"/>
          <w:szCs w:val="18"/>
          <w:color w:val="auto"/>
        </w:rPr>
        <w:t>Defaulting Lender.</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Notwithstanding any provision of this Agreement to the contrary, if any Lender becomes a Defaulting Lender, then the following provisions shall apply for so long as such Lender is a Defaulting Lender:</w:t>
      </w:r>
    </w:p>
    <w:p>
      <w:pPr>
        <w:spacing w:after="0" w:line="177" w:lineRule="exact"/>
        <w:rPr>
          <w:sz w:val="20"/>
          <w:szCs w:val="20"/>
          <w:color w:val="auto"/>
        </w:rPr>
      </w:pPr>
    </w:p>
    <w:p>
      <w:pPr>
        <w:ind w:left="1740" w:hanging="436"/>
        <w:spacing w:after="0"/>
        <w:tabs>
          <w:tab w:leader="none" w:pos="174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Facility Fees, if any, shall cease to accrue on the unfunded Commitment of such Defaulting Lender pursuant to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2.10;</w:t>
      </w:r>
    </w:p>
    <w:p>
      <w:pPr>
        <w:spacing w:after="0" w:line="200" w:lineRule="exact"/>
        <w:rPr>
          <w:sz w:val="20"/>
          <w:szCs w:val="20"/>
          <w:color w:val="auto"/>
        </w:rPr>
      </w:pPr>
    </w:p>
    <w:p>
      <w:pPr>
        <w:jc w:val="both"/>
        <w:ind w:firstLine="1304"/>
        <w:spacing w:after="0" w:line="260" w:lineRule="auto"/>
        <w:tabs>
          <w:tab w:leader="none" w:pos="1738"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9"/>
          <w:szCs w:val="19"/>
          <w:u w:val="single" w:color="auto"/>
          <w:color w:val="auto"/>
        </w:rPr>
        <w:t>provided</w:t>
      </w:r>
      <w:r>
        <w:rPr>
          <w:rFonts w:ascii="Arial" w:cs="Arial" w:eastAsia="Arial" w:hAnsi="Arial"/>
          <w:sz w:val="19"/>
          <w:szCs w:val="19"/>
          <w:color w:val="auto"/>
        </w:rPr>
        <w:t>, that this clause (b) shall not apply in the case of an amendment, waiver or other modification that has the effect of (i) increasing the amount or extending the expiration date of all</w:t>
      </w:r>
    </w:p>
    <w:p>
      <w:pPr>
        <w:sectPr>
          <w:pgSz w:w="11900" w:h="16838" w:orient="portrait"/>
          <w:cols w:equalWidth="0" w:num="1">
            <w:col w:w="11240"/>
          </w:cols>
          <w:pgMar w:left="320" w:top="568" w:right="339" w:bottom="1440" w:gutter="0" w:footer="0" w:header="0"/>
        </w:sectPr>
      </w:pPr>
    </w:p>
    <w:bookmarkStart w:id="122" w:name="page123"/>
    <w:bookmarkEnd w:id="122"/>
    <w:p>
      <w:pPr>
        <w:spacing w:after="0" w:line="275" w:lineRule="auto"/>
        <w:rPr>
          <w:sz w:val="20"/>
          <w:szCs w:val="20"/>
          <w:color w:val="auto"/>
        </w:rPr>
      </w:pPr>
      <w:r>
        <w:rPr>
          <w:rFonts w:ascii="Arial" w:cs="Arial" w:eastAsia="Arial" w:hAnsi="Arial"/>
          <w:sz w:val="18"/>
          <w:szCs w:val="18"/>
          <w:color w:val="auto"/>
        </w:rPr>
        <w:t>or any portion of such Defaulting Lender’s Commitment or extending the final scheduled maturity date of any Loan held by such Defaulting Lender, (ii) forgiving or reducing any principal amount of any Loan or any Reimbursement Obligation owing to such Defaulting Lender, or</w:t>
      </w:r>
    </w:p>
    <w:p>
      <w:pPr>
        <w:spacing w:after="0" w:line="1" w:lineRule="exact"/>
        <w:rPr>
          <w:sz w:val="20"/>
          <w:szCs w:val="20"/>
          <w:color w:val="auto"/>
        </w:rPr>
      </w:pPr>
    </w:p>
    <w:p>
      <w:pPr>
        <w:jc w:val="both"/>
        <w:ind w:firstLine="8"/>
        <w:spacing w:after="0" w:line="260" w:lineRule="auto"/>
        <w:tabs>
          <w:tab w:leader="none" w:pos="369"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78" w:lineRule="exact"/>
        <w:rPr>
          <w:rFonts w:ascii="Arial" w:cs="Arial" w:eastAsia="Arial" w:hAnsi="Arial"/>
          <w:sz w:val="19"/>
          <w:szCs w:val="19"/>
          <w:color w:val="auto"/>
        </w:rPr>
      </w:pPr>
    </w:p>
    <w:p>
      <w:pPr>
        <w:ind w:left="1720" w:hanging="416"/>
        <w:spacing w:after="0"/>
        <w:tabs>
          <w:tab w:leader="none" w:pos="1720" w:val="left"/>
        </w:tabs>
        <w:numPr>
          <w:ilvl w:val="1"/>
          <w:numId w:val="60"/>
        </w:numPr>
        <w:rPr>
          <w:rFonts w:ascii="Arial" w:cs="Arial" w:eastAsia="Arial" w:hAnsi="Arial"/>
          <w:sz w:val="20"/>
          <w:szCs w:val="20"/>
          <w:color w:val="010000"/>
        </w:rPr>
      </w:pPr>
      <w:r>
        <w:rPr>
          <w:rFonts w:ascii="Arial" w:cs="Arial" w:eastAsia="Arial" w:hAnsi="Arial"/>
          <w:sz w:val="20"/>
          <w:szCs w:val="20"/>
          <w:color w:val="auto"/>
        </w:rPr>
        <w:t>if any L/C Obligations exist at the time any L/C Tranche Lender becomes a Defaulting Lender then:</w:t>
      </w:r>
    </w:p>
    <w:p>
      <w:pPr>
        <w:spacing w:after="0" w:line="216" w:lineRule="exact"/>
        <w:rPr>
          <w:sz w:val="20"/>
          <w:szCs w:val="20"/>
          <w:color w:val="auto"/>
        </w:rPr>
      </w:pPr>
    </w:p>
    <w:p>
      <w:pPr>
        <w:jc w:val="both"/>
        <w:ind w:firstLine="1304"/>
        <w:spacing w:after="0" w:line="244" w:lineRule="auto"/>
        <w:tabs>
          <w:tab w:leader="none" w:pos="1681"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 xml:space="preserve">so long as no Event of Default shall have occurred and be continuing at such time, all or any part of the L/C Obligations of such Defaulting Lender shall be reallocated among the L/C Tranche Lenders that are not Defaulting Lenders in accordance with their L/C Tranche Percentages (calculated without regard to such Defaulting Lender) but only to the extent the sum of all non-Defaulting Lenders’ L/C Tranche Extensions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L/C Obligations does not exceed the total of all L/C Tranche Lenders that are not Defaulting Lenders’ L/C Tranche Commitments;</w:t>
      </w:r>
    </w:p>
    <w:p>
      <w:pPr>
        <w:spacing w:after="0" w:line="194" w:lineRule="exact"/>
        <w:rPr>
          <w:rFonts w:ascii="Arial" w:cs="Arial" w:eastAsia="Arial" w:hAnsi="Arial"/>
          <w:sz w:val="20"/>
          <w:szCs w:val="20"/>
          <w:color w:val="010000"/>
        </w:rPr>
      </w:pPr>
    </w:p>
    <w:p>
      <w:pPr>
        <w:jc w:val="both"/>
        <w:ind w:firstLine="1304"/>
        <w:spacing w:after="0" w:line="257" w:lineRule="auto"/>
        <w:tabs>
          <w:tab w:leader="none" w:pos="1870"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 xml:space="preserve">if any reallocation described in clause (i) above cannot, or can only partially, be effected, the Company or any applicable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Arial" w:cs="Arial" w:eastAsia="Arial" w:hAnsi="Arial"/>
          <w:sz w:val="19"/>
          <w:szCs w:val="19"/>
          <w:u w:val="single" w:color="auto"/>
          <w:color w:val="auto"/>
        </w:rPr>
        <w:t>provided</w:t>
      </w:r>
      <w:r>
        <w:rPr>
          <w:rFonts w:ascii="Arial" w:cs="Arial" w:eastAsia="Arial" w:hAnsi="Arial"/>
          <w:sz w:val="19"/>
          <w:szCs w:val="19"/>
          <w:color w:val="auto"/>
        </w:rPr>
        <w:t>, that no Event of Default shall have then occurred and be continuing);</w:t>
      </w:r>
    </w:p>
    <w:p>
      <w:pPr>
        <w:spacing w:after="0" w:line="180" w:lineRule="exact"/>
        <w:rPr>
          <w:rFonts w:ascii="Arial" w:cs="Arial" w:eastAsia="Arial" w:hAnsi="Arial"/>
          <w:sz w:val="19"/>
          <w:szCs w:val="19"/>
          <w:color w:val="010000"/>
        </w:rPr>
      </w:pPr>
    </w:p>
    <w:p>
      <w:pPr>
        <w:jc w:val="both"/>
        <w:ind w:firstLine="1304"/>
        <w:spacing w:after="0" w:line="246" w:lineRule="auto"/>
        <w:tabs>
          <w:tab w:leader="none" w:pos="1844"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91" w:lineRule="exact"/>
        <w:rPr>
          <w:rFonts w:ascii="Arial" w:cs="Arial" w:eastAsia="Arial" w:hAnsi="Arial"/>
          <w:sz w:val="20"/>
          <w:szCs w:val="20"/>
          <w:color w:val="010000"/>
        </w:rPr>
      </w:pPr>
    </w:p>
    <w:p>
      <w:pPr>
        <w:jc w:val="both"/>
        <w:ind w:firstLine="1304"/>
        <w:spacing w:after="0" w:line="246" w:lineRule="auto"/>
        <w:tabs>
          <w:tab w:leader="none" w:pos="1806"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if the L/C Obligations of the Defaulting Lenders are reallocated pursuant to clause (i) above, then the fees payable to the non-Defaulting Lenders pursuant to Section 2.10 and Section 3.3, as applicable, shall be adjusted in accordance with such non-Defaulting Lenders’ L/C Tranche Percentages of the L/C Tranche Commitments calculated without regard to such Defaulting Lender’s L/C Tranche Percentage of the L/C Tranche Commitments; and</w:t>
      </w:r>
    </w:p>
    <w:p>
      <w:pPr>
        <w:spacing w:after="0" w:line="191" w:lineRule="exact"/>
        <w:rPr>
          <w:rFonts w:ascii="Arial" w:cs="Arial" w:eastAsia="Arial" w:hAnsi="Arial"/>
          <w:sz w:val="20"/>
          <w:szCs w:val="20"/>
          <w:color w:val="010000"/>
        </w:rPr>
      </w:pPr>
    </w:p>
    <w:p>
      <w:pPr>
        <w:jc w:val="both"/>
        <w:ind w:firstLine="1304"/>
        <w:spacing w:after="0" w:line="244" w:lineRule="auto"/>
        <w:tabs>
          <w:tab w:leader="none" w:pos="1765"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L/C Tranche Lender hereunder, all fees payable pursuant to the L/C Fee Letter with respect to such Defaulting Lender’s L/C Obligations shall be payable to the applicable Issuing Lender until and to the extent that such L/C Obligations are so reallocated and/or Collateralized; and</w:t>
      </w:r>
    </w:p>
    <w:p>
      <w:pPr>
        <w:spacing w:after="0" w:line="194" w:lineRule="exact"/>
        <w:rPr>
          <w:sz w:val="20"/>
          <w:szCs w:val="20"/>
          <w:color w:val="auto"/>
        </w:rPr>
      </w:pPr>
    </w:p>
    <w:p>
      <w:pPr>
        <w:ind w:right="20" w:firstLine="1304"/>
        <w:spacing w:after="0" w:line="260" w:lineRule="auto"/>
        <w:tabs>
          <w:tab w:leader="none" w:pos="1805"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no Issuing Lender shall be required to issue, renew, amend or increase any Letter of Credit, unless it is reasonably satisfied that the related exposure and such Defaulting Lender’s then</w:t>
      </w:r>
    </w:p>
    <w:p>
      <w:pPr>
        <w:sectPr>
          <w:pgSz w:w="11900" w:h="16838" w:orient="portrait"/>
          <w:cols w:equalWidth="0" w:num="1">
            <w:col w:w="11240"/>
          </w:cols>
          <w:pgMar w:left="320" w:top="568" w:right="3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19"/>
          <w:szCs w:val="19"/>
          <w:color w:val="auto"/>
        </w:rPr>
        <w:t>outstanding L/C Obligations will be 100% covered by the L/C Tranche Commitments of the L/C Tranche Lenders that are not Defaulting Lenders and/or Collateralized by the Company or any applicable Subsidiary Borrower in accordance with this Section 2.25 and participating interests in any newly issued or increased Letter of Credit shall be allocated among the L/C Tranche Lenders that are not Defaulting Lenders in a manner consistent with this Section 2.25 (and such Defaulting Lender shall not participate therein).</w:t>
      </w:r>
    </w:p>
    <w:p>
      <w:pPr>
        <w:spacing w:after="0" w:line="17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6"/>
          <w:szCs w:val="16"/>
          <w:color w:val="auto"/>
        </w:rPr>
        <w:t>If (i) either (x) a Lender Insolvency Event with respect to the parent company of any L/C Tranche Lender shall occur following the Closing Date or (y) the parent company of any L/C Tranche Lender shall become the subject of a Bail-In Action following the Closing Date and, in each case, for so long as such event shall continue or (ii) any L/C Tranche Lender has defaulted in fulfilling its obligations under one or more other agreements in which such L/C Tranche Lender commits to extend credit, no Issuing Lender shall be required to issue, amend or increase any Letter of Credit unless such Issuing Lender shall have entered into arrangements with the Company or such L/C Tranche Lender, satisfactory to such Issuing Lender, to defease any risk to it in respect of such L/C Tranche Lender hereunder.</w:t>
      </w:r>
    </w:p>
    <w:p>
      <w:pPr>
        <w:spacing w:after="0" w:line="14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In the event that an L/C Tranche Lender becomes a Defaulting Lender, the Administrative Agent shall give notice to the Company and each affected Issuing Lender stating that such L/C Tranche Lender has become a Defaulting Lender. In the event that each of the Administrative Agent, the Company, each relevant Subsidiary Borrower and each affected Issuing Lender agrees that such Defaulting Lender has adequately remedied all matters that caused such Defaulting Lender to be a Defaulting Lender, then the L/C Obligations of the L/C Tranche Lenders shall be readjusted to reflect the inclusion of such Defaulting Lender’s L/C Tranche Commitments and, on such date, such L/C Tranche Lender shall purchase at par such of the Loans and/or participations in the L/C Obligations of the other L/C Tranche Lenders as the Administrative Agent shall determine may be necessary in order for such L/C Tranche Lender to hold such L/C Tranche Loans and participations in the L/C Obligations in accordance with its L/C Tranche Percentage of the L/C Tranche Commitments.</w:t>
      </w:r>
    </w:p>
    <w:p>
      <w:pPr>
        <w:spacing w:after="0" w:line="16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010000"/>
        </w:rPr>
        <w:t xml:space="preserve">2.26 </w:t>
      </w:r>
      <w:r>
        <w:rPr>
          <w:rFonts w:ascii="Arial" w:cs="Arial" w:eastAsia="Arial" w:hAnsi="Arial"/>
          <w:sz w:val="18"/>
          <w:szCs w:val="18"/>
          <w:color w:val="000000"/>
        </w:rPr>
        <w:t>Reallocation of Payments for the Account of Defaulting Lenders. Any payment of principal, interest, fees or other</w:t>
      </w:r>
      <w:r>
        <w:rPr>
          <w:rFonts w:ascii="Arial" w:cs="Arial" w:eastAsia="Arial" w:hAnsi="Arial"/>
          <w:sz w:val="18"/>
          <w:szCs w:val="18"/>
          <w:color w:val="010000"/>
        </w:rPr>
        <w:t xml:space="preserve"> </w:t>
      </w:r>
      <w:r>
        <w:rPr>
          <w:rFonts w:ascii="Arial" w:cs="Arial" w:eastAsia="Arial" w:hAnsi="Arial"/>
          <w:sz w:val="18"/>
          <w:szCs w:val="18"/>
          <w:color w:val="000000"/>
        </w:rPr>
        <w:t xml:space="preserve">amounts received by the Administrative Agent or the Brazilian Administrative Agent, as applicable,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8"/>
          <w:szCs w:val="18"/>
          <w:u w:val="single" w:color="auto"/>
          <w:color w:val="000000"/>
        </w:rPr>
        <w:t>first</w:t>
      </w:r>
      <w:r>
        <w:rPr>
          <w:rFonts w:ascii="Arial" w:cs="Arial" w:eastAsia="Arial" w:hAnsi="Arial"/>
          <w:sz w:val="18"/>
          <w:szCs w:val="18"/>
          <w:color w:val="000000"/>
        </w:rPr>
        <w:t>, to the payment of any amounts owing by such Defaulting Lender to the Administrative Agent and the Brazilian Administrative Agent hereunder (</w:t>
      </w:r>
      <w:r>
        <w:rPr>
          <w:rFonts w:ascii="Arial" w:cs="Arial" w:eastAsia="Arial" w:hAnsi="Arial"/>
          <w:sz w:val="18"/>
          <w:szCs w:val="18"/>
          <w:u w:val="single" w:color="auto"/>
          <w:color w:val="000000"/>
        </w:rPr>
        <w:t>pro rata</w:t>
      </w:r>
      <w:r>
        <w:rPr>
          <w:rFonts w:ascii="Arial" w:cs="Arial" w:eastAsia="Arial" w:hAnsi="Arial"/>
          <w:sz w:val="18"/>
          <w:szCs w:val="18"/>
          <w:color w:val="000000"/>
        </w:rPr>
        <w:t xml:space="preserve"> in accordance with the amounts owed by such Defaulting Lender to the Administrative Agent and the Brazilian Administrative Agent); </w:t>
      </w:r>
      <w:r>
        <w:rPr>
          <w:rFonts w:ascii="Arial" w:cs="Arial" w:eastAsia="Arial" w:hAnsi="Arial"/>
          <w:sz w:val="18"/>
          <w:szCs w:val="18"/>
          <w:u w:val="single" w:color="auto"/>
          <w:color w:val="000000"/>
        </w:rPr>
        <w:t>second</w:t>
      </w:r>
      <w:r>
        <w:rPr>
          <w:rFonts w:ascii="Arial" w:cs="Arial" w:eastAsia="Arial" w:hAnsi="Arial"/>
          <w:sz w:val="18"/>
          <w:szCs w:val="18"/>
          <w:color w:val="000000"/>
        </w:rPr>
        <w:t xml:space="preserve">, in the case of the L/C Tranche Facility only, to the payment on a </w:t>
      </w:r>
      <w:r>
        <w:rPr>
          <w:rFonts w:ascii="Arial" w:cs="Arial" w:eastAsia="Arial" w:hAnsi="Arial"/>
          <w:sz w:val="18"/>
          <w:szCs w:val="18"/>
          <w:u w:val="single" w:color="auto"/>
          <w:color w:val="000000"/>
        </w:rPr>
        <w:t>pro rata</w:t>
      </w:r>
      <w:r>
        <w:rPr>
          <w:rFonts w:ascii="Arial" w:cs="Arial" w:eastAsia="Arial" w:hAnsi="Arial"/>
          <w:sz w:val="18"/>
          <w:szCs w:val="18"/>
          <w:color w:val="000000"/>
        </w:rPr>
        <w:t xml:space="preserve"> basis of any amounts owing by such Defaulting Lender to each Issuing Lender hereunder (</w:t>
      </w:r>
      <w:r>
        <w:rPr>
          <w:rFonts w:ascii="Arial" w:cs="Arial" w:eastAsia="Arial" w:hAnsi="Arial"/>
          <w:sz w:val="18"/>
          <w:szCs w:val="18"/>
          <w:u w:val="single" w:color="auto"/>
          <w:color w:val="000000"/>
        </w:rPr>
        <w:t>pro rata</w:t>
      </w:r>
      <w:r>
        <w:rPr>
          <w:rFonts w:ascii="Arial" w:cs="Arial" w:eastAsia="Arial" w:hAnsi="Arial"/>
          <w:sz w:val="18"/>
          <w:szCs w:val="18"/>
          <w:color w:val="000000"/>
        </w:rPr>
        <w:t xml:space="preserve"> to the Issuing Lenders in accordance with the amounts owed by such Defaulting Lender to each Issuing Lender); </w:t>
      </w:r>
      <w:r>
        <w:rPr>
          <w:rFonts w:ascii="Arial" w:cs="Arial" w:eastAsia="Arial" w:hAnsi="Arial"/>
          <w:sz w:val="18"/>
          <w:szCs w:val="18"/>
          <w:u w:val="single" w:color="auto"/>
          <w:color w:val="000000"/>
        </w:rPr>
        <w:t>third</w:t>
      </w:r>
      <w:r>
        <w:rPr>
          <w:rFonts w:ascii="Arial" w:cs="Arial" w:eastAsia="Arial" w:hAnsi="Arial"/>
          <w:sz w:val="18"/>
          <w:szCs w:val="18"/>
          <w:color w:val="000000"/>
        </w:rPr>
        <w:t xml:space="preserve">, in the case of the L/C Tranche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8"/>
          <w:szCs w:val="18"/>
          <w:u w:val="single" w:color="auto"/>
          <w:color w:val="000000"/>
        </w:rPr>
        <w:t>fourth</w:t>
      </w:r>
      <w:r>
        <w:rPr>
          <w:rFonts w:ascii="Arial" w:cs="Arial" w:eastAsia="Arial" w:hAnsi="Arial"/>
          <w:sz w:val="18"/>
          <w:szCs w:val="18"/>
          <w:color w:val="000000"/>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000000"/>
        </w:rPr>
        <w:t>fifth</w:t>
      </w:r>
      <w:r>
        <w:rPr>
          <w:rFonts w:ascii="Arial" w:cs="Arial" w:eastAsia="Arial" w:hAnsi="Arial"/>
          <w:sz w:val="18"/>
          <w:szCs w:val="18"/>
          <w:color w:val="000000"/>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8"/>
          <w:szCs w:val="18"/>
          <w:u w:val="single" w:color="auto"/>
          <w:color w:val="000000"/>
        </w:rPr>
        <w:t>sixth</w:t>
      </w:r>
      <w:r>
        <w:rPr>
          <w:rFonts w:ascii="Arial" w:cs="Arial" w:eastAsia="Arial" w:hAnsi="Arial"/>
          <w:sz w:val="18"/>
          <w:szCs w:val="18"/>
          <w:color w:val="000000"/>
        </w:rPr>
        <w:t>, to the payment of any amounts owing to the Lenders under such Facility and, in the case of the L/C Tranche Facility only, the Issuing Lenders, as a result of any judgment of a court of competent jurisdiction obtained by any Lender or any Issuing Lender against such Defaulting Lender as a result of such</w:t>
      </w:r>
    </w:p>
    <w:p>
      <w:pPr>
        <w:sectPr>
          <w:pgSz w:w="11900" w:h="16838" w:orient="portrait"/>
          <w:cols w:equalWidth="0" w:num="1">
            <w:col w:w="11240"/>
          </w:cols>
          <w:pgMar w:left="320" w:top="568" w:right="339" w:bottom="1440" w:gutter="0" w:footer="0" w:header="0"/>
        </w:sectPr>
      </w:pPr>
    </w:p>
    <w:bookmarkStart w:id="124" w:name="page125"/>
    <w:bookmarkEnd w:id="124"/>
    <w:p>
      <w:pPr>
        <w:jc w:val="both"/>
        <w:spacing w:after="0" w:line="271" w:lineRule="auto"/>
        <w:rPr>
          <w:sz w:val="20"/>
          <w:szCs w:val="20"/>
          <w:color w:val="auto"/>
        </w:rPr>
      </w:pPr>
      <w:r>
        <w:rPr>
          <w:rFonts w:ascii="Arial" w:cs="Arial" w:eastAsia="Arial" w:hAnsi="Arial"/>
          <w:sz w:val="18"/>
          <w:szCs w:val="18"/>
          <w:color w:val="auto"/>
        </w:rPr>
        <w:t xml:space="preserve">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2.26 shall be deemed paid to and redirected by such Defaulting Lender, and each Lender under the applicable Facility irrevocably consents hereto.</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010000"/>
        </w:rPr>
        <w:t xml:space="preserve">2.27 </w:t>
      </w:r>
      <w:r>
        <w:rPr>
          <w:rFonts w:ascii="Arial" w:cs="Arial" w:eastAsia="Arial" w:hAnsi="Arial"/>
          <w:sz w:val="18"/>
          <w:szCs w:val="18"/>
          <w:color w:val="000000"/>
        </w:rPr>
        <w:t>New Local Facilities. (a) The Company may at any time or from time to time after the Closing Date, by notice to the</w:t>
      </w:r>
      <w:r>
        <w:rPr>
          <w:rFonts w:ascii="Arial" w:cs="Arial" w:eastAsia="Arial" w:hAnsi="Arial"/>
          <w:sz w:val="18"/>
          <w:szCs w:val="18"/>
          <w:color w:val="010000"/>
        </w:rPr>
        <w:t xml:space="preserve"> </w:t>
      </w:r>
      <w:r>
        <w:rPr>
          <w:rFonts w:ascii="Arial" w:cs="Arial" w:eastAsia="Arial" w:hAnsi="Arial"/>
          <w:sz w:val="18"/>
          <w:szCs w:val="18"/>
          <w:color w:val="000000"/>
        </w:rPr>
        <w:t>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8"/>
          <w:szCs w:val="18"/>
          <w:u w:val="single" w:color="auto"/>
          <w:color w:val="000000"/>
        </w:rPr>
        <w:t>New</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Local Facility</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no Lender shall be required to make Extensions of Credit in excess of its Commitment then in effect, and (ii) after giving effect to any such New Local Facility, the Total Brazilian Extensions of Credit shall not exceed the Total Brazilian Commitments then in effect, the Total Domestic Extensions of Credit shall not exceed the Total Domestic Commitments then in effect, the Total L/C Tranche Extensions of Credit shall not exceed the Total L/C Tranche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2.27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8"/>
          <w:szCs w:val="18"/>
          <w:u w:val="single" w:color="auto"/>
          <w:color w:val="000000"/>
        </w:rPr>
        <w:t>New Local Facility Lender</w:t>
      </w:r>
      <w:r>
        <w:rPr>
          <w:rFonts w:ascii="Arial" w:cs="Arial" w:eastAsia="Arial" w:hAnsi="Arial"/>
          <w:sz w:val="18"/>
          <w:szCs w:val="18"/>
          <w:color w:val="000000"/>
        </w:rPr>
        <w:t>”) shall have such portion of their Commitment under such Facility designated to such New Local Facility on a pro rata basis in accordance with the aggregate Commitments of the other New Local Facility Lenders; provided, that no Lender may so reallocate its Commitments to a New Local Facility if such reallocation would result in amounts being payable by the Company or any Subsidiary Borrower under Section 2.20 or 2.21 unless such Lender changes its Applicable Lending Office to avoid such a result or the Company otherwise consents. The designation of Commitments to any New Local Facility shall be made pursuant to an amendment (each, a “</w:t>
      </w:r>
      <w:r>
        <w:rPr>
          <w:rFonts w:ascii="Arial" w:cs="Arial" w:eastAsia="Arial" w:hAnsi="Arial"/>
          <w:sz w:val="18"/>
          <w:szCs w:val="18"/>
          <w:u w:val="single" w:color="auto"/>
          <w:color w:val="000000"/>
        </w:rPr>
        <w:t>Local Facility Amendment</w:t>
      </w:r>
      <w:r>
        <w:rPr>
          <w:rFonts w:ascii="Arial" w:cs="Arial" w:eastAsia="Arial" w:hAnsi="Arial"/>
          <w:sz w:val="18"/>
          <w:szCs w:val="18"/>
          <w:color w:val="000000"/>
        </w:rPr>
        <w:t>”) to this Agreement and, as appropriate, the other Loan Documents, executed by the Loan Parties, the Administrative Agent and each New Local Facility Lender. Notwithstanding anything in this Section 2.27 to the contrary, no Lender shall be obligated to transfer any portion of its Commitments to a New Local Facility unless it so agrees.</w:t>
      </w:r>
    </w:p>
    <w:p>
      <w:pPr>
        <w:spacing w:after="0" w:line="200" w:lineRule="exact"/>
        <w:rPr>
          <w:sz w:val="20"/>
          <w:szCs w:val="20"/>
          <w:color w:val="auto"/>
        </w:rPr>
      </w:pPr>
    </w:p>
    <w:p>
      <w:pPr>
        <w:spacing w:after="0" w:line="210" w:lineRule="exact"/>
        <w:rPr>
          <w:sz w:val="20"/>
          <w:szCs w:val="20"/>
          <w:color w:val="auto"/>
        </w:rPr>
      </w:pPr>
    </w:p>
    <w:p>
      <w:pPr>
        <w:jc w:val="both"/>
        <w:ind w:firstLine="1304"/>
        <w:spacing w:after="0" w:line="250" w:lineRule="auto"/>
        <w:tabs>
          <w:tab w:leader="none" w:pos="1738"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w:t>
      </w:r>
    </w:p>
    <w:p>
      <w:pPr>
        <w:sectPr>
          <w:pgSz w:w="11900" w:h="16838" w:orient="portrait"/>
          <w:cols w:equalWidth="0" w:num="1">
            <w:col w:w="11240"/>
          </w:cols>
          <w:pgMar w:left="320" w:top="568" w:right="339" w:bottom="1440" w:gutter="0" w:footer="0" w:header="0"/>
        </w:sectPr>
      </w:pPr>
    </w:p>
    <w:bookmarkStart w:id="125" w:name="page126"/>
    <w:bookmarkEnd w:id="125"/>
    <w:p>
      <w:pPr>
        <w:jc w:val="both"/>
        <w:ind w:right="20"/>
        <w:spacing w:after="0" w:line="260" w:lineRule="auto"/>
        <w:rPr>
          <w:sz w:val="20"/>
          <w:szCs w:val="20"/>
          <w:color w:val="auto"/>
        </w:rPr>
      </w:pPr>
      <w:r>
        <w:rPr>
          <w:rFonts w:ascii="Arial" w:cs="Arial" w:eastAsia="Arial" w:hAnsi="Arial"/>
          <w:sz w:val="20"/>
          <w:szCs w:val="20"/>
          <w:color w:val="auto"/>
        </w:rPr>
        <w:t>of the Administrative Agent and the Company, to implement the provisions of this Section 2.27, a copy of which shall be made available to each Lender.</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010000"/>
        </w:rPr>
        <w:t xml:space="preserve">2.28 </w:t>
      </w:r>
      <w:r>
        <w:rPr>
          <w:rFonts w:ascii="Arial" w:cs="Arial" w:eastAsia="Arial" w:hAnsi="Arial"/>
          <w:sz w:val="18"/>
          <w:szCs w:val="18"/>
          <w:color w:val="000000"/>
        </w:rPr>
        <w:t>Incremental Commitments/Facilities. (a) The Company may from time to time notify the Administrative Agent that</w:t>
      </w:r>
      <w:r>
        <w:rPr>
          <w:rFonts w:ascii="Arial" w:cs="Arial" w:eastAsia="Arial" w:hAnsi="Arial"/>
          <w:sz w:val="18"/>
          <w:szCs w:val="18"/>
          <w:color w:val="010000"/>
        </w:rPr>
        <w:t xml:space="preserve"> </w:t>
      </w:r>
      <w:r>
        <w:rPr>
          <w:rFonts w:ascii="Arial" w:cs="Arial" w:eastAsia="Arial" w:hAnsi="Arial"/>
          <w:sz w:val="18"/>
          <w:szCs w:val="18"/>
          <w:color w:val="000000"/>
        </w:rPr>
        <w:t>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8"/>
          <w:szCs w:val="18"/>
          <w:u w:val="single" w:color="auto"/>
          <w:color w:val="000000"/>
        </w:rPr>
        <w:t>Commitment Increase</w:t>
      </w:r>
      <w:r>
        <w:rPr>
          <w:rFonts w:ascii="Arial" w:cs="Arial" w:eastAsia="Arial" w:hAnsi="Arial"/>
          <w:sz w:val="18"/>
          <w:szCs w:val="18"/>
          <w:color w:val="000000"/>
        </w:rPr>
        <w:t xml:space="preserve">”)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8"/>
          <w:szCs w:val="18"/>
          <w:u w:val="single" w:color="auto"/>
          <w:color w:val="000000"/>
        </w:rPr>
        <w:t>provided</w:t>
      </w:r>
      <w:r>
        <w:rPr>
          <w:rFonts w:ascii="Arial" w:cs="Arial" w:eastAsia="Arial" w:hAnsi="Arial"/>
          <w:sz w:val="18"/>
          <w:szCs w:val="18"/>
          <w:color w:val="000000"/>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5-Year Total Commitments then in effect (including, for the avoidance of doubt, any commitments under incremental facilities under the 5-Year Revolving Credit Agreement) and the aggregate amount of all Ancillary Commitments then in effect shall not exceed $18 billion.</w:t>
      </w:r>
    </w:p>
    <w:p>
      <w:pPr>
        <w:spacing w:after="0" w:line="174" w:lineRule="exact"/>
        <w:rPr>
          <w:sz w:val="20"/>
          <w:szCs w:val="20"/>
          <w:color w:val="auto"/>
        </w:rPr>
      </w:pPr>
    </w:p>
    <w:p>
      <w:pPr>
        <w:jc w:val="both"/>
        <w:ind w:firstLine="1304"/>
        <w:spacing w:after="0" w:line="243" w:lineRule="auto"/>
        <w:tabs>
          <w:tab w:leader="none" w:pos="1778" w:val="left"/>
        </w:tabs>
        <w:numPr>
          <w:ilvl w:val="0"/>
          <w:numId w:val="64"/>
        </w:numPr>
        <w:rPr>
          <w:rFonts w:ascii="Arial" w:cs="Arial" w:eastAsia="Arial" w:hAnsi="Arial"/>
          <w:sz w:val="20"/>
          <w:szCs w:val="20"/>
          <w:color w:val="010000"/>
        </w:rPr>
      </w:pPr>
      <w:r>
        <w:rPr>
          <w:rFonts w:ascii="Arial" w:cs="Arial" w:eastAsia="Arial" w:hAnsi="Arial"/>
          <w:sz w:val="20"/>
          <w:szCs w:val="20"/>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20"/>
          <w:szCs w:val="20"/>
          <w:u w:val="single" w:color="auto"/>
          <w:color w:val="auto"/>
        </w:rPr>
        <w:t>Incremental Loan</w:t>
      </w:r>
      <w:r>
        <w:rPr>
          <w:rFonts w:ascii="Arial" w:cs="Arial" w:eastAsia="Arial" w:hAnsi="Arial"/>
          <w:sz w:val="20"/>
          <w:szCs w:val="20"/>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2.28 shall be construed to obligate any Lender to execute an Incremental Loan Activation Notice.</w:t>
      </w:r>
    </w:p>
    <w:p>
      <w:pPr>
        <w:spacing w:after="0" w:line="192" w:lineRule="exact"/>
        <w:rPr>
          <w:rFonts w:ascii="Arial" w:cs="Arial" w:eastAsia="Arial" w:hAnsi="Arial"/>
          <w:sz w:val="20"/>
          <w:szCs w:val="20"/>
          <w:color w:val="010000"/>
        </w:rPr>
      </w:pPr>
    </w:p>
    <w:p>
      <w:pPr>
        <w:jc w:val="both"/>
        <w:ind w:firstLine="1304"/>
        <w:spacing w:after="0" w:line="256" w:lineRule="auto"/>
        <w:tabs>
          <w:tab w:leader="none" w:pos="1781"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On any Commitment Increase Date with respect to any Facility, in the event any Loans under such Facility are then outstanding, (i) each relevant Incremental Lender shall make available to the Administrative Agent (or the Brazilian Administrative Agent in the case of the Brazilian Facility) such amounts in immediately available funds as the Administrative Agent (or the Brazilian Administrative Agent in the case of the Brazilian Facility)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ectPr>
          <w:pgSz w:w="11900" w:h="16838" w:orient="portrait"/>
          <w:cols w:equalWidth="0" w:num="1">
            <w:col w:w="11240"/>
          </w:cols>
          <w:pgMar w:left="320" w:top="568" w:right="339" w:bottom="1440" w:gutter="0" w:footer="0" w:header="0"/>
        </w:sectPr>
      </w:pPr>
    </w:p>
    <w:bookmarkStart w:id="126" w:name="page127"/>
    <w:bookmarkEnd w:id="126"/>
    <w:p>
      <w:pPr>
        <w:jc w:val="both"/>
        <w:ind w:firstLine="1296"/>
        <w:spacing w:after="0" w:line="270" w:lineRule="auto"/>
        <w:rPr>
          <w:sz w:val="20"/>
          <w:szCs w:val="20"/>
          <w:color w:val="auto"/>
        </w:rPr>
      </w:pPr>
      <w:r>
        <w:rPr>
          <w:rFonts w:ascii="Arial" w:cs="Arial" w:eastAsia="Arial" w:hAnsi="Arial"/>
          <w:sz w:val="18"/>
          <w:szCs w:val="18"/>
          <w:color w:val="010000"/>
        </w:rPr>
        <w:t xml:space="preserve">2.29 </w:t>
      </w:r>
      <w:r>
        <w:rPr>
          <w:rFonts w:ascii="Arial" w:cs="Arial" w:eastAsia="Arial" w:hAnsi="Arial"/>
          <w:sz w:val="18"/>
          <w:szCs w:val="18"/>
          <w:color w:val="000000"/>
        </w:rPr>
        <w:t>Termination Date Extension. (a) The Company may at any time and from time to time, by notice to the Administrative</w:t>
      </w:r>
      <w:r>
        <w:rPr>
          <w:rFonts w:ascii="Arial" w:cs="Arial" w:eastAsia="Arial" w:hAnsi="Arial"/>
          <w:sz w:val="18"/>
          <w:szCs w:val="18"/>
          <w:color w:val="010000"/>
        </w:rPr>
        <w:t xml:space="preserve"> </w:t>
      </w:r>
      <w:r>
        <w:rPr>
          <w:rFonts w:ascii="Arial" w:cs="Arial" w:eastAsia="Arial" w:hAnsi="Arial"/>
          <w:sz w:val="18"/>
          <w:szCs w:val="18"/>
          <w:color w:val="000000"/>
        </w:rPr>
        <w:t xml:space="preserve">Agent and the Brazilian Administrative Agent, if applicable,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and the Brazilian Administrative Agent, if applicable, shall promptly notify each Lender thereof. Each Lender shall respond to such proposal in writing within 30 calendar days after the date of such proposal </w:t>
      </w:r>
      <w:r>
        <w:rPr>
          <w:rFonts w:ascii="Arial" w:cs="Arial" w:eastAsia="Arial" w:hAnsi="Arial"/>
          <w:sz w:val="18"/>
          <w:szCs w:val="18"/>
          <w:u w:val="single" w:color="auto"/>
          <w:color w:val="0000FF"/>
        </w:rPr>
        <w:t>(or, in the case of such proposal made to the Lenders on April 3, 2020 (the “Lender Proposal”), on or prior to the First Amendment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Effective Date)</w:t>
      </w:r>
      <w:r>
        <w:rPr>
          <w:rFonts w:ascii="Arial" w:cs="Arial" w:eastAsia="Arial" w:hAnsi="Arial"/>
          <w:sz w:val="18"/>
          <w:szCs w:val="18"/>
          <w:color w:val="0000FF"/>
        </w:rPr>
        <w:t xml:space="preserve"> </w:t>
      </w:r>
      <w:r>
        <w:rPr>
          <w:rFonts w:ascii="Arial" w:cs="Arial" w:eastAsia="Arial" w:hAnsi="Arial"/>
          <w:sz w:val="18"/>
          <w:szCs w:val="18"/>
          <w:color w:val="000000"/>
        </w:rPr>
        <w:t>and any failure of a Lender to respond within such period shall be deemed to be a rejection of such proposal</w:t>
      </w:r>
      <w:r>
        <w:rPr>
          <w:rFonts w:ascii="Arial" w:cs="Arial" w:eastAsia="Arial" w:hAnsi="Arial"/>
          <w:sz w:val="18"/>
          <w:szCs w:val="18"/>
          <w:u w:val="single" w:color="auto"/>
          <w:color w:val="0000FF"/>
        </w:rPr>
        <w:t>; provided that,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for the avoidance of doubt, any 2020 Non-Extending Lender may, with the consent of the Company and the Administrative Agent, choose to consent to the Lender Proposal after the First Amendment Effective Date and, on and after the date of such consents, such Lender shall be deemed a 2020 Extending Lender for all purposes hereunder and under the other Loan Documents</w:t>
      </w:r>
      <w:r>
        <w:rPr>
          <w:rFonts w:ascii="Arial" w:cs="Arial" w:eastAsia="Arial" w:hAnsi="Arial"/>
          <w:sz w:val="18"/>
          <w:szCs w:val="18"/>
          <w:color w:val="000000"/>
        </w:rPr>
        <w:t>. If any Lender consents to such proposal</w:t>
      </w:r>
      <w:r>
        <w:rPr>
          <w:rFonts w:ascii="Arial" w:cs="Arial" w:eastAsia="Arial" w:hAnsi="Arial"/>
          <w:sz w:val="18"/>
          <w:szCs w:val="18"/>
          <w:color w:val="0000FF"/>
        </w:rPr>
        <w:t xml:space="preserve"> </w:t>
      </w:r>
      <w:r>
        <w:rPr>
          <w:rFonts w:ascii="Arial" w:cs="Arial" w:eastAsia="Arial" w:hAnsi="Arial"/>
          <w:sz w:val="18"/>
          <w:szCs w:val="18"/>
          <w:color w:val="000000"/>
        </w:rPr>
        <w:t>(each such consenting Lender, an “</w:t>
      </w:r>
      <w:r>
        <w:rPr>
          <w:rFonts w:ascii="Arial" w:cs="Arial" w:eastAsia="Arial" w:hAnsi="Arial"/>
          <w:sz w:val="18"/>
          <w:szCs w:val="18"/>
          <w:u w:val="single" w:color="auto"/>
          <w:color w:val="000000"/>
        </w:rPr>
        <w:t>Extending Lender</w:t>
      </w:r>
      <w:r>
        <w:rPr>
          <w:rFonts w:ascii="Arial" w:cs="Arial" w:eastAsia="Arial" w:hAnsi="Arial"/>
          <w:sz w:val="18"/>
          <w:szCs w:val="18"/>
          <w:color w:val="000000"/>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2.29(b).</w:t>
      </w:r>
    </w:p>
    <w:p>
      <w:pPr>
        <w:spacing w:after="0" w:line="172" w:lineRule="exact"/>
        <w:rPr>
          <w:sz w:val="20"/>
          <w:szCs w:val="20"/>
          <w:color w:val="auto"/>
        </w:rPr>
      </w:pPr>
    </w:p>
    <w:p>
      <w:pPr>
        <w:jc w:val="both"/>
        <w:ind w:firstLine="1304"/>
        <w:spacing w:after="0" w:line="246" w:lineRule="auto"/>
        <w:tabs>
          <w:tab w:leader="none" w:pos="1751"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If any Lender does not consent to any extension request that becomes effective pursuant to Section 2.29(a) (each such Lender, a “</w:t>
      </w:r>
      <w:r>
        <w:rPr>
          <w:rFonts w:ascii="Arial" w:cs="Arial" w:eastAsia="Arial" w:hAnsi="Arial"/>
          <w:sz w:val="20"/>
          <w:szCs w:val="20"/>
          <w:u w:val="single" w:color="auto"/>
          <w:color w:val="auto"/>
        </w:rPr>
        <w:t>Non-Extending Lender</w:t>
      </w:r>
      <w:r>
        <w:rPr>
          <w:rFonts w:ascii="Arial" w:cs="Arial" w:eastAsia="Arial" w:hAnsi="Arial"/>
          <w:sz w:val="20"/>
          <w:szCs w:val="20"/>
          <w:color w:val="auto"/>
        </w:rPr>
        <w:t>”), then the Termination Date for such Non-Extending Lender shall remain unchanged from that applicable prior to the extension and the Commitments of each Non-Extending Lender and the existing Applicable Margins shall, subject to the terms of Section 2.18, continue in full force and effect.</w:t>
      </w:r>
    </w:p>
    <w:p>
      <w:pPr>
        <w:spacing w:after="0" w:line="191" w:lineRule="exact"/>
        <w:rPr>
          <w:rFonts w:ascii="Arial" w:cs="Arial" w:eastAsia="Arial" w:hAnsi="Arial"/>
          <w:sz w:val="20"/>
          <w:szCs w:val="20"/>
          <w:color w:val="010000"/>
        </w:rPr>
      </w:pPr>
    </w:p>
    <w:p>
      <w:pPr>
        <w:jc w:val="both"/>
        <w:ind w:firstLine="1304"/>
        <w:spacing w:after="0" w:line="244" w:lineRule="auto"/>
        <w:tabs>
          <w:tab w:leader="none" w:pos="1835"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2.29 without the consent of any Non-Extending Lender.</w:t>
      </w:r>
    </w:p>
    <w:p>
      <w:pPr>
        <w:spacing w:after="0" w:line="19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2.30 </w:t>
      </w:r>
      <w:r>
        <w:rPr>
          <w:rFonts w:ascii="Arial" w:cs="Arial" w:eastAsia="Arial" w:hAnsi="Arial"/>
          <w:sz w:val="20"/>
          <w:szCs w:val="20"/>
          <w:color w:val="000000"/>
        </w:rPr>
        <w:t>Ancillary Facilities. (a) Subject to compliance with the requirements set forth in this Section 2.30, the Company may</w:t>
      </w:r>
      <w:r>
        <w:rPr>
          <w:rFonts w:ascii="Arial" w:cs="Arial" w:eastAsia="Arial" w:hAnsi="Arial"/>
          <w:sz w:val="20"/>
          <w:szCs w:val="20"/>
          <w:color w:val="010000"/>
        </w:rPr>
        <w:t xml:space="preserve"> </w:t>
      </w:r>
      <w:r>
        <w:rPr>
          <w:rFonts w:ascii="Arial" w:cs="Arial" w:eastAsia="Arial" w:hAnsi="Arial"/>
          <w:sz w:val="20"/>
          <w:szCs w:val="20"/>
          <w:color w:val="000000"/>
        </w:rPr>
        <w:t>request from time to time (but in any event prior to the Termination Date for the applicable Multicurrency Lenders in respect of the Multicurrency Facility) and any Multicurrency Lender may agree (in its sole discretion) to establish an Ancillary Facility on a bilateral basis to be made available to any Loan Party or any Foreign Subsidiary (each such Loan Party or Foreign Subsidiary in such capacity, an “</w:t>
      </w:r>
      <w:r>
        <w:rPr>
          <w:rFonts w:ascii="Arial" w:cs="Arial" w:eastAsia="Arial" w:hAnsi="Arial"/>
          <w:sz w:val="20"/>
          <w:szCs w:val="20"/>
          <w:u w:val="single" w:color="auto"/>
          <w:color w:val="000000"/>
        </w:rPr>
        <w:t>Ancillary Borrower</w:t>
      </w:r>
      <w:r>
        <w:rPr>
          <w:rFonts w:ascii="Arial" w:cs="Arial" w:eastAsia="Arial" w:hAnsi="Arial"/>
          <w:sz w:val="20"/>
          <w:szCs w:val="20"/>
          <w:color w:val="000000"/>
        </w:rPr>
        <w:t>”) by conversion of such Lender’s unutilized Multicurrency Commitments (or part thereof) into an Ancillary Commitment (and a corresponding reduction of such Lender’s Multicurrency Commitments then in effect by an amount equal to such Ancillary Commitment).</w:t>
      </w:r>
    </w:p>
    <w:p>
      <w:pPr>
        <w:spacing w:after="0" w:line="193" w:lineRule="exact"/>
        <w:rPr>
          <w:sz w:val="20"/>
          <w:szCs w:val="20"/>
          <w:color w:val="auto"/>
        </w:rPr>
      </w:pPr>
    </w:p>
    <w:p>
      <w:pPr>
        <w:jc w:val="both"/>
        <w:ind w:firstLine="1304"/>
        <w:spacing w:after="0" w:line="250" w:lineRule="auto"/>
        <w:tabs>
          <w:tab w:leader="none" w:pos="1738"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To request the creation of an Ancillary Facility, the Company and the applicable Ancillary Borrower(s) shall deliver to the Administrative Agent not later than 3 Business Days (or such shorter period agreed to by the Administrative Agent) prior to the Ancillary Commencement Date for such Ancillary Facility:</w:t>
      </w:r>
    </w:p>
    <w:p>
      <w:pPr>
        <w:spacing w:after="0" w:line="186" w:lineRule="exact"/>
        <w:rPr>
          <w:sz w:val="20"/>
          <w:szCs w:val="20"/>
          <w:color w:val="auto"/>
        </w:rPr>
      </w:pPr>
    </w:p>
    <w:p>
      <w:pPr>
        <w:ind w:left="1680" w:hanging="376"/>
        <w:spacing w:after="0"/>
        <w:tabs>
          <w:tab w:leader="none" w:pos="1680"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a notice in writing specifying:</w:t>
      </w:r>
    </w:p>
    <w:p>
      <w:pPr>
        <w:spacing w:after="0" w:line="215" w:lineRule="exact"/>
        <w:rPr>
          <w:rFonts w:ascii="Arial" w:cs="Arial" w:eastAsia="Arial" w:hAnsi="Arial"/>
          <w:sz w:val="20"/>
          <w:szCs w:val="20"/>
          <w:color w:val="010000"/>
        </w:rPr>
      </w:pPr>
    </w:p>
    <w:p>
      <w:pPr>
        <w:ind w:left="2420" w:hanging="468"/>
        <w:spacing w:after="0"/>
        <w:tabs>
          <w:tab w:leader="none" w:pos="2420" w:val="left"/>
        </w:tabs>
        <w:numPr>
          <w:ilvl w:val="1"/>
          <w:numId w:val="67"/>
        </w:numPr>
        <w:rPr>
          <w:rFonts w:ascii="Arial" w:cs="Arial" w:eastAsia="Arial" w:hAnsi="Arial"/>
          <w:sz w:val="20"/>
          <w:szCs w:val="20"/>
          <w:color w:val="010000"/>
        </w:rPr>
      </w:pPr>
      <w:r>
        <w:rPr>
          <w:rFonts w:ascii="Arial" w:cs="Arial" w:eastAsia="Arial" w:hAnsi="Arial"/>
          <w:sz w:val="20"/>
          <w:szCs w:val="20"/>
          <w:color w:val="auto"/>
        </w:rPr>
        <w:t>the Ancillary Borrower(s) to which extensions of credit will be made available thereunder;</w:t>
      </w:r>
    </w:p>
    <w:p>
      <w:pPr>
        <w:sectPr>
          <w:pgSz w:w="11900" w:h="16838" w:orient="portrait"/>
          <w:cols w:equalWidth="0" w:num="1">
            <w:col w:w="11240"/>
          </w:cols>
          <w:pgMar w:left="320" w:top="568" w:right="339" w:bottom="1440" w:gutter="0" w:footer="0" w:header="0"/>
        </w:sectPr>
      </w:pPr>
    </w:p>
    <w:bookmarkStart w:id="127" w:name="page128"/>
    <w:bookmarkEnd w:id="127"/>
    <w:p>
      <w:pPr>
        <w:ind w:left="1300" w:right="20" w:firstLine="652"/>
        <w:spacing w:after="0" w:line="260" w:lineRule="auto"/>
        <w:tabs>
          <w:tab w:leader="none" w:pos="2410"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the proposed Ancillary Commencement Date and the expiration date of such Ancillary Facility (which shall be no later than the Termination Date for the applicable Lenders under the Multicurrency Facility);</w:t>
      </w:r>
    </w:p>
    <w:p>
      <w:pPr>
        <w:spacing w:after="0" w:line="176" w:lineRule="exact"/>
        <w:rPr>
          <w:rFonts w:ascii="Arial" w:cs="Arial" w:eastAsia="Arial" w:hAnsi="Arial"/>
          <w:sz w:val="20"/>
          <w:szCs w:val="20"/>
          <w:color w:val="010000"/>
        </w:rPr>
      </w:pPr>
    </w:p>
    <w:p>
      <w:pPr>
        <w:ind w:left="1300" w:right="20" w:firstLine="652"/>
        <w:spacing w:after="0" w:line="260" w:lineRule="auto"/>
        <w:tabs>
          <w:tab w:leader="none" w:pos="2423"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the type of Ancillary Facility being provided (with such type being specified based on the applicable clause of the definition of “Ancillary Facility”);</w:t>
      </w:r>
    </w:p>
    <w:p>
      <w:pPr>
        <w:spacing w:after="0" w:line="176" w:lineRule="exact"/>
        <w:rPr>
          <w:rFonts w:ascii="Arial" w:cs="Arial" w:eastAsia="Arial" w:hAnsi="Arial"/>
          <w:sz w:val="20"/>
          <w:szCs w:val="20"/>
          <w:color w:val="010000"/>
        </w:rPr>
      </w:pPr>
    </w:p>
    <w:p>
      <w:pPr>
        <w:ind w:left="2420" w:hanging="468"/>
        <w:spacing w:after="0"/>
        <w:tabs>
          <w:tab w:leader="none" w:pos="2420"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the identity of the Ancillary Lender(s);</w:t>
      </w:r>
    </w:p>
    <w:p>
      <w:pPr>
        <w:spacing w:after="0" w:line="215" w:lineRule="exact"/>
        <w:rPr>
          <w:rFonts w:ascii="Arial" w:cs="Arial" w:eastAsia="Arial" w:hAnsi="Arial"/>
          <w:sz w:val="20"/>
          <w:szCs w:val="20"/>
          <w:color w:val="010000"/>
        </w:rPr>
      </w:pPr>
    </w:p>
    <w:p>
      <w:pPr>
        <w:jc w:val="both"/>
        <w:ind w:left="1300" w:firstLine="652"/>
        <w:spacing w:after="0" w:line="246" w:lineRule="auto"/>
        <w:tabs>
          <w:tab w:leader="none" w:pos="2452"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the amount and currency of the proposed Ancillary Commitment with respect to such Ancillary Facility (the Dollar Equivalent of which on the Ancillary Commencement Date shall not exceed such Ancillary Lender’s Available Multicurrency Commitment (determined prior to giving effect to such Ancillary Commitment but after giving effect to any other Ancillary Commitments of such Lender)); and</w:t>
      </w:r>
    </w:p>
    <w:p>
      <w:pPr>
        <w:spacing w:after="0" w:line="191" w:lineRule="exact"/>
        <w:rPr>
          <w:rFonts w:ascii="Arial" w:cs="Arial" w:eastAsia="Arial" w:hAnsi="Arial"/>
          <w:sz w:val="20"/>
          <w:szCs w:val="20"/>
          <w:color w:val="010000"/>
        </w:rPr>
      </w:pPr>
    </w:p>
    <w:p>
      <w:pPr>
        <w:ind w:left="1740" w:hanging="436"/>
        <w:spacing w:after="0"/>
        <w:tabs>
          <w:tab w:leader="none" w:pos="1740" w:val="left"/>
        </w:tabs>
        <w:numPr>
          <w:ilvl w:val="0"/>
          <w:numId w:val="69"/>
        </w:numPr>
        <w:rPr>
          <w:rFonts w:ascii="Arial" w:cs="Arial" w:eastAsia="Arial" w:hAnsi="Arial"/>
          <w:sz w:val="20"/>
          <w:szCs w:val="20"/>
          <w:color w:val="010000"/>
        </w:rPr>
      </w:pPr>
      <w:r>
        <w:rPr>
          <w:rFonts w:ascii="Arial" w:cs="Arial" w:eastAsia="Arial" w:hAnsi="Arial"/>
          <w:sz w:val="20"/>
          <w:szCs w:val="20"/>
          <w:color w:val="auto"/>
        </w:rPr>
        <w:t>a copy of the Ancillary Facility Document with respect to such Ancillary Facility; and</w:t>
      </w:r>
    </w:p>
    <w:p>
      <w:pPr>
        <w:spacing w:after="0" w:line="215" w:lineRule="exact"/>
        <w:rPr>
          <w:rFonts w:ascii="Arial" w:cs="Arial" w:eastAsia="Arial" w:hAnsi="Arial"/>
          <w:sz w:val="20"/>
          <w:szCs w:val="20"/>
          <w:color w:val="010000"/>
        </w:rPr>
      </w:pPr>
    </w:p>
    <w:p>
      <w:pPr>
        <w:ind w:left="1920" w:hanging="616"/>
        <w:spacing w:after="0"/>
        <w:tabs>
          <w:tab w:leader="none" w:pos="1920"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such other information that the Administrative Agent may reasonably request in connection with such Ancillary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Facility.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Administrative Agent shall give notice to each Lender with Multicurrency Commitments of such Ancillary Facility notice.</w:t>
      </w:r>
    </w:p>
    <w:p>
      <w:pPr>
        <w:spacing w:after="0" w:line="216" w:lineRule="exact"/>
        <w:rPr>
          <w:sz w:val="20"/>
          <w:szCs w:val="20"/>
          <w:color w:val="auto"/>
        </w:rPr>
      </w:pPr>
    </w:p>
    <w:p>
      <w:pPr>
        <w:jc w:val="both"/>
        <w:ind w:firstLine="1304"/>
        <w:spacing w:after="0" w:line="243" w:lineRule="auto"/>
        <w:tabs>
          <w:tab w:leader="none" w:pos="1727" w:val="left"/>
        </w:tabs>
        <w:numPr>
          <w:ilvl w:val="0"/>
          <w:numId w:val="70"/>
        </w:numPr>
        <w:rPr>
          <w:rFonts w:ascii="Arial" w:cs="Arial" w:eastAsia="Arial" w:hAnsi="Arial"/>
          <w:sz w:val="20"/>
          <w:szCs w:val="20"/>
          <w:color w:val="010000"/>
        </w:rPr>
      </w:pPr>
      <w:r>
        <w:rPr>
          <w:rFonts w:ascii="Arial" w:cs="Arial" w:eastAsia="Arial" w:hAnsi="Arial"/>
          <w:sz w:val="20"/>
          <w:szCs w:val="20"/>
          <w:color w:val="auto"/>
        </w:rPr>
        <w:t>(i) Subject to the terms of this Agreement, an affiliate of any Lender may become an Ancillary Lender, in which case such Lender and such affiliate shall be treated as a single Lender whose Multicurrency Commitments are as set forth in Schedule 1.1A or in the Assignment and Assumption pursuant to which such Lender assumed its applicable Multicurrency Commitment, as the same may be modified in accordance with the definition of “Multicurrency Commitment”; it being understood that the relevant Lender’s Multicurrency Commitment will be reduced by the amount of the Ancillary Commitment of such Lender or such affiliate for so long as such Ancillary Commitments remain outstanding.</w:t>
      </w:r>
    </w:p>
    <w:p>
      <w:pPr>
        <w:spacing w:after="0" w:line="196" w:lineRule="exact"/>
        <w:rPr>
          <w:sz w:val="20"/>
          <w:szCs w:val="20"/>
          <w:color w:val="auto"/>
        </w:rPr>
      </w:pPr>
    </w:p>
    <w:p>
      <w:pPr>
        <w:jc w:val="both"/>
        <w:ind w:firstLine="1304"/>
        <w:spacing w:after="0" w:line="250" w:lineRule="auto"/>
        <w:tabs>
          <w:tab w:leader="none" w:pos="1789"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to the extent that this Agreement or any other Loan Document imposes any obligation on any Ancillary Lender and such Ancillary Lender is an affiliate of a Lender and not a party hereto or thereto, the relevant Lender shall ensure that such obligation is performed by such affiliate in compliance with the terms hereof or such other Loan Document.</w:t>
      </w:r>
    </w:p>
    <w:p>
      <w:pPr>
        <w:spacing w:after="0" w:line="185" w:lineRule="exact"/>
        <w:rPr>
          <w:rFonts w:ascii="Arial" w:cs="Arial" w:eastAsia="Arial" w:hAnsi="Arial"/>
          <w:sz w:val="20"/>
          <w:szCs w:val="20"/>
          <w:color w:val="010000"/>
        </w:rPr>
      </w:pPr>
    </w:p>
    <w:p>
      <w:pPr>
        <w:ind w:left="1840" w:hanging="536"/>
        <w:spacing w:after="0"/>
        <w:tabs>
          <w:tab w:leader="none" w:pos="1840"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Each Ancillary Lender, in its capacity as such, hereby appoints the Administrative Agent as its agent for purposes of</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the Loan Documents.</w:t>
      </w:r>
    </w:p>
    <w:p>
      <w:pPr>
        <w:spacing w:after="0" w:line="200" w:lineRule="exact"/>
        <w:rPr>
          <w:sz w:val="20"/>
          <w:szCs w:val="20"/>
          <w:color w:val="auto"/>
        </w:rPr>
      </w:pPr>
    </w:p>
    <w:p>
      <w:pPr>
        <w:jc w:val="both"/>
        <w:ind w:firstLine="1304"/>
        <w:spacing w:after="0" w:line="273" w:lineRule="auto"/>
        <w:tabs>
          <w:tab w:leader="none" w:pos="1751"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 xml:space="preserve">(i) Each Ancillary Facility shall contain terms and conditions acceptable to the applicable Ancillary Lender(s) and the applicable Ancillary Borrower(s)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such terms shall, in the reasonable business judgment of the Company, be based upon normal commercial terms at the time of the creation of such Ancillary Facility pursuant to paragraph (b) of this Section 2.30 and such terms shall at all times (A) permit extensions of credit thereunder to be made only to the applicable Ancillary Borrower(s); (B) provide that the Ancillary Commitment of any Ancillary Lender under such Ancillary Facility shall not exceed such Ancillary Lender’s Available Multicurrency Commitment as of the Ancillary Commencement Date (determined without giving effect to any reduction pursuant to the definition thereof by the amount of such Ancillary Lender’s Ancillary Commitment in relation to such Ancillary Facility) and that, in the event and on such occasion that such Ancillary Commitment exceeds such Available Multicurrency</w:t>
      </w:r>
    </w:p>
    <w:p>
      <w:pPr>
        <w:sectPr>
          <w:pgSz w:w="11900" w:h="16838" w:orient="portrait"/>
          <w:cols w:equalWidth="0" w:num="1">
            <w:col w:w="11240"/>
          </w:cols>
          <w:pgMar w:left="320" w:top="568" w:right="339" w:bottom="1440" w:gutter="0" w:footer="0" w:header="0"/>
        </w:sectPr>
      </w:pPr>
    </w:p>
    <w:bookmarkStart w:id="128" w:name="page129"/>
    <w:bookmarkEnd w:id="128"/>
    <w:p>
      <w:pPr>
        <w:jc w:val="both"/>
        <w:spacing w:after="0" w:line="269" w:lineRule="auto"/>
        <w:rPr>
          <w:sz w:val="20"/>
          <w:szCs w:val="20"/>
          <w:color w:val="auto"/>
        </w:rPr>
      </w:pPr>
      <w:r>
        <w:rPr>
          <w:rFonts w:ascii="Arial" w:cs="Arial" w:eastAsia="Arial" w:hAnsi="Arial"/>
          <w:sz w:val="18"/>
          <w:szCs w:val="18"/>
          <w:color w:val="auto"/>
        </w:rPr>
        <w:t>Commitment (determined as of the Ancillary Commencement Date and without giving effect to any reduction pursuant to the definition thereof by the amount of such Ancillary Lender’s Ancillary Commitment in relation to such Ancillary Facility but after giving effect to any other Ancillary Commitments of such Lender), such Ancillary Commitment shall be automatically reduced by the amount of such excess; (C) provide that the Ancillary Facility Outstandings shall not exceed the Ancillary Commitment with respect to such Ancillary Facility, (D) provide that the Ancillary Commitment under such Ancillary Facility be canceled, and that all Ancillary Facility Outstandings under such Ancillary Facility be repaid, not later than the Termination Date for the applicable Ancillary Lenders under the Multicurrency Facility (or such earlier date as the Multicurrency Commitment of the relevant Ancillary Lender (or its affiliate) is reduced to zero) unless cash collateralized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and,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 and (E) provide that the conditions set forth in Section 5.2 shall be conditions to each extension of credit under such Ancillary Facility (in each case to the extent applicable).</w:t>
      </w:r>
    </w:p>
    <w:p>
      <w:pPr>
        <w:spacing w:after="0" w:line="179" w:lineRule="exact"/>
        <w:rPr>
          <w:sz w:val="20"/>
          <w:szCs w:val="20"/>
          <w:color w:val="auto"/>
        </w:rPr>
      </w:pPr>
    </w:p>
    <w:p>
      <w:pPr>
        <w:jc w:val="both"/>
        <w:ind w:firstLine="1304"/>
        <w:spacing w:after="0" w:line="260" w:lineRule="auto"/>
        <w:tabs>
          <w:tab w:leader="none" w:pos="1762"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On the relevant Ancillary Commencement Date after giving effect to the reduction of the Multicurrency Commitment of each Ancillary Lender, each Multicurrency Lender will participate in the outstanding Multicurrency Loans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w:t>
      </w:r>
    </w:p>
    <w:p>
      <w:pPr>
        <w:spacing w:after="0" w:line="180" w:lineRule="exact"/>
        <w:rPr>
          <w:sz w:val="20"/>
          <w:szCs w:val="20"/>
          <w:color w:val="auto"/>
        </w:rPr>
      </w:pPr>
    </w:p>
    <w:p>
      <w:pPr>
        <w:jc w:val="both"/>
        <w:ind w:firstLine="1304"/>
        <w:spacing w:after="0" w:line="243" w:lineRule="auto"/>
        <w:tabs>
          <w:tab w:leader="none" w:pos="1781" w:val="left"/>
        </w:tabs>
        <w:numPr>
          <w:ilvl w:val="0"/>
          <w:numId w:val="74"/>
        </w:numPr>
        <w:rPr>
          <w:rFonts w:ascii="Arial" w:cs="Arial" w:eastAsia="Arial" w:hAnsi="Arial"/>
          <w:sz w:val="20"/>
          <w:szCs w:val="20"/>
          <w:color w:val="010000"/>
        </w:rPr>
      </w:pPr>
      <w:r>
        <w:rPr>
          <w:rFonts w:ascii="Arial" w:cs="Arial" w:eastAsia="Arial" w:hAnsi="Arial"/>
          <w:sz w:val="20"/>
          <w:szCs w:val="20"/>
          <w:color w:val="auto"/>
        </w:rPr>
        <w:t>(i) An Ancillary Facility shall terminate on the Termination Date for the applicable Ancillary Lender(s) under the Multicurrency Facility (or later if cash collateral arrangements are made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or such earlier date (A) as provided in the relevant Ancillary Facility Document or (B) on which its expiry date occurs or on which it is cancelled in accordance with the terms of this Agreement.</w:t>
      </w:r>
    </w:p>
    <w:p>
      <w:pPr>
        <w:spacing w:after="0" w:line="196" w:lineRule="exact"/>
        <w:rPr>
          <w:sz w:val="20"/>
          <w:szCs w:val="20"/>
          <w:color w:val="auto"/>
        </w:rPr>
      </w:pPr>
    </w:p>
    <w:p>
      <w:pPr>
        <w:jc w:val="both"/>
        <w:ind w:firstLine="1304"/>
        <w:spacing w:after="0" w:line="269" w:lineRule="auto"/>
        <w:tabs>
          <w:tab w:leader="none" w:pos="1735"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If an Ancillary Facility expires or is otherwise cancelled in accordance with its terms, the Ancillary Commitment of the Ancillary Lender(s) shall be reduced to zero and the Multicurrency Commitment of those Ancillary Lender(s) (or their respective affiliates) then in effect shall be increased by the amount of such Lender’s expired Ancillary Commitment.</w:t>
      </w:r>
    </w:p>
    <w:p>
      <w:pPr>
        <w:spacing w:after="0" w:line="169" w:lineRule="exact"/>
        <w:rPr>
          <w:rFonts w:ascii="Arial" w:cs="Arial" w:eastAsia="Arial" w:hAnsi="Arial"/>
          <w:sz w:val="19"/>
          <w:szCs w:val="19"/>
          <w:color w:val="010000"/>
        </w:rPr>
      </w:pPr>
    </w:p>
    <w:p>
      <w:pPr>
        <w:jc w:val="both"/>
        <w:ind w:firstLine="1304"/>
        <w:spacing w:after="0" w:line="250" w:lineRule="auto"/>
        <w:tabs>
          <w:tab w:leader="none" w:pos="1871" w:val="left"/>
        </w:tabs>
        <w:numPr>
          <w:ilvl w:val="0"/>
          <w:numId w:val="75"/>
        </w:numPr>
        <w:rPr>
          <w:rFonts w:ascii="Arial" w:cs="Arial" w:eastAsia="Arial" w:hAnsi="Arial"/>
          <w:sz w:val="20"/>
          <w:szCs w:val="20"/>
          <w:color w:val="010000"/>
        </w:rPr>
      </w:pPr>
      <w:r>
        <w:rPr>
          <w:rFonts w:ascii="Arial" w:cs="Arial" w:eastAsia="Arial" w:hAnsi="Arial"/>
          <w:sz w:val="20"/>
          <w:szCs w:val="20"/>
          <w:color w:val="auto"/>
        </w:rPr>
        <w:t>No Ancillary Lender may demand repayment or prepayment of, or cash collateralization of, any Ancillary Facility Outstandings prior to the expiry date of the relevant Ancillary Facility unless it gives the Company and the relevant Ancillary Borrower(s) not less than 3 Business Days’ notice and:</w:t>
      </w:r>
    </w:p>
    <w:p>
      <w:pPr>
        <w:spacing w:after="0" w:line="185" w:lineRule="exact"/>
        <w:rPr>
          <w:rFonts w:ascii="Arial" w:cs="Arial" w:eastAsia="Arial" w:hAnsi="Arial"/>
          <w:sz w:val="20"/>
          <w:szCs w:val="20"/>
          <w:color w:val="010000"/>
        </w:rPr>
      </w:pPr>
    </w:p>
    <w:p>
      <w:pPr>
        <w:ind w:left="2420" w:hanging="468"/>
        <w:spacing w:after="0"/>
        <w:tabs>
          <w:tab w:leader="none" w:pos="2420" w:val="left"/>
        </w:tabs>
        <w:numPr>
          <w:ilvl w:val="1"/>
          <w:numId w:val="75"/>
        </w:numPr>
        <w:rPr>
          <w:rFonts w:ascii="Arial" w:cs="Arial" w:eastAsia="Arial" w:hAnsi="Arial"/>
          <w:sz w:val="20"/>
          <w:szCs w:val="20"/>
          <w:color w:val="010000"/>
        </w:rPr>
      </w:pPr>
      <w:r>
        <w:rPr>
          <w:rFonts w:ascii="Arial" w:cs="Arial" w:eastAsia="Arial" w:hAnsi="Arial"/>
          <w:sz w:val="20"/>
          <w:szCs w:val="20"/>
          <w:color w:val="auto"/>
        </w:rPr>
        <w:t>the Termination Date for the applicable Lender(s) under the Multicurrency Facility has occurred;</w:t>
      </w:r>
    </w:p>
    <w:p>
      <w:pPr>
        <w:sectPr>
          <w:pgSz w:w="11900" w:h="16838" w:orient="portrait"/>
          <w:cols w:equalWidth="0" w:num="1">
            <w:col w:w="11240"/>
          </w:cols>
          <w:pgMar w:left="320" w:top="568" w:right="339" w:bottom="1440" w:gutter="0" w:footer="0" w:header="0"/>
        </w:sectPr>
      </w:pPr>
    </w:p>
    <w:bookmarkStart w:id="129" w:name="page130"/>
    <w:bookmarkEnd w:id="129"/>
    <w:p>
      <w:pPr>
        <w:jc w:val="both"/>
        <w:ind w:left="180" w:firstLine="652"/>
        <w:spacing w:after="0" w:line="250" w:lineRule="auto"/>
        <w:tabs>
          <w:tab w:leader="none" w:pos="1560" w:val="left"/>
        </w:tabs>
        <w:numPr>
          <w:ilvl w:val="1"/>
          <w:numId w:val="76"/>
        </w:numPr>
        <w:rPr>
          <w:rFonts w:ascii="Arial" w:cs="Arial" w:eastAsia="Arial" w:hAnsi="Arial"/>
          <w:sz w:val="20"/>
          <w:szCs w:val="20"/>
          <w:color w:val="010000"/>
        </w:rPr>
      </w:pPr>
      <w:r>
        <w:rPr>
          <w:rFonts w:ascii="Arial" w:cs="Arial" w:eastAsia="Arial" w:hAnsi="Arial"/>
          <w:sz w:val="20"/>
          <w:szCs w:val="20"/>
          <w:color w:val="auto"/>
        </w:rPr>
        <w:t>the Required Lenders have accelerated the Multicurrency Loans and terminated the Multicurrency Commitments and demanded repayment of, or otherwise accelerated, the Indebtedness or other obligations thereunder (or such Multicurrency Commitments have otherwise been terminated in full);</w:t>
      </w:r>
    </w:p>
    <w:p>
      <w:pPr>
        <w:spacing w:after="0" w:line="185" w:lineRule="exact"/>
        <w:rPr>
          <w:rFonts w:ascii="Arial" w:cs="Arial" w:eastAsia="Arial" w:hAnsi="Arial"/>
          <w:sz w:val="20"/>
          <w:szCs w:val="20"/>
          <w:color w:val="010000"/>
        </w:rPr>
      </w:pPr>
    </w:p>
    <w:p>
      <w:pPr>
        <w:ind w:left="1300" w:hanging="468"/>
        <w:spacing w:after="0"/>
        <w:tabs>
          <w:tab w:leader="none" w:pos="1300" w:val="left"/>
        </w:tabs>
        <w:numPr>
          <w:ilvl w:val="1"/>
          <w:numId w:val="76"/>
        </w:numPr>
        <w:rPr>
          <w:rFonts w:ascii="Arial" w:cs="Arial" w:eastAsia="Arial" w:hAnsi="Arial"/>
          <w:sz w:val="20"/>
          <w:szCs w:val="20"/>
          <w:color w:val="010000"/>
        </w:rPr>
      </w:pPr>
      <w:r>
        <w:rPr>
          <w:rFonts w:ascii="Arial" w:cs="Arial" w:eastAsia="Arial" w:hAnsi="Arial"/>
          <w:sz w:val="20"/>
          <w:szCs w:val="20"/>
          <w:color w:val="auto"/>
        </w:rPr>
        <w:t>the expiration date of such Ancillary Facility has occurred;</w:t>
      </w:r>
    </w:p>
    <w:p>
      <w:pPr>
        <w:spacing w:after="0" w:line="215" w:lineRule="exact"/>
        <w:rPr>
          <w:rFonts w:ascii="Arial" w:cs="Arial" w:eastAsia="Arial" w:hAnsi="Arial"/>
          <w:sz w:val="20"/>
          <w:szCs w:val="20"/>
          <w:color w:val="010000"/>
        </w:rPr>
      </w:pPr>
    </w:p>
    <w:p>
      <w:pPr>
        <w:jc w:val="both"/>
        <w:ind w:left="180" w:firstLine="652"/>
        <w:spacing w:after="0" w:line="250" w:lineRule="auto"/>
        <w:tabs>
          <w:tab w:leader="none" w:pos="1462" w:val="left"/>
        </w:tabs>
        <w:numPr>
          <w:ilvl w:val="1"/>
          <w:numId w:val="76"/>
        </w:numPr>
        <w:rPr>
          <w:rFonts w:ascii="Arial" w:cs="Arial" w:eastAsia="Arial" w:hAnsi="Arial"/>
          <w:sz w:val="20"/>
          <w:szCs w:val="20"/>
          <w:color w:val="010000"/>
        </w:rPr>
      </w:pPr>
      <w:r>
        <w:rPr>
          <w:rFonts w:ascii="Arial" w:cs="Arial" w:eastAsia="Arial" w:hAnsi="Arial"/>
          <w:sz w:val="20"/>
          <w:szCs w:val="20"/>
          <w:color w:val="auto"/>
        </w:rPr>
        <w:t>it becomes unlawful in any applicable jurisdiction for the Ancillary Lender(s) to perform any of their obligations as contemplated by this Agreement or to fund, issue or maintain their participation in the Ancillary Facility (or it becomes unlawful for the applicable affiliate of the Ancillary Lender(s) to do so); or</w:t>
      </w:r>
    </w:p>
    <w:p>
      <w:pPr>
        <w:spacing w:after="0" w:line="185" w:lineRule="exact"/>
        <w:rPr>
          <w:rFonts w:ascii="Arial" w:cs="Arial" w:eastAsia="Arial" w:hAnsi="Arial"/>
          <w:sz w:val="20"/>
          <w:szCs w:val="20"/>
          <w:color w:val="010000"/>
        </w:rPr>
      </w:pPr>
    </w:p>
    <w:p>
      <w:pPr>
        <w:jc w:val="both"/>
        <w:ind w:left="180" w:firstLine="652"/>
        <w:spacing w:after="0" w:line="250" w:lineRule="auto"/>
        <w:tabs>
          <w:tab w:leader="none" w:pos="1319" w:val="left"/>
        </w:tabs>
        <w:numPr>
          <w:ilvl w:val="1"/>
          <w:numId w:val="76"/>
        </w:numPr>
        <w:rPr>
          <w:rFonts w:ascii="Arial" w:cs="Arial" w:eastAsia="Arial" w:hAnsi="Arial"/>
          <w:sz w:val="20"/>
          <w:szCs w:val="20"/>
          <w:color w:val="010000"/>
        </w:rPr>
      </w:pPr>
      <w:r>
        <w:rPr>
          <w:rFonts w:ascii="Arial" w:cs="Arial" w:eastAsia="Arial" w:hAnsi="Arial"/>
          <w:sz w:val="20"/>
          <w:szCs w:val="20"/>
          <w:color w:val="auto"/>
        </w:rPr>
        <w:t>the Ancillary Facility Outstandings, if any, under such Ancillary Facility may be refinanced by a Loan under the Multicurrency Facility and the relevant Ancillary Lender(s) provide sufficient notice to permit the refinancing of such Ancillary Facility Outstandings with such a Loan.</w:t>
      </w:r>
    </w:p>
    <w:p>
      <w:pPr>
        <w:spacing w:after="0" w:line="185" w:lineRule="exact"/>
        <w:rPr>
          <w:rFonts w:ascii="Arial" w:cs="Arial" w:eastAsia="Arial" w:hAnsi="Arial"/>
          <w:sz w:val="20"/>
          <w:szCs w:val="20"/>
          <w:color w:val="010000"/>
        </w:rPr>
      </w:pPr>
    </w:p>
    <w:p>
      <w:pPr>
        <w:ind w:left="580" w:hanging="396"/>
        <w:spacing w:after="0"/>
        <w:tabs>
          <w:tab w:leader="none" w:pos="580"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For the purposes of repaying any Ancillary Facility Outstandings pursuant to paragraph (e)(iii)(E) of this Section 2.30:</w:t>
      </w:r>
    </w:p>
    <w:p>
      <w:pPr>
        <w:spacing w:after="0" w:line="238" w:lineRule="exact"/>
        <w:rPr>
          <w:rFonts w:ascii="Arial" w:cs="Arial" w:eastAsia="Arial" w:hAnsi="Arial"/>
          <w:sz w:val="18"/>
          <w:szCs w:val="18"/>
          <w:color w:val="010000"/>
        </w:rPr>
      </w:pPr>
    </w:p>
    <w:p>
      <w:pPr>
        <w:ind w:left="180" w:firstLine="652"/>
        <w:spacing w:after="0" w:line="260" w:lineRule="auto"/>
        <w:tabs>
          <w:tab w:leader="none" w:pos="1381" w:val="left"/>
        </w:tabs>
        <w:numPr>
          <w:ilvl w:val="1"/>
          <w:numId w:val="77"/>
        </w:numPr>
        <w:rPr>
          <w:rFonts w:ascii="Arial" w:cs="Arial" w:eastAsia="Arial" w:hAnsi="Arial"/>
          <w:sz w:val="20"/>
          <w:szCs w:val="20"/>
          <w:color w:val="010000"/>
        </w:rPr>
      </w:pPr>
      <w:r>
        <w:rPr>
          <w:rFonts w:ascii="Arial" w:cs="Arial" w:eastAsia="Arial" w:hAnsi="Arial"/>
          <w:sz w:val="20"/>
          <w:szCs w:val="20"/>
          <w:color w:val="auto"/>
        </w:rPr>
        <w:t>the Multicurrency Commitment of such Ancillary Lender will be increased by the amount of its Ancillary Commitment so terminated; and</w:t>
      </w:r>
    </w:p>
    <w:p>
      <w:pPr>
        <w:spacing w:after="0" w:line="176" w:lineRule="exact"/>
        <w:rPr>
          <w:rFonts w:ascii="Arial" w:cs="Arial" w:eastAsia="Arial" w:hAnsi="Arial"/>
          <w:sz w:val="20"/>
          <w:szCs w:val="20"/>
          <w:color w:val="010000"/>
        </w:rPr>
      </w:pPr>
    </w:p>
    <w:p>
      <w:pPr>
        <w:jc w:val="both"/>
        <w:ind w:left="180" w:firstLine="652"/>
        <w:spacing w:after="0" w:line="250" w:lineRule="auto"/>
        <w:tabs>
          <w:tab w:leader="none" w:pos="1357" w:val="left"/>
        </w:tabs>
        <w:numPr>
          <w:ilvl w:val="1"/>
          <w:numId w:val="77"/>
        </w:numPr>
        <w:rPr>
          <w:rFonts w:ascii="Arial" w:cs="Arial" w:eastAsia="Arial" w:hAnsi="Arial"/>
          <w:sz w:val="20"/>
          <w:szCs w:val="20"/>
          <w:color w:val="010000"/>
        </w:rPr>
      </w:pPr>
      <w:r>
        <w:rPr>
          <w:rFonts w:ascii="Arial" w:cs="Arial" w:eastAsia="Arial" w:hAnsi="Arial"/>
          <w:sz w:val="20"/>
          <w:szCs w:val="20"/>
          <w:color w:val="auto"/>
        </w:rPr>
        <w:t>a Loan may be borrowed irrespective of whether a Default is outstanding or any other applicable condition precedent is not satisfied (but only to the extent that the proceeds are applied to refinance those Ancillary Facility Outstandings)</w:t>
      </w:r>
      <w:r>
        <w:rPr>
          <w:rFonts w:ascii="Arial" w:cs="Arial" w:eastAsia="Arial" w:hAnsi="Arial"/>
          <w:sz w:val="20"/>
          <w:szCs w:val="20"/>
          <w:b w:val="1"/>
          <w:bCs w:val="1"/>
          <w:color w:val="auto"/>
        </w:rPr>
        <w:t>.</w:t>
      </w:r>
    </w:p>
    <w:p>
      <w:pPr>
        <w:spacing w:after="0" w:line="185" w:lineRule="exact"/>
        <w:rPr>
          <w:rFonts w:ascii="Arial" w:cs="Arial" w:eastAsia="Arial" w:hAnsi="Arial"/>
          <w:sz w:val="20"/>
          <w:szCs w:val="20"/>
          <w:color w:val="010000"/>
        </w:rPr>
      </w:pPr>
    </w:p>
    <w:p>
      <w:pPr>
        <w:ind w:left="620" w:hanging="436"/>
        <w:spacing w:after="0"/>
        <w:tabs>
          <w:tab w:leader="none" w:pos="620"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On the making of such a Loan to refinance Ancillary Facility Outstandings:</w:t>
      </w:r>
    </w:p>
    <w:p>
      <w:pPr>
        <w:spacing w:after="0" w:line="215" w:lineRule="exact"/>
        <w:rPr>
          <w:rFonts w:ascii="Arial" w:cs="Arial" w:eastAsia="Arial" w:hAnsi="Arial"/>
          <w:sz w:val="20"/>
          <w:szCs w:val="20"/>
          <w:color w:val="010000"/>
        </w:rPr>
      </w:pPr>
    </w:p>
    <w:p>
      <w:pPr>
        <w:jc w:val="both"/>
        <w:ind w:left="180" w:firstLine="652"/>
        <w:spacing w:after="0" w:line="282" w:lineRule="auto"/>
        <w:tabs>
          <w:tab w:leader="none" w:pos="1368" w:val="left"/>
        </w:tabs>
        <w:numPr>
          <w:ilvl w:val="1"/>
          <w:numId w:val="77"/>
        </w:numPr>
        <w:rPr>
          <w:rFonts w:ascii="Arial" w:cs="Arial" w:eastAsia="Arial" w:hAnsi="Arial"/>
          <w:sz w:val="18"/>
          <w:szCs w:val="18"/>
          <w:color w:val="010000"/>
        </w:rPr>
      </w:pPr>
      <w:r>
        <w:rPr>
          <w:rFonts w:ascii="Arial" w:cs="Arial" w:eastAsia="Arial" w:hAnsi="Arial"/>
          <w:sz w:val="18"/>
          <w:szCs w:val="18"/>
          <w:color w:val="auto"/>
        </w:rPr>
        <w:t>each Multicurrency Lender will participate in that Loan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 and</w:t>
      </w:r>
    </w:p>
    <w:p>
      <w:pPr>
        <w:spacing w:after="0" w:line="161" w:lineRule="exact"/>
        <w:rPr>
          <w:rFonts w:ascii="Arial" w:cs="Arial" w:eastAsia="Arial" w:hAnsi="Arial"/>
          <w:sz w:val="18"/>
          <w:szCs w:val="18"/>
          <w:color w:val="010000"/>
        </w:rPr>
      </w:pPr>
    </w:p>
    <w:p>
      <w:pPr>
        <w:ind w:left="1300" w:hanging="468"/>
        <w:spacing w:after="0"/>
        <w:tabs>
          <w:tab w:leader="none" w:pos="1300" w:val="left"/>
        </w:tabs>
        <w:numPr>
          <w:ilvl w:val="1"/>
          <w:numId w:val="77"/>
        </w:numPr>
        <w:rPr>
          <w:rFonts w:ascii="Arial" w:cs="Arial" w:eastAsia="Arial" w:hAnsi="Arial"/>
          <w:sz w:val="20"/>
          <w:szCs w:val="20"/>
          <w:color w:val="010000"/>
        </w:rPr>
      </w:pPr>
      <w:r>
        <w:rPr>
          <w:rFonts w:ascii="Arial" w:cs="Arial" w:eastAsia="Arial" w:hAnsi="Arial"/>
          <w:sz w:val="20"/>
          <w:szCs w:val="20"/>
          <w:color w:val="auto"/>
        </w:rPr>
        <w:t>the relevant Ancillary Facility shall be cancelled.</w:t>
      </w:r>
    </w:p>
    <w:p>
      <w:pPr>
        <w:spacing w:after="0" w:line="215" w:lineRule="exact"/>
        <w:rPr>
          <w:rFonts w:ascii="Arial" w:cs="Arial" w:eastAsia="Arial" w:hAnsi="Arial"/>
          <w:sz w:val="20"/>
          <w:szCs w:val="20"/>
          <w:color w:val="010000"/>
        </w:rPr>
      </w:pPr>
    </w:p>
    <w:p>
      <w:pPr>
        <w:jc w:val="both"/>
        <w:ind w:left="-1120" w:firstLine="1304"/>
        <w:spacing w:after="0" w:line="244" w:lineRule="auto"/>
        <w:tabs>
          <w:tab w:leader="none" w:pos="618"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The Company and each Ancillary Borrower to which an Ancillary Facility has been made available and each Ancillary Lender shall, upon request by the Administrative Agent, promptly supply the Administrative Agent with any information relating to the operation of such Ancillary Facility (including the Ancillary Facility Outstandings) as the Administrative Agent may reasonably request from time to time. The Company and each Ancillary Borrower consent to all such information being released to the Administrative Agent and the Lenders.</w:t>
      </w:r>
    </w:p>
    <w:p>
      <w:pPr>
        <w:spacing w:after="0" w:line="194" w:lineRule="exact"/>
        <w:rPr>
          <w:rFonts w:ascii="Arial" w:cs="Arial" w:eastAsia="Arial" w:hAnsi="Arial"/>
          <w:sz w:val="20"/>
          <w:szCs w:val="20"/>
          <w:color w:val="010000"/>
        </w:rPr>
      </w:pPr>
    </w:p>
    <w:p>
      <w:pPr>
        <w:ind w:left="-1120" w:firstLine="1304"/>
        <w:spacing w:after="0" w:line="287" w:lineRule="auto"/>
        <w:tabs>
          <w:tab w:leader="none" w:pos="628"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The Company and each Ancillary Borrower acknowledge and consent that Sections 2.18, 2.20, 2.21 and 2.22 of this Agreement shall apply to each Ancillary Facility (unless expressly waived by the relevant Ancillary Lender in its sole discretion).</w:t>
      </w:r>
    </w:p>
    <w:p>
      <w:pPr>
        <w:sectPr>
          <w:pgSz w:w="11900" w:h="16838" w:orient="portrait"/>
          <w:cols w:equalWidth="0" w:num="1">
            <w:col w:w="10120"/>
          </w:cols>
          <w:pgMar w:left="1440" w:top="568" w:right="339" w:bottom="1440" w:gutter="0" w:footer="0" w:header="0"/>
        </w:sectPr>
      </w:pPr>
    </w:p>
    <w:bookmarkStart w:id="130" w:name="page131"/>
    <w:bookmarkEnd w:id="130"/>
    <w:p>
      <w:pPr>
        <w:jc w:val="both"/>
        <w:ind w:firstLine="1304"/>
        <w:spacing w:after="0" w:line="250" w:lineRule="auto"/>
        <w:tabs>
          <w:tab w:leader="none" w:pos="1708" w:val="left"/>
        </w:tabs>
        <w:numPr>
          <w:ilvl w:val="0"/>
          <w:numId w:val="78"/>
        </w:numPr>
        <w:rPr>
          <w:rFonts w:ascii="Arial" w:cs="Arial" w:eastAsia="Arial" w:hAnsi="Arial"/>
          <w:sz w:val="20"/>
          <w:szCs w:val="20"/>
          <w:color w:val="010000"/>
        </w:rPr>
      </w:pPr>
      <w:r>
        <w:rPr>
          <w:rFonts w:ascii="Arial" w:cs="Arial" w:eastAsia="Arial" w:hAnsi="Arial"/>
          <w:sz w:val="20"/>
          <w:szCs w:val="20"/>
          <w:color w:val="auto"/>
        </w:rPr>
        <w:t>To the extent that this Agreement or any other Loan Document imposes any obligation on any Ancillary Borrower and such Ancillary Borrower is an affiliate of a Borrower and not a party hereto or thereto, the relevant Borrower shall ensure that such obligation is performed by such affiliate in compliance with the terms hereof or such other Loan Document.</w:t>
      </w:r>
    </w:p>
    <w:p>
      <w:pPr>
        <w:spacing w:after="0" w:line="185" w:lineRule="exact"/>
        <w:rPr>
          <w:rFonts w:ascii="Arial" w:cs="Arial" w:eastAsia="Arial" w:hAnsi="Arial"/>
          <w:sz w:val="20"/>
          <w:szCs w:val="20"/>
          <w:color w:val="010000"/>
        </w:rPr>
      </w:pPr>
    </w:p>
    <w:p>
      <w:pPr>
        <w:jc w:val="both"/>
        <w:ind w:firstLine="1304"/>
        <w:spacing w:after="0" w:line="257" w:lineRule="auto"/>
        <w:tabs>
          <w:tab w:leader="none" w:pos="1724"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In the event of any conflict between the terms of an Ancillary Facility Document and any Loan Document, the terms of such Loan Document shall govern except for (i) the first sentence of Section 2.17(a) for the purposes of calculating fees, interest or commission relating to the relevant Ancillary Facility, (ii) any Ancillary Facility comprising more than one account where the terms of the Ancillary Facility Documents shall prevail to the extent required to permit the netting of balances in respect of such accounts and (iii) where the relevant term of this Agreement would be contrary to, or inconsistent with, the law governing the relevant Ancillary Facility Document, in which case the relevant term of this Agreement shall be superseded by the terms of the such Ancillary Facility Document solely to the extent necessary to eliminate the subject conflict or inconsistency.</w:t>
      </w:r>
    </w:p>
    <w:p>
      <w:pPr>
        <w:spacing w:after="0" w:line="184" w:lineRule="exact"/>
        <w:rPr>
          <w:rFonts w:ascii="Arial" w:cs="Arial" w:eastAsia="Arial" w:hAnsi="Arial"/>
          <w:sz w:val="19"/>
          <w:szCs w:val="19"/>
          <w:color w:val="010000"/>
        </w:rPr>
      </w:pPr>
    </w:p>
    <w:p>
      <w:pPr>
        <w:jc w:val="both"/>
        <w:ind w:firstLine="1304"/>
        <w:spacing w:after="0" w:line="291" w:lineRule="auto"/>
        <w:tabs>
          <w:tab w:leader="none" w:pos="1721"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No amendment or waiver of a term of any Ancillary Facility Document shall require the consent of any Lender other than the relevant Ancillary Lender unless such amendment or waiver itself relates to or gives rise to a matter which would require an amendment of or under this Agreement (including, for the avoidance of doubt, this Section 2.30), in which case Section 10.1 shall apply.</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3.</w:t>
      </w:r>
      <w:r>
        <w:rPr>
          <w:sz w:val="20"/>
          <w:szCs w:val="20"/>
          <w:color w:val="auto"/>
        </w:rPr>
        <w:tab/>
      </w:r>
      <w:r>
        <w:rPr>
          <w:rFonts w:ascii="Arial" w:cs="Arial" w:eastAsia="Arial" w:hAnsi="Arial"/>
          <w:sz w:val="20"/>
          <w:szCs w:val="20"/>
          <w:b w:val="1"/>
          <w:bCs w:val="1"/>
          <w:u w:val="single" w:color="auto"/>
          <w:color w:val="auto"/>
        </w:rPr>
        <w:t>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20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010000"/>
        </w:rPr>
        <w:t>3.1</w:t>
      </w:r>
      <w:r>
        <w:rPr>
          <w:sz w:val="20"/>
          <w:szCs w:val="20"/>
          <w:color w:val="auto"/>
        </w:rPr>
        <w:tab/>
      </w:r>
      <w:r>
        <w:rPr>
          <w:rFonts w:ascii="Arial" w:cs="Arial" w:eastAsia="Arial" w:hAnsi="Arial"/>
          <w:sz w:val="16"/>
          <w:szCs w:val="16"/>
          <w:color w:val="auto"/>
        </w:rPr>
        <w:t>L/C Commitment. (a) Subject to the terms and conditions hereof, each Issuing Lender, in reliance on the agreements of</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L/C Tranche Lenders set forth in Section 3.4(a), agrees to issue (or cause its Applicable Lending Office to issue) letters of credit and bank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guarantees (each a “</w:t>
      </w:r>
      <w:r>
        <w:rPr>
          <w:rFonts w:ascii="Arial" w:cs="Arial" w:eastAsia="Arial" w:hAnsi="Arial"/>
          <w:sz w:val="18"/>
          <w:szCs w:val="18"/>
          <w:u w:val="single" w:color="auto"/>
          <w:color w:val="auto"/>
        </w:rPr>
        <w:t>Letter of Credit</w:t>
      </w:r>
      <w:r>
        <w:rPr>
          <w:rFonts w:ascii="Arial" w:cs="Arial" w:eastAsia="Arial" w:hAnsi="Arial"/>
          <w:sz w:val="18"/>
          <w:szCs w:val="18"/>
          <w:color w:val="auto"/>
        </w:rPr>
        <w:t>”) under the L/C Tranche Facility for the account of a Loan Party or a Subsidiary of a Loan Party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on any Business Day during the Commitment Period of such Issuing Lender in such form as may be reasonable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customary for the purpose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 no Applicable Account Party shall request, and no Issuing Lender shall be required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issue (or cause its Applicable Lending Office to issue), any Letter of Credit if, after giving effect to such issuance (and to any concurrent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funding or prepayment of a Loan and to the application of proceeds thereof and to any concurrent expiration or termination or amendment or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modification of any previously issued Letter of Credit), (A) the Dollar Equivalent of the then Outstanding Amount of all Letters of Credit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issued by such Issuing Lender (or any Applicable Lending Office thereof) would exceed such Issuing Lender’s L/C Issuing Commitment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then in effect, (B) the Total L/C Tranche Extensions of Credit would exceed the Total L/C Tranche Commitment then in effect or (C) the sum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(x) 105% of the Dollar Equivalent of Letters of Credit denominated in Optional Currencies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then Outstanding Amount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L/C Tranche Extensions of Credit other than Letters of Credit denominated in Optional Currencies would exceed the Total L/C Tranche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Commitments then in effect and (ii) the Company shall be jointly and severally liable with respect to each Letter of Credit issued for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account of an Applicable Account Party (other than the Company). Each Letter of Credit shall (x) be denominated in Dollars or any Optional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Currency</w:t>
      </w:r>
      <w:r>
        <w:rPr>
          <w:rFonts w:ascii="Arial" w:cs="Arial" w:eastAsia="Arial" w:hAnsi="Arial"/>
          <w:sz w:val="18"/>
          <w:szCs w:val="18"/>
          <w:u w:val="single" w:color="auto"/>
          <w:color w:val="0000FF"/>
        </w:rPr>
        <w:t>; provided that Bank of America, N.A. shall not be required to issue any Letters of Credit in any Optional Currency without its prior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written consent</w:t>
      </w:r>
      <w:r>
        <w:rPr>
          <w:rFonts w:ascii="Arial" w:cs="Arial" w:eastAsia="Arial" w:hAnsi="Arial"/>
          <w:sz w:val="18"/>
          <w:szCs w:val="18"/>
          <w:color w:val="0000FF"/>
        </w:rPr>
        <w:t xml:space="preserve"> </w:t>
      </w:r>
      <w:r>
        <w:rPr>
          <w:rFonts w:ascii="Arial" w:cs="Arial" w:eastAsia="Arial" w:hAnsi="Arial"/>
          <w:sz w:val="18"/>
          <w:szCs w:val="18"/>
          <w:color w:val="000000"/>
        </w:rPr>
        <w:t>and (y) expire no later than the earlier of (A) the date that is one year after the date of issuance of such Letter of Credit and</w:t>
      </w:r>
    </w:p>
    <w:p>
      <w:pPr>
        <w:spacing w:after="0" w:line="23"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five Business Days prior to the Termination Date of such Issuing Lender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any Letter of Credit with a one-</w:t>
      </w:r>
    </w:p>
    <w:p>
      <w:pPr>
        <w:spacing w:after="0" w:line="22" w:lineRule="exact"/>
        <w:rPr>
          <w:rFonts w:ascii="Arial" w:cs="Arial" w:eastAsia="Arial" w:hAnsi="Arial"/>
          <w:sz w:val="18"/>
          <w:szCs w:val="18"/>
          <w:color w:val="auto"/>
        </w:rPr>
      </w:pPr>
    </w:p>
    <w:p>
      <w:pPr>
        <w:jc w:val="both"/>
        <w:ind w:right="20"/>
        <w:spacing w:after="0" w:line="281" w:lineRule="auto"/>
        <w:rPr>
          <w:rFonts w:ascii="Arial" w:cs="Arial" w:eastAsia="Arial" w:hAnsi="Arial"/>
          <w:sz w:val="18"/>
          <w:szCs w:val="18"/>
          <w:color w:val="auto"/>
        </w:rPr>
      </w:pPr>
      <w:r>
        <w:rPr>
          <w:rFonts w:ascii="Arial" w:cs="Arial" w:eastAsia="Arial" w:hAnsi="Arial"/>
          <w:sz w:val="18"/>
          <w:szCs w:val="18"/>
          <w:color w:val="auto"/>
        </w:rPr>
        <w:t>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w:t>
      </w:r>
    </w:p>
    <w:p>
      <w:pPr>
        <w:sectPr>
          <w:pgSz w:w="11900" w:h="16838" w:orient="portrait"/>
          <w:cols w:equalWidth="0" w:num="1">
            <w:col w:w="11240"/>
          </w:cols>
          <w:pgMar w:left="320" w:top="568" w:right="339" w:bottom="1440" w:gutter="0" w:footer="0" w:header="0"/>
        </w:sectPr>
      </w:pPr>
    </w:p>
    <w:bookmarkStart w:id="131" w:name="page132"/>
    <w:bookmarkEnd w:id="131"/>
    <w:p>
      <w:pPr>
        <w:ind w:right="80"/>
        <w:spacing w:after="0" w:line="271" w:lineRule="auto"/>
        <w:rPr>
          <w:sz w:val="20"/>
          <w:szCs w:val="20"/>
          <w:color w:val="auto"/>
        </w:rPr>
      </w:pPr>
      <w:r>
        <w:rPr>
          <w:rFonts w:ascii="Arial" w:cs="Arial" w:eastAsia="Arial" w:hAnsi="Arial"/>
          <w:sz w:val="18"/>
          <w:szCs w:val="18"/>
          <w:color w:val="auto"/>
        </w:rPr>
        <w:t xml:space="preserve">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70" w:lineRule="exact"/>
        <w:rPr>
          <w:sz w:val="20"/>
          <w:szCs w:val="20"/>
          <w:color w:val="auto"/>
        </w:rPr>
      </w:pPr>
    </w:p>
    <w:p>
      <w:pPr>
        <w:jc w:val="both"/>
        <w:ind w:firstLine="1304"/>
        <w:spacing w:after="0" w:line="250" w:lineRule="auto"/>
        <w:tabs>
          <w:tab w:leader="none" w:pos="1724"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85" w:lineRule="exact"/>
        <w:rPr>
          <w:rFonts w:ascii="Arial" w:cs="Arial" w:eastAsia="Arial" w:hAnsi="Arial"/>
          <w:sz w:val="20"/>
          <w:szCs w:val="20"/>
          <w:color w:val="010000"/>
        </w:rPr>
      </w:pPr>
    </w:p>
    <w:p>
      <w:pPr>
        <w:jc w:val="both"/>
        <w:ind w:firstLine="1304"/>
        <w:spacing w:after="0" w:line="268" w:lineRule="auto"/>
        <w:tabs>
          <w:tab w:leader="none" w:pos="1767" w:val="left"/>
        </w:tabs>
        <w:numPr>
          <w:ilvl w:val="0"/>
          <w:numId w:val="8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the Termination Date has been extended (pursuant to Section 2.29 or otherwise) and any L/C Tranche Lenders are Non-Consenting Lenders with respect thereto, and any Letter of Credit remains outstanding on the Termination Date applicable to such Non-Extending Lenders, then (i) so long as no Event of Default shall have occurred and be continuing at such time, all or any part of the L/C Obligations of such Non-Extending Lenders shall be reallocated among the L/C Tranche Lenders that are Extending Lenders with respect thereto in accordance with their L/C Tranche Percentages (calculated after giving effect to the termination of the Commitments of the Non-Extending Lenders on such Termination Date) but only to the extent the sum of all Extending Lenders’ L/C Tranche Extensions of Credit plus such L/C Obligations does not exceed the total of all L/C Tranche Lenders that are Extending Lenders’ L/C Tranche Commitments, (ii) if any reallocation described in clause (i) above cannot, or can only partially, be effected, the Company or any applicable Subsidiary Borrower shall, at any time and from time to time following notice by the Administrative Agent, (x) prepay L/C Tranche Loans in an amount sufficient to permit such reallocation of the L/C Obligations of the Non-Extending Lenders in full or (y) Collateralize for the benefit of each Issuing Lender, the Borrowers’ obligations corresponding to such Non-Extending Lenders’ L/C Obligations (after giving effect to any partial reallocation pursuant to clause (i) above) for so long as such L/C Obligations are outstanding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provided, that no Event of Default shall have then occurred and be continuing), and (iii) if all or any portion of such Non-Extending Lenders’ L/C Obligations is neither reallocated nor Collateralized pursuant to clause (i) or (ii) above, then, without prejudice to any rights or remedies of the applicable Issuing Lender or any other L/C Tranche Lender hereunder, all fees payable pursuant to the L/C Fee Letter with respect to such Non-Extending Lenders’ L/C Obligations shall be payable to the applicable Issuing Lender until and to the extent that such L/C Obligations are so reallocated and/or Collateralized.</w:t>
      </w:r>
    </w:p>
    <w:p>
      <w:pPr>
        <w:spacing w:after="0" w:line="18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3.2 </w:t>
      </w:r>
      <w:r>
        <w:rPr>
          <w:rFonts w:ascii="Arial" w:cs="Arial" w:eastAsia="Arial" w:hAnsi="Arial"/>
          <w:sz w:val="20"/>
          <w:szCs w:val="20"/>
          <w:color w:val="000000"/>
        </w:rPr>
        <w:t>Procedure for Issuance of Letters of Credit. (a) Any Applicable Account Party, with (in the case of any such Applicable</w:t>
      </w:r>
      <w:r>
        <w:rPr>
          <w:rFonts w:ascii="Arial" w:cs="Arial" w:eastAsia="Arial" w:hAnsi="Arial"/>
          <w:sz w:val="20"/>
          <w:szCs w:val="20"/>
          <w:color w:val="010000"/>
        </w:rPr>
        <w:t xml:space="preserve"> </w:t>
      </w:r>
      <w:r>
        <w:rPr>
          <w:rFonts w:ascii="Arial" w:cs="Arial" w:eastAsia="Arial" w:hAnsi="Arial"/>
          <w:sz w:val="20"/>
          <w:szCs w:val="20"/>
          <w:color w:val="000000"/>
        </w:rPr>
        <w:t>Account Party other than the Company) the written consent of the Company (substantially in the form of Exhibit M hereto or as the Company may otherwise specify from time to time), may from time to time request that any Issuing Lender issue (or cause its Applicable Lending</w:t>
      </w:r>
    </w:p>
    <w:p>
      <w:pPr>
        <w:sectPr>
          <w:pgSz w:w="11900" w:h="16838" w:orient="portrait"/>
          <w:cols w:equalWidth="0" w:num="1">
            <w:col w:w="11240"/>
          </w:cols>
          <w:pgMar w:left="320" w:top="568" w:right="339" w:bottom="1440" w:gutter="0" w:footer="0" w:header="0"/>
        </w:sectPr>
      </w:pPr>
    </w:p>
    <w:bookmarkStart w:id="132" w:name="page133"/>
    <w:bookmarkEnd w:id="132"/>
    <w:p>
      <w:pPr>
        <w:jc w:val="both"/>
        <w:spacing w:after="0" w:line="268" w:lineRule="auto"/>
        <w:rPr>
          <w:sz w:val="20"/>
          <w:szCs w:val="20"/>
          <w:color w:val="auto"/>
        </w:rPr>
      </w:pPr>
      <w:r>
        <w:rPr>
          <w:rFonts w:ascii="Arial" w:cs="Arial" w:eastAsia="Arial" w:hAnsi="Arial"/>
          <w:sz w:val="18"/>
          <w:szCs w:val="18"/>
          <w:color w:val="auto"/>
        </w:rPr>
        <w:t>Office to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83" w:lineRule="exact"/>
        <w:rPr>
          <w:sz w:val="20"/>
          <w:szCs w:val="20"/>
          <w:color w:val="auto"/>
        </w:rPr>
      </w:pPr>
    </w:p>
    <w:p>
      <w:pPr>
        <w:jc w:val="both"/>
        <w:ind w:firstLine="1304"/>
        <w:spacing w:after="0" w:line="242" w:lineRule="auto"/>
        <w:tabs>
          <w:tab w:leader="none" w:pos="1765"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The Issuing Lender shall not (and shall not permit any Applicable Lending Office thereof to) (i) amend or cancel any Letter of Credit without the prior written consent of the Company or the Applicable Account Party, (ii) waive presentation of any Letter of Credit or waive any discrepancies in documents presented to effect a draw on a Letter of Credit, in each case, without the prior written consent of the Company or the Applicable Account Party, if and to the extent such waiver materially and adversely affects the Company or such Applicable Account Party, or (iii) replace any lost, mutilated or destroyed Letter of Credit, in each case, without the prior written consent of the Company or the Applicable Account Party. If requested by an Applicable Account Party or the Company, the Issuing Lender shall furnish a draft of such Letter of Credit (or any amendment thereto) to the Applicable Account Party and the Company prior to the issuance thereof to allow the Applicable Account Party and the Company to review such draft for accuracy and to provide any corrections if necessary.</w:t>
      </w:r>
    </w:p>
    <w:p>
      <w:pPr>
        <w:spacing w:after="0" w:line="19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color w:val="000000"/>
        </w:rPr>
        <w:t>Fees and Other Charges. The Company shall pay (or cause to be paid) the fees payable to the L/C Tranche Lenders and</w:t>
      </w:r>
      <w:r>
        <w:rPr>
          <w:rFonts w:ascii="Arial" w:cs="Arial" w:eastAsia="Arial" w:hAnsi="Arial"/>
          <w:sz w:val="19"/>
          <w:szCs w:val="19"/>
          <w:color w:val="010000"/>
        </w:rPr>
        <w:t xml:space="preserve"> </w:t>
      </w:r>
      <w:r>
        <w:rPr>
          <w:rFonts w:ascii="Arial" w:cs="Arial" w:eastAsia="Arial" w:hAnsi="Arial"/>
          <w:sz w:val="19"/>
          <w:szCs w:val="19"/>
          <w:color w:val="000000"/>
        </w:rPr>
        <w:t>the Issuing Lenders, as applicable, set forth in the L/C Fee Letter. Notwithstanding any inconsistent provision of this Agreement or the L/C Fee Letter, (x) at the option of the Company and upon notice to the Administrative Agent, all fees payable to any Issuing Lender may, with the consent of such Issuing Lender, be paid in Dollars (regardless of the currency of such Letter of Credit) and (y) unless (i) the Company or such Applicable Account Party gives notice to the Administrative Agent that it has paid such fees by 2:00 P.M., New York City time, on the date required pursuant to the L/C Fee Letter or notifies the Administrative Agent that it does not wish to have such obligation paid with the proceeds of an ABR Loan by such time, or (ii) the Administrative Agent has actual knowledge that the conditions precedent to an ABR Loan to be made on such date which are contained in Section 5.2 have not been satisfied or waived, the Company or such Applicable Account Party shall be deemed to have requested that the L/C</w:t>
      </w:r>
    </w:p>
    <w:p>
      <w:pPr>
        <w:sectPr>
          <w:pgSz w:w="11900" w:h="16838" w:orient="portrait"/>
          <w:cols w:equalWidth="0" w:num="1">
            <w:col w:w="11240"/>
          </w:cols>
          <w:pgMar w:left="320" w:top="568" w:right="339" w:bottom="1440" w:gutter="0" w:footer="0" w:header="0"/>
        </w:sectPr>
      </w:pPr>
    </w:p>
    <w:bookmarkStart w:id="133" w:name="page134"/>
    <w:bookmarkEnd w:id="133"/>
    <w:p>
      <w:pPr>
        <w:jc w:val="both"/>
        <w:spacing w:after="0" w:line="256" w:lineRule="auto"/>
        <w:rPr>
          <w:sz w:val="20"/>
          <w:szCs w:val="20"/>
          <w:color w:val="auto"/>
        </w:rPr>
      </w:pPr>
      <w:r>
        <w:rPr>
          <w:rFonts w:ascii="Arial" w:cs="Arial" w:eastAsia="Arial" w:hAnsi="Arial"/>
          <w:sz w:val="19"/>
          <w:szCs w:val="19"/>
          <w:color w:val="auto"/>
        </w:rPr>
        <w:t>Tranche Lenders make an ABR Loan on the date such fees are due pursuant to the terms of the L/C Fee Letter in an aggregate principal amount equal to the amount of the related obligation, and such ABR Loan shall be made on such date. If an ABR Loan is deemed to have been requested as aforesaid, such obligation shall be paid with the proceeds of such Loan and no Default or Event of Default shall exist or be continuing in respect thereof. Notwithstanding the last sentence of Section 2.8, the proceeds of such ABR Loan shall be made available to the relevant Issuing Lender or L/C Tranche Lenders, as applicable (and not to the Company or such Applicable Account Party) to the account specified by such Issuing Lender or L/C Tranche Lenders, as applicable, in like funds as received by the Administrative Agent, and, to the extent any such fees are owing to an Issuing Lender or the L/C Tranche Lenders, the Issuing Lender or each of the L/C Tranche Lenders, as applicable, may credit its L/C Tranche Percentage of such ABR Loan to the relevant obligation in lieu of funding such amount to the Administrative Agent.</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color w:val="000000"/>
        </w:rPr>
        <w:t>L/C Participations. (a) Each Issuing Lender irrevocably agrees to grant and hereby grants to each L/C Participant, and,</w:t>
      </w:r>
      <w:r>
        <w:rPr>
          <w:rFonts w:ascii="Arial" w:cs="Arial" w:eastAsia="Arial" w:hAnsi="Arial"/>
          <w:sz w:val="18"/>
          <w:szCs w:val="18"/>
          <w:color w:val="010000"/>
        </w:rPr>
        <w:t xml:space="preserve"> </w:t>
      </w:r>
      <w:r>
        <w:rPr>
          <w:rFonts w:ascii="Arial" w:cs="Arial" w:eastAsia="Arial" w:hAnsi="Arial"/>
          <w:sz w:val="18"/>
          <w:szCs w:val="18"/>
          <w:color w:val="000000"/>
        </w:rPr>
        <w:t xml:space="preserve">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L/C Tranche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L/C Tranche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8"/>
          <w:szCs w:val="18"/>
          <w:u w:val="single" w:color="auto"/>
          <w:color w:val="000000"/>
        </w:rPr>
        <w:t>provided</w:t>
      </w:r>
      <w:r>
        <w:rPr>
          <w:rFonts w:ascii="Arial" w:cs="Arial" w:eastAsia="Arial" w:hAnsi="Arial"/>
          <w:sz w:val="18"/>
          <w:szCs w:val="18"/>
          <w:color w:val="000000"/>
        </w:rPr>
        <w:t>, that in no event shall an L/C Participant be obligated to fund an amount that would cause such L/C Participant’s Total L/C Tranche Extensions of Credit to exceed such L/C Participant’s L/C Tranche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71" w:lineRule="exact"/>
        <w:rPr>
          <w:sz w:val="20"/>
          <w:szCs w:val="20"/>
          <w:color w:val="auto"/>
        </w:rPr>
      </w:pPr>
    </w:p>
    <w:p>
      <w:pPr>
        <w:jc w:val="both"/>
        <w:ind w:firstLine="1304"/>
        <w:spacing w:after="0" w:line="255" w:lineRule="auto"/>
        <w:tabs>
          <w:tab w:leader="none" w:pos="1738"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w:t>
      </w:r>
    </w:p>
    <w:p>
      <w:pPr>
        <w:sectPr>
          <w:pgSz w:w="11900" w:h="16838" w:orient="portrait"/>
          <w:cols w:equalWidth="0" w:num="1">
            <w:col w:w="11240"/>
          </w:cols>
          <w:pgMar w:left="320" w:top="568" w:right="339" w:bottom="1440" w:gutter="0" w:footer="0" w:header="0"/>
        </w:sectPr>
      </w:pPr>
    </w:p>
    <w:bookmarkStart w:id="134" w:name="page135"/>
    <w:bookmarkEnd w:id="134"/>
    <w:p>
      <w:pPr>
        <w:ind w:right="20"/>
        <w:spacing w:after="0" w:line="260" w:lineRule="auto"/>
        <w:rPr>
          <w:sz w:val="20"/>
          <w:szCs w:val="20"/>
          <w:color w:val="auto"/>
        </w:rPr>
      </w:pPr>
      <w:r>
        <w:rPr>
          <w:rFonts w:ascii="Arial" w:cs="Arial" w:eastAsia="Arial" w:hAnsi="Arial"/>
          <w:sz w:val="20"/>
          <w:szCs w:val="20"/>
          <w:color w:val="auto"/>
        </w:rPr>
        <w:t>submitted to any L/C Participant with respect to any amounts owing under this Section 3.4 shall be conclusive in the absence of manifest error.</w:t>
      </w:r>
    </w:p>
    <w:p>
      <w:pPr>
        <w:spacing w:after="0" w:line="177" w:lineRule="exact"/>
        <w:rPr>
          <w:sz w:val="20"/>
          <w:szCs w:val="20"/>
          <w:color w:val="auto"/>
        </w:rPr>
      </w:pPr>
    </w:p>
    <w:p>
      <w:pPr>
        <w:jc w:val="both"/>
        <w:ind w:firstLine="1304"/>
        <w:spacing w:after="0" w:line="243" w:lineRule="auto"/>
        <w:tabs>
          <w:tab w:leader="none" w:pos="1767"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 xml:space="preserve">Whenever, at any time after any Issuing Lender has made payment under any Letter of Credit and has received from any L/C Participant its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93"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color w:val="000000"/>
        </w:rPr>
        <w:t>Reimbursement Obligation of the Company and the Applicable Account Party. If any draft or demand is paid under any</w:t>
      </w:r>
      <w:r>
        <w:rPr>
          <w:rFonts w:ascii="Arial" w:cs="Arial" w:eastAsia="Arial" w:hAnsi="Arial"/>
          <w:sz w:val="18"/>
          <w:szCs w:val="18"/>
          <w:color w:val="010000"/>
        </w:rPr>
        <w:t xml:space="preserve"> </w:t>
      </w:r>
      <w:r>
        <w:rPr>
          <w:rFonts w:ascii="Arial" w:cs="Arial" w:eastAsia="Arial" w:hAnsi="Arial"/>
          <w:sz w:val="18"/>
          <w:szCs w:val="18"/>
          <w:color w:val="000000"/>
        </w:rPr>
        <w:t>Letter of Credit issued for the account of an Applicable Account Party, the Company or such Applicable Account Party, on a joint and several basis, shall reimburse the 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w:t>
      </w:r>
      <w:r>
        <w:rPr>
          <w:rFonts w:ascii="Arial" w:cs="Arial" w:eastAsia="Arial" w:hAnsi="Arial"/>
          <w:sz w:val="18"/>
          <w:szCs w:val="18"/>
          <w:u w:val="single" w:color="auto"/>
          <w:color w:val="000000"/>
        </w:rPr>
        <w:t>Reimbursement Date</w:t>
      </w:r>
      <w:r>
        <w:rPr>
          <w:rFonts w:ascii="Arial" w:cs="Arial" w:eastAsia="Arial" w:hAnsi="Arial"/>
          <w:sz w:val="18"/>
          <w:szCs w:val="18"/>
          <w:color w:val="000000"/>
        </w:rPr>
        <w:t xml:space="preserve">”). Each such payment shall be made to the relevant Issuing Lender in the currency in which such Letter of Credit is denominated and in immediately available funds;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in the case of any Letter of Credit denominated in an Optional Currency, if such payment, or obligation to make such payment, in an Optional Currency would subject the Administrative Agent, the relevant Issuing Lender or any L/C Tranche Lender to any stamp duty, ad valorem charge or any similar Tax that would not be payable if such payment were paid or required to be paid in Dollars, the Company or such Applicable Account Party shall, at its option, (A) pay the amount of such Tax to the Administrative Agent, the relevant Issuing Lender or the relevant L/C Tranche Lender or (B) pay the Dollar Equivalent of such draft or demand (calculated as of the Reimbursement Date);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2.16(c).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L/C Tranche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2.8,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L/C Tranche Percentage of such ABR Loan to the relevant Reimbursement Obligation in lieu of funding such amount to the Administrative Agent.</w:t>
      </w:r>
    </w:p>
    <w:p>
      <w:pPr>
        <w:sectPr>
          <w:pgSz w:w="11900" w:h="16838" w:orient="portrait"/>
          <w:cols w:equalWidth="0" w:num="1">
            <w:col w:w="11240"/>
          </w:cols>
          <w:pgMar w:left="320" w:top="568" w:right="339" w:bottom="1440" w:gutter="0" w:footer="0" w:header="0"/>
        </w:sectPr>
      </w:pPr>
    </w:p>
    <w:bookmarkStart w:id="135" w:name="page136"/>
    <w:bookmarkEnd w:id="135"/>
    <w:p>
      <w:pPr>
        <w:jc w:val="both"/>
        <w:ind w:firstLine="1296"/>
        <w:spacing w:after="0" w:line="269"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color w:val="000000"/>
        </w:rPr>
        <w:t>Obligations Absolute. The obligations of the Company and each Applicable Account Party under this Section 3 shall be</w:t>
      </w:r>
      <w:r>
        <w:rPr>
          <w:rFonts w:ascii="Arial" w:cs="Arial" w:eastAsia="Arial" w:hAnsi="Arial"/>
          <w:sz w:val="18"/>
          <w:szCs w:val="18"/>
          <w:color w:val="010000"/>
        </w:rPr>
        <w:t xml:space="preserve"> </w:t>
      </w:r>
      <w:r>
        <w:rPr>
          <w:rFonts w:ascii="Arial" w:cs="Arial" w:eastAsia="Arial" w:hAnsi="Arial"/>
          <w:sz w:val="18"/>
          <w:szCs w:val="18"/>
          <w:color w:val="000000"/>
        </w:rPr>
        <w:t>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7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010000"/>
        </w:rPr>
        <w:t xml:space="preserve">3.7 </w:t>
      </w:r>
      <w:r>
        <w:rPr>
          <w:rFonts w:ascii="Arial" w:cs="Arial" w:eastAsia="Arial" w:hAnsi="Arial"/>
          <w:sz w:val="19"/>
          <w:szCs w:val="19"/>
          <w:color w:val="000000"/>
        </w:rPr>
        <w:t>Letter of Credit Payments. If any draft or demand shall be presented for payment under any Letter of Credit, the</w:t>
      </w:r>
      <w:r>
        <w:rPr>
          <w:rFonts w:ascii="Arial" w:cs="Arial" w:eastAsia="Arial" w:hAnsi="Arial"/>
          <w:sz w:val="19"/>
          <w:szCs w:val="19"/>
          <w:color w:val="010000"/>
        </w:rPr>
        <w:t xml:space="preserve"> </w:t>
      </w:r>
      <w:r>
        <w:rPr>
          <w:rFonts w:ascii="Arial" w:cs="Arial" w:eastAsia="Arial" w:hAnsi="Arial"/>
          <w:sz w:val="19"/>
          <w:szCs w:val="19"/>
          <w:color w:val="000000"/>
        </w:rPr>
        <w:t xml:space="preserve">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and the Company of the date and amount thereof and whether such Issuing Lender has made or will make the payment under such Letter of Credit; </w:t>
      </w:r>
      <w:r>
        <w:rPr>
          <w:rFonts w:ascii="Arial" w:cs="Arial" w:eastAsia="Arial" w:hAnsi="Arial"/>
          <w:sz w:val="19"/>
          <w:szCs w:val="19"/>
          <w:u w:val="single" w:color="auto"/>
          <w:color w:val="000000"/>
        </w:rPr>
        <w:t>provided</w:t>
      </w:r>
      <w:r>
        <w:rPr>
          <w:rFonts w:ascii="Arial" w:cs="Arial" w:eastAsia="Arial" w:hAnsi="Arial"/>
          <w:sz w:val="19"/>
          <w:szCs w:val="19"/>
          <w:color w:val="000000"/>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8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3.8 </w:t>
      </w:r>
      <w:r>
        <w:rPr>
          <w:rFonts w:ascii="Arial" w:cs="Arial" w:eastAsia="Arial" w:hAnsi="Arial"/>
          <w:sz w:val="20"/>
          <w:szCs w:val="20"/>
          <w:color w:val="000000"/>
        </w:rPr>
        <w:t>Applications. Subject to the requirements of Section 3.12, to the extent that any provision of any Application related to</w:t>
      </w:r>
      <w:r>
        <w:rPr>
          <w:rFonts w:ascii="Arial" w:cs="Arial" w:eastAsia="Arial" w:hAnsi="Arial"/>
          <w:sz w:val="20"/>
          <w:szCs w:val="20"/>
          <w:color w:val="010000"/>
        </w:rPr>
        <w:t xml:space="preserve"> </w:t>
      </w:r>
      <w:r>
        <w:rPr>
          <w:rFonts w:ascii="Arial" w:cs="Arial" w:eastAsia="Arial" w:hAnsi="Arial"/>
          <w:sz w:val="20"/>
          <w:szCs w:val="20"/>
          <w:color w:val="000000"/>
        </w:rPr>
        <w:t>any Letter of Credit is inconsistent with the provisions of any other Loan Document, including this Section 3, the provisions of such other Loan Document or this Section 3, as the case may be, shall apply.</w:t>
      </w:r>
    </w:p>
    <w:p>
      <w:pPr>
        <w:spacing w:after="0" w:line="18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3.9 </w:t>
      </w:r>
      <w:r>
        <w:rPr>
          <w:rFonts w:ascii="Arial" w:cs="Arial" w:eastAsia="Arial" w:hAnsi="Arial"/>
          <w:sz w:val="20"/>
          <w:szCs w:val="20"/>
          <w:color w:val="000000"/>
        </w:rPr>
        <w:t>Collateralization. The Company or any Applicable Account Party may at its option at any time and from time to time</w:t>
      </w:r>
      <w:r>
        <w:rPr>
          <w:rFonts w:ascii="Arial" w:cs="Arial" w:eastAsia="Arial" w:hAnsi="Arial"/>
          <w:sz w:val="20"/>
          <w:szCs w:val="20"/>
          <w:color w:val="010000"/>
        </w:rPr>
        <w:t xml:space="preserve"> </w:t>
      </w:r>
      <w:r>
        <w:rPr>
          <w:rFonts w:ascii="Arial" w:cs="Arial" w:eastAsia="Arial" w:hAnsi="Arial"/>
          <w:sz w:val="20"/>
          <w:szCs w:val="20"/>
          <w:color w:val="000000"/>
        </w:rPr>
        <w:t>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w:t>
      </w:r>
    </w:p>
    <w:p>
      <w:pPr>
        <w:sectPr>
          <w:pgSz w:w="11900" w:h="16838" w:orient="portrait"/>
          <w:cols w:equalWidth="0" w:num="1">
            <w:col w:w="11240"/>
          </w:cols>
          <w:pgMar w:left="320" w:top="568" w:right="339" w:bottom="1440" w:gutter="0" w:footer="0" w:header="0"/>
        </w:sectPr>
      </w:pPr>
    </w:p>
    <w:bookmarkStart w:id="136" w:name="page137"/>
    <w:bookmarkEnd w:id="136"/>
    <w:p>
      <w:pPr>
        <w:jc w:val="both"/>
        <w:spacing w:after="0" w:line="244" w:lineRule="auto"/>
        <w:rPr>
          <w:sz w:val="20"/>
          <w:szCs w:val="20"/>
          <w:color w:val="auto"/>
        </w:rPr>
      </w:pPr>
      <w:r>
        <w:rPr>
          <w:rFonts w:ascii="Arial" w:cs="Arial" w:eastAsia="Arial" w:hAnsi="Arial"/>
          <w:sz w:val="20"/>
          <w:szCs w:val="20"/>
          <w:color w:val="auto"/>
        </w:rPr>
        <w:t>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9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010000"/>
        </w:rPr>
        <w:t xml:space="preserve">3.10 </w:t>
      </w:r>
      <w:r>
        <w:rPr>
          <w:rFonts w:ascii="Arial" w:cs="Arial" w:eastAsia="Arial" w:hAnsi="Arial"/>
          <w:sz w:val="18"/>
          <w:szCs w:val="18"/>
          <w:color w:val="000000"/>
        </w:rPr>
        <w:t>New Issuing Lenders; L/C Commitments. (a) The Company may from time to time (i) decrease the L/C Issuing</w:t>
      </w:r>
      <w:r>
        <w:rPr>
          <w:rFonts w:ascii="Arial" w:cs="Arial" w:eastAsia="Arial" w:hAnsi="Arial"/>
          <w:sz w:val="18"/>
          <w:szCs w:val="18"/>
          <w:color w:val="010000"/>
        </w:rPr>
        <w:t xml:space="preserve"> </w:t>
      </w:r>
      <w:r>
        <w:rPr>
          <w:rFonts w:ascii="Arial" w:cs="Arial" w:eastAsia="Arial" w:hAnsi="Arial"/>
          <w:sz w:val="18"/>
          <w:szCs w:val="18"/>
          <w:color w:val="000000"/>
        </w:rPr>
        <w:t>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Issuing Commitment of any existing Issuing Lender. If the Company shall decide to add a new Issuing Lender under this Agreement, then the Company may appoint from among the L/C Tranche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Issuing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Issuing Commitment shall become effective. Any decrease of an L/C Issuing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L/C Tranche Lenders of the effectiveness of any replacement or addition of an Issuing Lender, or any changed L/C Issuing Commitment pursuant to this Section 3.10.</w:t>
      </w:r>
    </w:p>
    <w:p>
      <w:pPr>
        <w:spacing w:after="0" w:line="185" w:lineRule="exact"/>
        <w:rPr>
          <w:sz w:val="20"/>
          <w:szCs w:val="20"/>
          <w:color w:val="auto"/>
        </w:rPr>
      </w:pPr>
    </w:p>
    <w:p>
      <w:pPr>
        <w:jc w:val="both"/>
        <w:ind w:firstLine="1304"/>
        <w:spacing w:after="0" w:line="243" w:lineRule="auto"/>
        <w:tabs>
          <w:tab w:leader="none" w:pos="1792" w:val="left"/>
        </w:tabs>
        <w:numPr>
          <w:ilvl w:val="0"/>
          <w:numId w:val="84"/>
        </w:numPr>
        <w:rPr>
          <w:rFonts w:ascii="Arial" w:cs="Arial" w:eastAsia="Arial" w:hAnsi="Arial"/>
          <w:sz w:val="20"/>
          <w:szCs w:val="20"/>
          <w:color w:val="010000"/>
        </w:rPr>
      </w:pPr>
      <w:r>
        <w:rPr>
          <w:rFonts w:ascii="Arial" w:cs="Arial" w:eastAsia="Arial" w:hAnsi="Arial"/>
          <w:sz w:val="20"/>
          <w:szCs w:val="20"/>
          <w:color w:val="auto"/>
        </w:rPr>
        <w:t>In the event that an Issuing Lender no longer has an Applicable Lending Office in a particular jurisdiction or in the event that an Applicable Lending Office is not legally able to issue a Letter of Credit in such jurisdiction, such Issuing Lender shall use commercially reasonable efforts to arrange, subject to the terms and conditions hereof, for one or more letters of credit to be issued by an unaffiliated bank that is reasonably acceptable to such Issuing Lender, the Company and the Applicable Account Party with the same pricing and mechanics as described herein and in the L/C Fee Letter and in the manner consistent with Section 3.12 below (it being understood and agreed that the use of commercially reasonable efforts pursuant to this 3.10(b) shall not require any Issuing Lender to incur any monetary cost).</w:t>
      </w:r>
    </w:p>
    <w:p>
      <w:pPr>
        <w:spacing w:after="0" w:line="19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3.11 </w:t>
      </w:r>
      <w:r>
        <w:rPr>
          <w:rFonts w:ascii="Arial" w:cs="Arial" w:eastAsia="Arial" w:hAnsi="Arial"/>
          <w:sz w:val="20"/>
          <w:szCs w:val="20"/>
          <w:color w:val="000000"/>
        </w:rPr>
        <w:t>Existing Letters of Credit and Designated Letters of Credit. (a) On and as of the Closing Date the letters of credit and</w:t>
      </w:r>
      <w:r>
        <w:rPr>
          <w:rFonts w:ascii="Arial" w:cs="Arial" w:eastAsia="Arial" w:hAnsi="Arial"/>
          <w:sz w:val="20"/>
          <w:szCs w:val="20"/>
          <w:color w:val="010000"/>
        </w:rPr>
        <w:t xml:space="preserve"> </w:t>
      </w:r>
      <w:r>
        <w:rPr>
          <w:rFonts w:ascii="Arial" w:cs="Arial" w:eastAsia="Arial" w:hAnsi="Arial"/>
          <w:sz w:val="20"/>
          <w:szCs w:val="20"/>
          <w:color w:val="000000"/>
        </w:rPr>
        <w:t>letters of guarantee set forth on Exhibit C to the L/C Fee Letter (the “</w:t>
      </w:r>
      <w:r>
        <w:rPr>
          <w:rFonts w:ascii="Arial" w:cs="Arial" w:eastAsia="Arial" w:hAnsi="Arial"/>
          <w:sz w:val="20"/>
          <w:szCs w:val="20"/>
          <w:u w:val="single" w:color="auto"/>
          <w:color w:val="000000"/>
        </w:rPr>
        <w:t>Existing Letters of Credit</w:t>
      </w:r>
      <w:r>
        <w:rPr>
          <w:rFonts w:ascii="Arial" w:cs="Arial" w:eastAsia="Arial" w:hAnsi="Arial"/>
          <w:sz w:val="20"/>
          <w:szCs w:val="20"/>
          <w:color w:val="000000"/>
        </w:rPr>
        <w:t>”) will constitute Letters of Credit under this Agreement and for the purposes hereof will be deemed to have been issued for the account of an Applicable Account Party, for which the Company shall be jointly and severally liable, on the Closing Date and each issuer thereof shall be deemed to be an Issuing Lender hereunder solely for the purposes of Sections 3.3, 3.4, 3.5, 3.6, 3.7, 3.8 and 3.9 (whether or not such issuer is otherwise an Issuing Lender hereunder). For the avoidance of doubt, each of</w:t>
      </w:r>
    </w:p>
    <w:p>
      <w:pPr>
        <w:sectPr>
          <w:pgSz w:w="11900" w:h="16838" w:orient="portrait"/>
          <w:cols w:equalWidth="0" w:num="1">
            <w:col w:w="11240"/>
          </w:cols>
          <w:pgMar w:left="320" w:top="568" w:right="339" w:bottom="1440" w:gutter="0" w:footer="0" w:header="0"/>
        </w:sectPr>
      </w:pPr>
    </w:p>
    <w:bookmarkStart w:id="137" w:name="page138"/>
    <w:bookmarkEnd w:id="137"/>
    <w:p>
      <w:pPr>
        <w:spacing w:after="0" w:line="260" w:lineRule="auto"/>
        <w:rPr>
          <w:sz w:val="20"/>
          <w:szCs w:val="20"/>
          <w:color w:val="auto"/>
        </w:rPr>
      </w:pPr>
      <w:r>
        <w:rPr>
          <w:rFonts w:ascii="Arial" w:cs="Arial" w:eastAsia="Arial" w:hAnsi="Arial"/>
          <w:sz w:val="20"/>
          <w:szCs w:val="20"/>
          <w:color w:val="auto"/>
        </w:rPr>
        <w:t>the letters of credit outstanding under the Existing Three Year Credit Agreement as of the Closing Date shall be listed on Exhibit C to the L/C Fee Letter and shall be Existing Letters of Credit hereunder.</w:t>
      </w:r>
    </w:p>
    <w:p>
      <w:pPr>
        <w:spacing w:after="0" w:line="177" w:lineRule="exact"/>
        <w:rPr>
          <w:sz w:val="20"/>
          <w:szCs w:val="20"/>
          <w:color w:val="auto"/>
        </w:rPr>
      </w:pPr>
    </w:p>
    <w:p>
      <w:pPr>
        <w:jc w:val="both"/>
        <w:ind w:firstLine="1304"/>
        <w:spacing w:after="0" w:line="268" w:lineRule="auto"/>
        <w:tabs>
          <w:tab w:leader="none" w:pos="1765"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Subject to any restrictions imposed by any applicable Requirement of Law, upon notice to the Administrative Agent, the Company may designate letters of credit issued by any Issuing Lender or one of its Applicable Lending Offices for the benefit of the Company or an Applicable Account Party as a Letter of Credit under this Agreement and for the purposes hereof such letter of credit will be deemed to have been issued for the account of the Company or such Applicable Account Party on the date of such designation (such date, the “</w:t>
      </w:r>
      <w:r>
        <w:rPr>
          <w:rFonts w:ascii="Arial" w:cs="Arial" w:eastAsia="Arial" w:hAnsi="Arial"/>
          <w:sz w:val="18"/>
          <w:szCs w:val="18"/>
          <w:u w:val="single" w:color="auto"/>
          <w:color w:val="auto"/>
        </w:rPr>
        <w:t>Designation Date</w:t>
      </w:r>
      <w:r>
        <w:rPr>
          <w:rFonts w:ascii="Arial" w:cs="Arial" w:eastAsia="Arial" w:hAnsi="Arial"/>
          <w:sz w:val="18"/>
          <w:szCs w:val="18"/>
          <w:color w:val="auto"/>
        </w:rPr>
        <w:t>”) and each issuer thereof shall be deemed to be an Issuing Lender hereunder solely for the purposes of Sections 3.3, 3.4, 3.5, 3.6, 3.7, 3.8 and 3.9 (whether or not such issuer is otherwise an Issuing Lender hereunder) (the “</w:t>
      </w:r>
      <w:r>
        <w:rPr>
          <w:rFonts w:ascii="Arial" w:cs="Arial" w:eastAsia="Arial" w:hAnsi="Arial"/>
          <w:sz w:val="18"/>
          <w:szCs w:val="18"/>
          <w:u w:val="single" w:color="auto"/>
          <w:color w:val="auto"/>
        </w:rPr>
        <w:t>Designated Letters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after giving effect to such deemed issuance hereunder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shall not exceed such Issuing Lender’s L/C Issuing Commitment then in effect, (B) the Total L/C Tranche Extensions of Credit shall not exceed the Total L/C Tranche Commitment then in effect and (C) the sum of (x) 105% of the Dollar Equivalent of Letters of Credit denominated in Optional Currencies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then Outstanding Amount of the Total L/C Tranche Extensions of Credit other than Letters of Credit denominated in Optional Currencies shall not exceed the Total L/C Tranche Commitments then in effect, (ii) the Company shall be jointly and severally liable with respect to each such Letter of Credit deemed issued hereunder for the account of an Applicable Account Party and (iii) such deemed issuance will be an Extension of Credit for the purposes of Section 5.2. Each such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the foregoing clause (B), unless and to the extent that such Letter of Credit is Collateralized for the period following such date at 100% of the undrawn and unexpired amount of such Letter of Credit if requested by the relevant Issuing Lender) and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upon request of the Company and with the consent of the relevant Issuing Lender, any such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w:t>
      </w:r>
    </w:p>
    <w:p>
      <w:pPr>
        <w:spacing w:after="0" w:line="173" w:lineRule="exact"/>
        <w:rPr>
          <w:rFonts w:ascii="Arial" w:cs="Arial" w:eastAsia="Arial" w:hAnsi="Arial"/>
          <w:sz w:val="18"/>
          <w:szCs w:val="18"/>
          <w:color w:val="010000"/>
        </w:rPr>
      </w:pPr>
    </w:p>
    <w:p>
      <w:pPr>
        <w:jc w:val="both"/>
        <w:ind w:firstLine="1304"/>
        <w:spacing w:after="0" w:line="282" w:lineRule="auto"/>
        <w:tabs>
          <w:tab w:leader="none" w:pos="1754"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Replacement of Letters of Credit</w:t>
      </w:r>
      <w:r>
        <w:rPr>
          <w:rFonts w:ascii="Arial" w:cs="Arial" w:eastAsia="Arial" w:hAnsi="Arial"/>
          <w:sz w:val="18"/>
          <w:szCs w:val="18"/>
          <w:color w:val="auto"/>
        </w:rPr>
        <w:t>. On the Closing Date or Designation Date, as applicable, each agreement governing the letters of credit referred to clauses (a) and (b) above that constitute Letters of Credit hereunder (other than, for the avoidance of doubt, the Letter of Credit itself) shall be deemed superseded and replaced in its entirety by the provisions of this Agreement and, if applicable, as such provisions may be modified by any Letter of Credit Acknowledgment with regard to such Letters of Credit.</w:t>
      </w:r>
    </w:p>
    <w:p>
      <w:pPr>
        <w:spacing w:after="0" w:line="161" w:lineRule="exact"/>
        <w:rPr>
          <w:rFonts w:ascii="Arial" w:cs="Arial" w:eastAsia="Arial" w:hAnsi="Arial"/>
          <w:sz w:val="18"/>
          <w:szCs w:val="18"/>
          <w:color w:val="010000"/>
        </w:rPr>
      </w:pPr>
    </w:p>
    <w:p>
      <w:pPr>
        <w:jc w:val="both"/>
        <w:ind w:firstLine="1304"/>
        <w:spacing w:after="0" w:line="260" w:lineRule="auto"/>
        <w:tabs>
          <w:tab w:leader="none" w:pos="1792" w:val="left"/>
        </w:tabs>
        <w:numPr>
          <w:ilvl w:val="0"/>
          <w:numId w:val="85"/>
        </w:numPr>
        <w:rPr>
          <w:rFonts w:ascii="Arial" w:cs="Arial" w:eastAsia="Arial" w:hAnsi="Arial"/>
          <w:sz w:val="19"/>
          <w:szCs w:val="19"/>
          <w:color w:val="010000"/>
        </w:rPr>
      </w:pPr>
      <w:r>
        <w:rPr>
          <w:rFonts w:ascii="Arial" w:cs="Arial" w:eastAsia="Arial" w:hAnsi="Arial"/>
          <w:sz w:val="19"/>
          <w:szCs w:val="19"/>
          <w:u w:val="single" w:color="auto"/>
          <w:color w:val="auto"/>
        </w:rPr>
        <w:t>Termination of Existing Guarantees</w:t>
      </w:r>
      <w:r>
        <w:rPr>
          <w:rFonts w:ascii="Arial" w:cs="Arial" w:eastAsia="Arial" w:hAnsi="Arial"/>
          <w:sz w:val="19"/>
          <w:szCs w:val="19"/>
          <w:color w:val="auto"/>
        </w:rPr>
        <w:t>. To the extent any letter of credit issued outside this Agreement by any Issuing Lender or any affiliate thereof becomes a Letter of Credit hereunder pursuant to paragraph (a) or (b) above, any guarantees provided by the Company, any Loan Party or any Applicable Account Party to such Issuing Lender or such affiliate in respect of such Existing Letters of Credit or Designated Letters of Credit, as applicable (other than any such existing guarantee provided by the Company under the Existing Three Year Credit Agreement), shall automatically terminate with respect to such Existing</w:t>
      </w:r>
    </w:p>
    <w:p>
      <w:pPr>
        <w:sectPr>
          <w:pgSz w:w="11900" w:h="16838" w:orient="portrait"/>
          <w:cols w:equalWidth="0" w:num="1">
            <w:col w:w="11240"/>
          </w:cols>
          <w:pgMar w:left="320" w:top="568" w:right="339" w:bottom="1440" w:gutter="0" w:footer="0" w:header="0"/>
        </w:sectPr>
      </w:pPr>
    </w:p>
    <w:bookmarkStart w:id="138" w:name="page139"/>
    <w:bookmarkEnd w:id="138"/>
    <w:p>
      <w:pPr>
        <w:jc w:val="both"/>
        <w:spacing w:after="0" w:line="263" w:lineRule="auto"/>
        <w:rPr>
          <w:sz w:val="20"/>
          <w:szCs w:val="20"/>
          <w:color w:val="auto"/>
        </w:rPr>
      </w:pPr>
      <w:r>
        <w:rPr>
          <w:rFonts w:ascii="Arial" w:cs="Arial" w:eastAsia="Arial" w:hAnsi="Arial"/>
          <w:sz w:val="19"/>
          <w:szCs w:val="19"/>
          <w:color w:val="auto"/>
        </w:rPr>
        <w:t>Letters of Credit or Designated Letters of Credit, as applicable, on the Closing Date or the applicable Designation Date, as the case may be, and be of no further force or effect. Additionally, any collateral provided by the Company, any Loan Party or any Applicable Account Party with regard to such Existing Letters of Credit or Designated Letters of Credit shall be released and returned to the Company or such Applicable Account Party on the Closing Date or the applicable Designation Date, as the case may be.</w:t>
      </w:r>
    </w:p>
    <w:p>
      <w:pPr>
        <w:spacing w:after="0" w:line="17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010000"/>
        </w:rPr>
        <w:t xml:space="preserve">3.12 </w:t>
      </w:r>
      <w:r>
        <w:rPr>
          <w:rFonts w:ascii="Arial" w:cs="Arial" w:eastAsia="Arial" w:hAnsi="Arial"/>
          <w:sz w:val="18"/>
          <w:szCs w:val="18"/>
          <w:color w:val="000000"/>
        </w:rPr>
        <w:t>Conflicts. (a) In the event of any inconsistency between the terms and conditions of this Agreement and the terms and</w:t>
      </w:r>
      <w:r>
        <w:rPr>
          <w:rFonts w:ascii="Arial" w:cs="Arial" w:eastAsia="Arial" w:hAnsi="Arial"/>
          <w:sz w:val="18"/>
          <w:szCs w:val="18"/>
          <w:color w:val="010000"/>
        </w:rPr>
        <w:t xml:space="preserve"> </w:t>
      </w:r>
      <w:r>
        <w:rPr>
          <w:rFonts w:ascii="Arial" w:cs="Arial" w:eastAsia="Arial" w:hAnsi="Arial"/>
          <w:sz w:val="18"/>
          <w:szCs w:val="18"/>
          <w:color w:val="000000"/>
        </w:rPr>
        <w:t>conditions of any Application or any other application, reimbursement agreement, instrument, certificate or other document submitted by an Applicable Account Party to, or entered into by an Applicable Account Party with the Issuing Lender relating to any Letter of Credit (including any Existing Letters of Credit), (i) with respect to any Letter of Credit issued in the United States, the terms and conditions of this Agreement shall control and (ii) with respect to any Letter of Credit issued in a jurisdiction other than the United States, the terms and conditions of this Agreement shall control, except for (A) operational terms required by such Applicable Lending Office or unaffiliated bank for similarly situated applicants that do not have a material impact on the ability of such Applicable Lending Office or unaffiliated bank to issue such Letters of Credit and are not materially inconsistent with this Agreement and the L/C Fee Letter or (B) if required pursuant to a Requirement of Law. Additionally, each Applicable Lending Office shall sign a Letter of Credit Acknowledgment.</w:t>
      </w:r>
    </w:p>
    <w:p>
      <w:pPr>
        <w:spacing w:after="0" w:line="170" w:lineRule="exact"/>
        <w:rPr>
          <w:sz w:val="20"/>
          <w:szCs w:val="20"/>
          <w:color w:val="auto"/>
        </w:rPr>
      </w:pPr>
    </w:p>
    <w:p>
      <w:pPr>
        <w:jc w:val="both"/>
        <w:ind w:firstLine="1304"/>
        <w:spacing w:after="0" w:line="271" w:lineRule="auto"/>
        <w:tabs>
          <w:tab w:leader="none" w:pos="1819"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 xml:space="preserve">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a Letter of Credit that is issued in a jurisdiction outside of the United States, such Letter of Credit shall be governed by, and shall be construed in accordance with, the laws of a jurisdiction as specified in the applicable Letter of Credit Acknowledgment or such other jurisdiction requested by the beneficiary and acceptable to the Issuing Lender and the Company, except with respect to terms and conditions of this Agreement that control as provided in Section 3.12(a) above or in any Letter of Credit Acknowledgment, which shall be governed by, and construed in accordance with, the laws of the State of New York, and (ii) to the extent not prohibited by such laws and not materially 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4.</w:t>
      </w:r>
      <w:r>
        <w:rPr>
          <w:sz w:val="20"/>
          <w:szCs w:val="20"/>
          <w:color w:val="auto"/>
        </w:rPr>
        <w:tab/>
      </w:r>
      <w:r>
        <w:rPr>
          <w:rFonts w:ascii="Arial" w:cs="Arial" w:eastAsia="Arial" w:hAnsi="Arial"/>
          <w:sz w:val="19"/>
          <w:szCs w:val="19"/>
          <w:b w:val="1"/>
          <w:bCs w:val="1"/>
          <w:u w:val="single" w:color="auto"/>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induce the Lenders to enter into this Agreement and to make the Loans and issue or participate in the Letters of Credit the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Company hereby represents and warrants to each Lender that:</w:t>
      </w:r>
    </w:p>
    <w:p>
      <w:pPr>
        <w:spacing w:after="0" w:line="20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010000"/>
        </w:rPr>
        <w:t xml:space="preserve">4.1 </w:t>
      </w:r>
      <w:r>
        <w:rPr>
          <w:rFonts w:ascii="Arial" w:cs="Arial" w:eastAsia="Arial" w:hAnsi="Arial"/>
          <w:sz w:val="18"/>
          <w:szCs w:val="18"/>
          <w:color w:val="000000"/>
        </w:rPr>
        <w:t>Financial Condition. The consolidated financial statements of the Company included in its Annual Report on Form 10-K, for the twelve-month period ended December 31, 2017 (the “</w:t>
      </w:r>
      <w:r>
        <w:rPr>
          <w:rFonts w:ascii="Arial" w:cs="Arial" w:eastAsia="Arial" w:hAnsi="Arial"/>
          <w:sz w:val="18"/>
          <w:szCs w:val="18"/>
          <w:u w:val="single" w:color="auto"/>
          <w:color w:val="000000"/>
        </w:rPr>
        <w:t>2017 10-K</w:t>
      </w:r>
      <w:r>
        <w:rPr>
          <w:rFonts w:ascii="Arial" w:cs="Arial" w:eastAsia="Arial" w:hAnsi="Arial"/>
          <w:sz w:val="18"/>
          <w:szCs w:val="18"/>
          <w:color w:val="000000"/>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2017; </w:t>
      </w:r>
      <w:r>
        <w:rPr>
          <w:rFonts w:ascii="Arial" w:cs="Arial" w:eastAsia="Arial" w:hAnsi="Arial"/>
          <w:sz w:val="18"/>
          <w:szCs w:val="18"/>
          <w:u w:val="single" w:color="auto"/>
          <w:color w:val="000000"/>
        </w:rPr>
        <w:t>provided</w:t>
      </w:r>
      <w:r>
        <w:rPr>
          <w:rFonts w:ascii="Arial" w:cs="Arial" w:eastAsia="Arial" w:hAnsi="Arial"/>
          <w:sz w:val="18"/>
          <w:szCs w:val="18"/>
          <w:color w:val="000000"/>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ectPr>
          <w:pgSz w:w="11900" w:h="16838" w:orient="portrait"/>
          <w:cols w:equalWidth="0" w:num="1">
            <w:col w:w="11240"/>
          </w:cols>
          <w:pgMar w:left="320" w:top="568" w:right="339" w:bottom="1440" w:gutter="0" w:footer="0" w:header="0"/>
        </w:sectPr>
      </w:pPr>
    </w:p>
    <w:bookmarkStart w:id="139" w:name="page140"/>
    <w:bookmarkEnd w:id="139"/>
    <w:p>
      <w:pPr>
        <w:jc w:val="both"/>
        <w:ind w:firstLine="1296"/>
        <w:spacing w:after="0" w:line="260" w:lineRule="auto"/>
        <w:rPr>
          <w:sz w:val="20"/>
          <w:szCs w:val="20"/>
          <w:color w:val="auto"/>
        </w:rPr>
      </w:pPr>
      <w:r>
        <w:rPr>
          <w:rFonts w:ascii="Arial" w:cs="Arial" w:eastAsia="Arial" w:hAnsi="Arial"/>
          <w:sz w:val="20"/>
          <w:szCs w:val="20"/>
          <w:color w:val="010000"/>
        </w:rPr>
        <w:t xml:space="preserve">4.2 </w:t>
      </w:r>
      <w:r>
        <w:rPr>
          <w:rFonts w:ascii="Arial" w:cs="Arial" w:eastAsia="Arial" w:hAnsi="Arial"/>
          <w:sz w:val="20"/>
          <w:szCs w:val="20"/>
          <w:color w:val="000000"/>
        </w:rPr>
        <w:t>No Change. Between the date of the financial statements included in the 2017 10-K and the Closing Date, there has</w:t>
      </w:r>
      <w:r>
        <w:rPr>
          <w:rFonts w:ascii="Arial" w:cs="Arial" w:eastAsia="Arial" w:hAnsi="Arial"/>
          <w:sz w:val="20"/>
          <w:szCs w:val="20"/>
          <w:color w:val="010000"/>
        </w:rPr>
        <w:t xml:space="preserve"> </w:t>
      </w:r>
      <w:r>
        <w:rPr>
          <w:rFonts w:ascii="Arial" w:cs="Arial" w:eastAsia="Arial" w:hAnsi="Arial"/>
          <w:sz w:val="20"/>
          <w:szCs w:val="20"/>
          <w:color w:val="000000"/>
        </w:rPr>
        <w:t>been no development or event which has had a Material Adverse Effect.</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010000"/>
        </w:rPr>
        <w:t xml:space="preserve">4.3 </w:t>
      </w:r>
      <w:r>
        <w:rPr>
          <w:rFonts w:ascii="Arial" w:cs="Arial" w:eastAsia="Arial" w:hAnsi="Arial"/>
          <w:sz w:val="18"/>
          <w:szCs w:val="18"/>
          <w:color w:val="000000"/>
        </w:rPr>
        <w:t>Existence. Each Loan Party (a) is duly organized, validly existing and in good standing under the laws of its</w:t>
      </w:r>
      <w:r>
        <w:rPr>
          <w:rFonts w:ascii="Arial" w:cs="Arial" w:eastAsia="Arial" w:hAnsi="Arial"/>
          <w:sz w:val="18"/>
          <w:szCs w:val="18"/>
          <w:color w:val="010000"/>
        </w:rPr>
        <w:t xml:space="preserve"> </w:t>
      </w:r>
      <w:r>
        <w:rPr>
          <w:rFonts w:ascii="Arial" w:cs="Arial" w:eastAsia="Arial" w:hAnsi="Arial"/>
          <w:sz w:val="18"/>
          <w:szCs w:val="18"/>
          <w:color w:val="000000"/>
        </w:rPr>
        <w:t>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color w:val="000000"/>
        </w:rPr>
        <w:t>Power; Authorization; Enforceable Obligations. Each Loan Party (a) has the requisite organizational power and</w:t>
      </w:r>
      <w:r>
        <w:rPr>
          <w:rFonts w:ascii="Arial" w:cs="Arial" w:eastAsia="Arial" w:hAnsi="Arial"/>
          <w:sz w:val="19"/>
          <w:szCs w:val="19"/>
          <w:color w:val="010000"/>
        </w:rPr>
        <w:t xml:space="preserve"> </w:t>
      </w:r>
      <w:r>
        <w:rPr>
          <w:rFonts w:ascii="Arial" w:cs="Arial" w:eastAsia="Arial" w:hAnsi="Arial"/>
          <w:sz w:val="19"/>
          <w:szCs w:val="19"/>
          <w:color w:val="000000"/>
        </w:rPr>
        <w:t>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010000"/>
        </w:rPr>
        <w:t xml:space="preserve">4.5 </w:t>
      </w:r>
      <w:r>
        <w:rPr>
          <w:rFonts w:ascii="Arial" w:cs="Arial" w:eastAsia="Arial" w:hAnsi="Arial"/>
          <w:sz w:val="20"/>
          <w:szCs w:val="20"/>
          <w:color w:val="000000"/>
        </w:rPr>
        <w:t>No Legal Bar. The execution, delivery and performance of this Agreement and the other Loan Documents by each</w:t>
      </w:r>
      <w:r>
        <w:rPr>
          <w:rFonts w:ascii="Arial" w:cs="Arial" w:eastAsia="Arial" w:hAnsi="Arial"/>
          <w:sz w:val="20"/>
          <w:szCs w:val="20"/>
          <w:color w:val="010000"/>
        </w:rPr>
        <w:t xml:space="preserve"> </w:t>
      </w:r>
      <w:r>
        <w:rPr>
          <w:rFonts w:ascii="Arial" w:cs="Arial" w:eastAsia="Arial" w:hAnsi="Arial"/>
          <w:sz w:val="20"/>
          <w:szCs w:val="20"/>
          <w:color w:val="000000"/>
        </w:rPr>
        <w:t>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9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4.6 </w:t>
      </w:r>
      <w:r>
        <w:rPr>
          <w:rFonts w:ascii="Arial" w:cs="Arial" w:eastAsia="Arial" w:hAnsi="Arial"/>
          <w:sz w:val="20"/>
          <w:szCs w:val="20"/>
          <w:color w:val="000000"/>
        </w:rPr>
        <w:t>Litigation. Except as set forth on Schedule 4.6 and except as set forth in the 2017 10-K or on any Current Report on</w:t>
      </w:r>
      <w:r>
        <w:rPr>
          <w:rFonts w:ascii="Arial" w:cs="Arial" w:eastAsia="Arial" w:hAnsi="Arial"/>
          <w:sz w:val="20"/>
          <w:szCs w:val="20"/>
          <w:color w:val="010000"/>
        </w:rPr>
        <w:t xml:space="preserve"> </w:t>
      </w:r>
      <w:r>
        <w:rPr>
          <w:rFonts w:ascii="Arial" w:cs="Arial" w:eastAsia="Arial" w:hAnsi="Arial"/>
          <w:sz w:val="20"/>
          <w:szCs w:val="20"/>
          <w:color w:val="000000"/>
        </w:rPr>
        <w:t>Form 8-K of the Company filed with the 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91"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010000"/>
        </w:rPr>
        <w:t>4.7</w:t>
      </w:r>
      <w:r>
        <w:rPr>
          <w:sz w:val="20"/>
          <w:szCs w:val="20"/>
          <w:color w:val="auto"/>
        </w:rPr>
        <w:tab/>
      </w:r>
      <w:r>
        <w:rPr>
          <w:rFonts w:ascii="Arial" w:cs="Arial" w:eastAsia="Arial" w:hAnsi="Arial"/>
          <w:sz w:val="18"/>
          <w:szCs w:val="18"/>
          <w:color w:val="auto"/>
        </w:rPr>
        <w:t>No Default. As of the Closing Date no Default or Event of Default has occurred and is continuing.</w:t>
      </w:r>
    </w:p>
    <w:p>
      <w:pPr>
        <w:spacing w:after="0" w:line="21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010000"/>
        </w:rPr>
        <w:t xml:space="preserve">4.8 </w:t>
      </w:r>
      <w:r>
        <w:rPr>
          <w:rFonts w:ascii="Arial" w:cs="Arial" w:eastAsia="Arial" w:hAnsi="Arial"/>
          <w:sz w:val="20"/>
          <w:szCs w:val="20"/>
          <w:color w:val="000000"/>
        </w:rPr>
        <w:t>Ownership of Property. As of the Closing Date, the Company and each Principal Domestic Subsidiary, as applicable,</w:t>
      </w:r>
      <w:r>
        <w:rPr>
          <w:rFonts w:ascii="Arial" w:cs="Arial" w:eastAsia="Arial" w:hAnsi="Arial"/>
          <w:sz w:val="20"/>
          <w:szCs w:val="20"/>
          <w:color w:val="010000"/>
        </w:rPr>
        <w:t xml:space="preserve"> </w:t>
      </w:r>
      <w:r>
        <w:rPr>
          <w:rFonts w:ascii="Arial" w:cs="Arial" w:eastAsia="Arial" w:hAnsi="Arial"/>
          <w:sz w:val="20"/>
          <w:szCs w:val="20"/>
          <w:color w:val="000000"/>
        </w:rPr>
        <w:t xml:space="preserve">has good title to, or a valid leasehold interest in, all of its other property then owned or leased by it; </w:t>
      </w:r>
      <w:r>
        <w:rPr>
          <w:rFonts w:ascii="Arial" w:cs="Arial" w:eastAsia="Arial" w:hAnsi="Arial"/>
          <w:sz w:val="20"/>
          <w:szCs w:val="20"/>
          <w:u w:val="single" w:color="auto"/>
          <w:color w:val="000000"/>
        </w:rPr>
        <w:t>provided</w:t>
      </w:r>
      <w:r>
        <w:rPr>
          <w:rFonts w:ascii="Arial" w:cs="Arial" w:eastAsia="Arial" w:hAnsi="Arial"/>
          <w:sz w:val="20"/>
          <w:szCs w:val="20"/>
          <w:color w:val="000000"/>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010000"/>
        </w:rPr>
        <w:t xml:space="preserve">4.9 </w:t>
      </w:r>
      <w:r>
        <w:rPr>
          <w:rFonts w:ascii="Arial" w:cs="Arial" w:eastAsia="Arial" w:hAnsi="Arial"/>
          <w:sz w:val="20"/>
          <w:szCs w:val="20"/>
          <w:color w:val="000000"/>
        </w:rPr>
        <w:t>Intellectual Property. As of the Closing Date, the Company and each Principal Domestic Subsidiary own, or are</w:t>
      </w:r>
      <w:r>
        <w:rPr>
          <w:rFonts w:ascii="Arial" w:cs="Arial" w:eastAsia="Arial" w:hAnsi="Arial"/>
          <w:sz w:val="20"/>
          <w:szCs w:val="20"/>
          <w:color w:val="010000"/>
        </w:rPr>
        <w:t xml:space="preserve"> </w:t>
      </w:r>
      <w:r>
        <w:rPr>
          <w:rFonts w:ascii="Arial" w:cs="Arial" w:eastAsia="Arial" w:hAnsi="Arial"/>
          <w:sz w:val="20"/>
          <w:szCs w:val="20"/>
          <w:color w:val="000000"/>
        </w:rPr>
        <w:t>licensed to use, all United States Intellectual Property necessary for the</w:t>
      </w:r>
    </w:p>
    <w:p>
      <w:pPr>
        <w:sectPr>
          <w:pgSz w:w="11900" w:h="16838" w:orient="portrait"/>
          <w:cols w:equalWidth="0" w:num="1">
            <w:col w:w="11240"/>
          </w:cols>
          <w:pgMar w:left="320" w:top="568" w:right="339" w:bottom="1440" w:gutter="0" w:footer="0" w:header="0"/>
        </w:sectPr>
      </w:pPr>
    </w:p>
    <w:bookmarkStart w:id="140" w:name="page141"/>
    <w:bookmarkEnd w:id="140"/>
    <w:p>
      <w:pPr>
        <w:jc w:val="both"/>
        <w:ind w:right="20"/>
        <w:spacing w:after="0" w:line="260" w:lineRule="auto"/>
        <w:rPr>
          <w:sz w:val="20"/>
          <w:szCs w:val="20"/>
          <w:color w:val="auto"/>
        </w:rPr>
      </w:pPr>
      <w:r>
        <w:rPr>
          <w:rFonts w:ascii="Arial" w:cs="Arial" w:eastAsia="Arial" w:hAnsi="Arial"/>
          <w:sz w:val="20"/>
          <w:szCs w:val="20"/>
          <w:color w:val="auto"/>
        </w:rPr>
        <w:t>operation of their respective businesses as currently conducted and as proposed to be conducted, except where the failure to own or be licensed would not reasonably be expected to have a Material Adverse Effect.</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010000"/>
        </w:rPr>
        <w:t xml:space="preserve">4.10 </w:t>
      </w:r>
      <w:r>
        <w:rPr>
          <w:rFonts w:ascii="Arial" w:cs="Arial" w:eastAsia="Arial" w:hAnsi="Arial"/>
          <w:sz w:val="20"/>
          <w:szCs w:val="20"/>
          <w:color w:val="000000"/>
        </w:rPr>
        <w:t>Federal Regulations. No part of the proceeds of any Loans or Letters of Credit, and no other extensions of credit</w:t>
      </w:r>
      <w:r>
        <w:rPr>
          <w:rFonts w:ascii="Arial" w:cs="Arial" w:eastAsia="Arial" w:hAnsi="Arial"/>
          <w:sz w:val="20"/>
          <w:szCs w:val="20"/>
          <w:color w:val="010000"/>
        </w:rPr>
        <w:t xml:space="preserve"> </w:t>
      </w:r>
      <w:r>
        <w:rPr>
          <w:rFonts w:ascii="Arial" w:cs="Arial" w:eastAsia="Arial" w:hAnsi="Arial"/>
          <w:sz w:val="20"/>
          <w:szCs w:val="20"/>
          <w:color w:val="000000"/>
        </w:rPr>
        <w:t>hereunder, will be used for any purpose that violates the provisions of Regulation T, U or X of the Board.</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010000"/>
        </w:rPr>
        <w:t>4.11</w:t>
      </w:r>
      <w:r>
        <w:rPr>
          <w:sz w:val="20"/>
          <w:szCs w:val="20"/>
          <w:color w:val="auto"/>
        </w:rPr>
        <w:tab/>
      </w:r>
      <w:r>
        <w:rPr>
          <w:rFonts w:ascii="Arial" w:cs="Arial" w:eastAsia="Arial" w:hAnsi="Arial"/>
          <w:sz w:val="18"/>
          <w:szCs w:val="18"/>
          <w:color w:val="auto"/>
        </w:rPr>
        <w:t>ERISA. No ERISA Default has occurred and is continuing.</w:t>
      </w:r>
    </w:p>
    <w:p>
      <w:pPr>
        <w:spacing w:after="0" w:line="21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010000"/>
        </w:rPr>
        <w:t xml:space="preserve">4.12 </w:t>
      </w:r>
      <w:r>
        <w:rPr>
          <w:rFonts w:ascii="Arial" w:cs="Arial" w:eastAsia="Arial" w:hAnsi="Arial"/>
          <w:sz w:val="19"/>
          <w:szCs w:val="19"/>
          <w:color w:val="000000"/>
        </w:rPr>
        <w:t>Investment Company Act. No Loan Party is an “investment company”, or a company “controlled” by an “investment</w:t>
      </w:r>
      <w:r>
        <w:rPr>
          <w:rFonts w:ascii="Arial" w:cs="Arial" w:eastAsia="Arial" w:hAnsi="Arial"/>
          <w:sz w:val="19"/>
          <w:szCs w:val="19"/>
          <w:color w:val="010000"/>
        </w:rPr>
        <w:t xml:space="preserve"> </w:t>
      </w:r>
      <w:r>
        <w:rPr>
          <w:rFonts w:ascii="Arial" w:cs="Arial" w:eastAsia="Arial" w:hAnsi="Arial"/>
          <w:sz w:val="19"/>
          <w:szCs w:val="19"/>
          <w:color w:val="000000"/>
        </w:rPr>
        <w:t>company”, registered or required to be registered as such under the Investment Company Act of 1940, as amended.</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010000"/>
        </w:rPr>
        <w:t xml:space="preserve">4.13 </w:t>
      </w:r>
      <w:r>
        <w:rPr>
          <w:rFonts w:ascii="Arial" w:cs="Arial" w:eastAsia="Arial" w:hAnsi="Arial"/>
          <w:sz w:val="20"/>
          <w:szCs w:val="20"/>
          <w:color w:val="000000"/>
        </w:rPr>
        <w:t>Ownership of the Subsidiary Borrowers. As of the Closing Date, each Subsidiary Borrower is a direct or indirect</w:t>
      </w:r>
      <w:r>
        <w:rPr>
          <w:rFonts w:ascii="Arial" w:cs="Arial" w:eastAsia="Arial" w:hAnsi="Arial"/>
          <w:sz w:val="20"/>
          <w:szCs w:val="20"/>
          <w:color w:val="010000"/>
        </w:rPr>
        <w:t xml:space="preserve"> </w:t>
      </w:r>
      <w:r>
        <w:rPr>
          <w:rFonts w:ascii="Arial" w:cs="Arial" w:eastAsia="Arial" w:hAnsi="Arial"/>
          <w:sz w:val="20"/>
          <w:szCs w:val="20"/>
          <w:color w:val="000000"/>
        </w:rPr>
        <w:t>wholly-owned Subsidiary of the Company.</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4.14 </w:t>
      </w:r>
      <w:r>
        <w:rPr>
          <w:rFonts w:ascii="Arial" w:cs="Arial" w:eastAsia="Arial" w:hAnsi="Arial"/>
          <w:sz w:val="20"/>
          <w:szCs w:val="20"/>
          <w:color w:val="000000"/>
        </w:rPr>
        <w:t>Use of Proceeds. The proceeds of the Loans and Letters of Credit shall be used to finance the working capital needs of</w:t>
      </w:r>
      <w:r>
        <w:rPr>
          <w:rFonts w:ascii="Arial" w:cs="Arial" w:eastAsia="Arial" w:hAnsi="Arial"/>
          <w:sz w:val="20"/>
          <w:szCs w:val="20"/>
          <w:color w:val="010000"/>
        </w:rPr>
        <w:t xml:space="preserve"> </w:t>
      </w:r>
      <w:r>
        <w:rPr>
          <w:rFonts w:ascii="Arial" w:cs="Arial" w:eastAsia="Arial" w:hAnsi="Arial"/>
          <w:sz w:val="20"/>
          <w:szCs w:val="20"/>
          <w:color w:val="000000"/>
        </w:rPr>
        <w:t>the Company and its Subsidiaries and for general corporate or entity purposes, including to enable the Company to make valuable transfers to any of its Subsidiaries in connection with the operation of their respective businesses.</w:t>
      </w:r>
    </w:p>
    <w:p>
      <w:pPr>
        <w:spacing w:after="0" w:line="18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010000"/>
        </w:rPr>
        <w:t xml:space="preserve">4.15 </w:t>
      </w:r>
      <w:r>
        <w:rPr>
          <w:rFonts w:ascii="Arial" w:cs="Arial" w:eastAsia="Arial" w:hAnsi="Arial"/>
          <w:sz w:val="19"/>
          <w:szCs w:val="19"/>
          <w:color w:val="000000"/>
        </w:rPr>
        <w:t>Anti-Corruption Laws and Sanctions. The Company has implemented and maintains in effect corporate policies</w:t>
      </w:r>
      <w:r>
        <w:rPr>
          <w:rFonts w:ascii="Arial" w:cs="Arial" w:eastAsia="Arial" w:hAnsi="Arial"/>
          <w:sz w:val="19"/>
          <w:szCs w:val="19"/>
          <w:color w:val="010000"/>
        </w:rPr>
        <w:t xml:space="preserve"> </w:t>
      </w:r>
      <w:r>
        <w:rPr>
          <w:rFonts w:ascii="Arial" w:cs="Arial" w:eastAsia="Arial" w:hAnsi="Arial"/>
          <w:sz w:val="19"/>
          <w:szCs w:val="19"/>
          <w:color w:val="000000"/>
        </w:rPr>
        <w:t>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w:t>
      </w:r>
      <w:r>
        <w:rPr>
          <w:rFonts w:ascii="Arial" w:cs="Arial" w:eastAsia="Arial" w:hAnsi="Arial"/>
          <w:sz w:val="19"/>
          <w:szCs w:val="19"/>
          <w:u w:val="single" w:color="auto"/>
          <w:color w:val="0000FF"/>
        </w:rPr>
        <w:t>, Her Majesty’s Treasury of the United Kingdom</w:t>
      </w:r>
      <w:r>
        <w:rPr>
          <w:rFonts w:ascii="Arial" w:cs="Arial" w:eastAsia="Arial" w:hAnsi="Arial"/>
          <w:sz w:val="19"/>
          <w:szCs w:val="19"/>
          <w:color w:val="000000"/>
        </w:rPr>
        <w:t xml:space="preserve"> or the U.S. Department of State or the European Union (collectively, the “</w:t>
      </w:r>
      <w:r>
        <w:rPr>
          <w:rFonts w:ascii="Arial" w:cs="Arial" w:eastAsia="Arial" w:hAnsi="Arial"/>
          <w:sz w:val="19"/>
          <w:szCs w:val="19"/>
          <w:u w:val="single" w:color="auto"/>
          <w:color w:val="000000"/>
        </w:rPr>
        <w:t>Sanctions Lists</w:t>
      </w:r>
      <w:r>
        <w:rPr>
          <w:rFonts w:ascii="Arial" w:cs="Arial" w:eastAsia="Arial" w:hAnsi="Arial"/>
          <w:sz w:val="19"/>
          <w:szCs w:val="19"/>
          <w:color w:val="000000"/>
        </w:rPr>
        <w:t xml:space="preserve">”). Neither the Company nor any of its Subsidiaries has a physical place of business, or is organized or resident, in (a) Cuba, Iran, North Korea, Syria or Crimea or (b) in any other Sanctioned Country </w:t>
      </w:r>
      <w:r>
        <w:rPr>
          <w:rFonts w:ascii="Arial" w:cs="Arial" w:eastAsia="Arial" w:hAnsi="Arial"/>
          <w:sz w:val="19"/>
          <w:szCs w:val="19"/>
          <w:color w:val="FF0000"/>
          <w:strike w:val="1"/>
        </w:rPr>
        <w:t>in violation of U.S. law</w:t>
      </w:r>
      <w:r>
        <w:rPr>
          <w:rFonts w:ascii="Arial" w:cs="Arial" w:eastAsia="Arial" w:hAnsi="Arial"/>
          <w:sz w:val="19"/>
          <w:szCs w:val="19"/>
          <w:color w:val="000000"/>
        </w:rPr>
        <w:t>.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9"/>
          <w:szCs w:val="19"/>
          <w:u w:val="single" w:color="auto"/>
          <w:color w:val="000000"/>
        </w:rPr>
        <w:t>Sanctioned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Country</w:t>
      </w:r>
      <w:r>
        <w:rPr>
          <w:rFonts w:ascii="Arial" w:cs="Arial" w:eastAsia="Arial" w:hAnsi="Arial"/>
          <w:sz w:val="19"/>
          <w:szCs w:val="19"/>
          <w:color w:val="000000"/>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5.</w:t>
      </w:r>
      <w:r>
        <w:rPr>
          <w:sz w:val="20"/>
          <w:szCs w:val="20"/>
          <w:color w:val="auto"/>
        </w:rPr>
        <w:tab/>
      </w:r>
      <w:r>
        <w:rPr>
          <w:rFonts w:ascii="Arial" w:cs="Arial" w:eastAsia="Arial" w:hAnsi="Arial"/>
          <w:sz w:val="19"/>
          <w:szCs w:val="19"/>
          <w:b w:val="1"/>
          <w:bCs w:val="1"/>
          <w:u w:val="single" w:color="auto"/>
          <w:color w:val="auto"/>
        </w:rPr>
        <w:t>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20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color w:val="000000"/>
        </w:rPr>
        <w:t>Conditions to Closing Date. This Agreement and the obligation of each Lender to make extensions of credit requested</w:t>
      </w:r>
      <w:r>
        <w:rPr>
          <w:rFonts w:ascii="Arial" w:cs="Arial" w:eastAsia="Arial" w:hAnsi="Arial"/>
          <w:sz w:val="18"/>
          <w:szCs w:val="18"/>
          <w:color w:val="010000"/>
        </w:rPr>
        <w:t xml:space="preserve"> </w:t>
      </w:r>
      <w:r>
        <w:rPr>
          <w:rFonts w:ascii="Arial" w:cs="Arial" w:eastAsia="Arial" w:hAnsi="Arial"/>
          <w:sz w:val="18"/>
          <w:szCs w:val="18"/>
          <w:color w:val="000000"/>
        </w:rPr>
        <w:t>to be made by it hereunder shall be effective upon (1) the execution and delivery of this Agreement by each of the Administrative Agent, the Brazilian Administrative Agent, the Syndication Agent, the Co-Syndication Agent, the Company, each other Borrower, the Existing Required Lenders, each Person listed on Schedule 1.1A and each other party hereto and (2) written confirmation by</w:t>
      </w:r>
    </w:p>
    <w:p>
      <w:pPr>
        <w:sectPr>
          <w:pgSz w:w="11900" w:h="16838" w:orient="portrait"/>
          <w:cols w:equalWidth="0" w:num="1">
            <w:col w:w="11240"/>
          </w:cols>
          <w:pgMar w:left="320" w:top="568" w:right="339" w:bottom="1440" w:gutter="0" w:footer="0" w:header="0"/>
        </w:sectPr>
      </w:pPr>
    </w:p>
    <w:bookmarkStart w:id="141" w:name="page142"/>
    <w:bookmarkEnd w:id="141"/>
    <w:p>
      <w:pPr>
        <w:spacing w:after="0" w:line="260" w:lineRule="auto"/>
        <w:rPr>
          <w:sz w:val="20"/>
          <w:szCs w:val="20"/>
          <w:color w:val="auto"/>
        </w:rPr>
      </w:pPr>
      <w:r>
        <w:rPr>
          <w:rFonts w:ascii="Arial" w:cs="Arial" w:eastAsia="Arial" w:hAnsi="Arial"/>
          <w:sz w:val="20"/>
          <w:szCs w:val="20"/>
          <w:color w:val="auto"/>
        </w:rPr>
        <w:t>the Administrative Agent to the Company and the Lenders confirming that the following conditions have been satisfied (or waived in accordance with the provisions hereof):</w:t>
      </w:r>
    </w:p>
    <w:p>
      <w:pPr>
        <w:spacing w:after="0" w:line="177" w:lineRule="exact"/>
        <w:rPr>
          <w:sz w:val="20"/>
          <w:szCs w:val="20"/>
          <w:color w:val="auto"/>
        </w:rPr>
      </w:pPr>
    </w:p>
    <w:p>
      <w:pPr>
        <w:jc w:val="both"/>
        <w:ind w:firstLine="1304"/>
        <w:spacing w:after="0" w:line="282" w:lineRule="auto"/>
        <w:tabs>
          <w:tab w:leader="none" w:pos="1781" w:val="left"/>
        </w:tabs>
        <w:numPr>
          <w:ilvl w:val="0"/>
          <w:numId w:val="87"/>
        </w:numPr>
        <w:rPr>
          <w:rFonts w:ascii="Arial" w:cs="Arial" w:eastAsia="Arial" w:hAnsi="Arial"/>
          <w:sz w:val="18"/>
          <w:szCs w:val="18"/>
          <w:color w:val="010000"/>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(w) The Company shall have executed and delivered the Guarantee, (x) the L/C Fee Letter shall have been executed and delivered by the Company, each L/C Tranche Lender and each Issuing Lender, (y) each Brazilian Bank Certificate shall have been executed and delivered by GMB and/or the relevant Brazilian Subsidiary, as applicable and (z) the Brazilian Intercreditor Agreement shall have been executed and delivered by the Brazilian Administrative Agent and each Brazilian Lender.</w:t>
      </w:r>
    </w:p>
    <w:p>
      <w:pPr>
        <w:spacing w:after="0" w:line="161" w:lineRule="exact"/>
        <w:rPr>
          <w:rFonts w:ascii="Arial" w:cs="Arial" w:eastAsia="Arial" w:hAnsi="Arial"/>
          <w:sz w:val="18"/>
          <w:szCs w:val="18"/>
          <w:color w:val="010000"/>
        </w:rPr>
      </w:pPr>
    </w:p>
    <w:p>
      <w:pPr>
        <w:jc w:val="both"/>
        <w:ind w:firstLine="1304"/>
        <w:spacing w:after="0" w:line="250" w:lineRule="auto"/>
        <w:tabs>
          <w:tab w:leader="none" w:pos="1724" w:val="left"/>
        </w:tabs>
        <w:numPr>
          <w:ilvl w:val="0"/>
          <w:numId w:val="87"/>
        </w:numPr>
        <w:rPr>
          <w:rFonts w:ascii="Arial" w:cs="Arial" w:eastAsia="Arial" w:hAnsi="Arial"/>
          <w:sz w:val="20"/>
          <w:szCs w:val="20"/>
          <w:color w:val="010000"/>
        </w:rPr>
      </w:pPr>
      <w:r>
        <w:rPr>
          <w:rFonts w:ascii="Arial" w:cs="Arial" w:eastAsia="Arial" w:hAnsi="Arial"/>
          <w:sz w:val="20"/>
          <w:szCs w:val="20"/>
          <w:u w:val="single" w:color="auto"/>
          <w:color w:val="auto"/>
        </w:rPr>
        <w:t>Fees</w:t>
      </w:r>
      <w:r>
        <w:rPr>
          <w:rFonts w:ascii="Arial" w:cs="Arial" w:eastAsia="Arial" w:hAnsi="Arial"/>
          <w:sz w:val="20"/>
          <w:szCs w:val="20"/>
          <w:color w:val="auto"/>
        </w:rPr>
        <w:t>. The Lenders, the Administrative Agent, the Brazilian Administrative Agent and the Arrangers shall have received all fees and out-of-pocket expenses required to be paid hereunder and (with respect to such expenses) invoiced at least three (3) Business Days prior to the Closing Date.</w:t>
      </w:r>
    </w:p>
    <w:p>
      <w:pPr>
        <w:spacing w:after="0" w:line="185" w:lineRule="exact"/>
        <w:rPr>
          <w:rFonts w:ascii="Arial" w:cs="Arial" w:eastAsia="Arial" w:hAnsi="Arial"/>
          <w:sz w:val="20"/>
          <w:szCs w:val="20"/>
          <w:color w:val="010000"/>
        </w:rPr>
      </w:pPr>
    </w:p>
    <w:p>
      <w:pPr>
        <w:jc w:val="both"/>
        <w:ind w:firstLine="1304"/>
        <w:spacing w:after="0" w:line="271" w:lineRule="auto"/>
        <w:tabs>
          <w:tab w:leader="none" w:pos="1740" w:val="left"/>
        </w:tabs>
        <w:numPr>
          <w:ilvl w:val="0"/>
          <w:numId w:val="87"/>
        </w:numPr>
        <w:rPr>
          <w:rFonts w:ascii="Arial" w:cs="Arial" w:eastAsia="Arial" w:hAnsi="Arial"/>
          <w:sz w:val="18"/>
          <w:szCs w:val="18"/>
          <w:color w:val="010000"/>
        </w:rPr>
      </w:pPr>
      <w:r>
        <w:rPr>
          <w:rFonts w:ascii="Arial" w:cs="Arial" w:eastAsia="Arial" w:hAnsi="Arial"/>
          <w:sz w:val="18"/>
          <w:szCs w:val="18"/>
          <w:u w:val="single" w:color="auto"/>
          <w:color w:val="auto"/>
        </w:rPr>
        <w:t>Closing Certificate; Certified Certificate of Incorporation; Good Standing Certificates</w:t>
      </w:r>
      <w:r>
        <w:rPr>
          <w:rFonts w:ascii="Arial" w:cs="Arial" w:eastAsia="Arial" w:hAnsi="Arial"/>
          <w:sz w:val="18"/>
          <w:szCs w:val="18"/>
          <w:color w:val="auto"/>
        </w:rPr>
        <w:t>. The Administrative Agent shall have received (i) a certificate of each Loan Party other than GMGTC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(iii) a certificate of the Company, dated the Closing Date, to the effect that the conditions set forth in Section 5.2 have been satisfied or waived and (iv) a certificate from GMGTC (signed by an authorised signatory), with appropriate insertions and attachments, including its constitutional documents, certifying that: (A) borrowing, guaranteeing or securing (as appropriate) under this Agreement would not cause any borrowing, guarantee, security or similar limit binding on it to be exceeded; and (B) each copy document relating to it in this Section 5.1 (including its constitutional documents) is correct, complete and in full force and effect and has not been amended or superseded prior to the date of this Agreement.</w:t>
      </w:r>
    </w:p>
    <w:p>
      <w:pPr>
        <w:spacing w:after="0" w:line="169" w:lineRule="exact"/>
        <w:rPr>
          <w:rFonts w:ascii="Arial" w:cs="Arial" w:eastAsia="Arial" w:hAnsi="Arial"/>
          <w:sz w:val="18"/>
          <w:szCs w:val="18"/>
          <w:color w:val="010000"/>
        </w:rPr>
      </w:pPr>
    </w:p>
    <w:p>
      <w:pPr>
        <w:jc w:val="both"/>
        <w:ind w:firstLine="1304"/>
        <w:spacing w:after="0" w:line="246" w:lineRule="auto"/>
        <w:tabs>
          <w:tab w:leader="none" w:pos="1738" w:val="left"/>
        </w:tabs>
        <w:numPr>
          <w:ilvl w:val="0"/>
          <w:numId w:val="87"/>
        </w:numPr>
        <w:rPr>
          <w:rFonts w:ascii="Arial" w:cs="Arial" w:eastAsia="Arial" w:hAnsi="Arial"/>
          <w:sz w:val="20"/>
          <w:szCs w:val="20"/>
          <w:color w:val="010000"/>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the executed legal opinion of (i) in-house counsel to the Loan Parties, (ii) Weil Gotshal &amp; Manges LLP, counsel to the Loan Parties, (iii) Demarest Advogados, special Brazil counsel to the Brazilian Administrative Agent and (iv) Weil Gotshal &amp; Manges LLP, special UK counsel to GMGTC, each in form and substance reasonably acceptable to the Administrative Agent.</w:t>
      </w:r>
    </w:p>
    <w:p>
      <w:pPr>
        <w:spacing w:after="0" w:line="191" w:lineRule="exact"/>
        <w:rPr>
          <w:rFonts w:ascii="Arial" w:cs="Arial" w:eastAsia="Arial" w:hAnsi="Arial"/>
          <w:sz w:val="20"/>
          <w:szCs w:val="20"/>
          <w:color w:val="010000"/>
        </w:rPr>
      </w:pPr>
    </w:p>
    <w:p>
      <w:pPr>
        <w:jc w:val="both"/>
        <w:ind w:firstLine="1304"/>
        <w:spacing w:after="0" w:line="244" w:lineRule="auto"/>
        <w:tabs>
          <w:tab w:leader="none" w:pos="1727" w:val="left"/>
        </w:tabs>
        <w:numPr>
          <w:ilvl w:val="0"/>
          <w:numId w:val="87"/>
        </w:numPr>
        <w:rPr>
          <w:rFonts w:ascii="Arial" w:cs="Arial" w:eastAsia="Arial" w:hAnsi="Arial"/>
          <w:sz w:val="20"/>
          <w:szCs w:val="20"/>
          <w:color w:val="010000"/>
        </w:rPr>
      </w:pPr>
      <w:r>
        <w:rPr>
          <w:rFonts w:ascii="Arial" w:cs="Arial" w:eastAsia="Arial" w:hAnsi="Arial"/>
          <w:sz w:val="20"/>
          <w:szCs w:val="20"/>
          <w:u w:val="single" w:color="auto"/>
          <w:color w:val="auto"/>
        </w:rPr>
        <w:t>Existing Three Year Credit Agreement</w:t>
      </w:r>
      <w:r>
        <w:rPr>
          <w:rFonts w:ascii="Arial" w:cs="Arial" w:eastAsia="Arial" w:hAnsi="Arial"/>
          <w:sz w:val="20"/>
          <w:szCs w:val="20"/>
          <w:color w:val="auto"/>
        </w:rPr>
        <w:t>. The Administrative Agent shall have received reasonably satisfactory evidence that all Existing Loans shall be repaid, the commitments of the lenders under the Existing Three Year Credit Agreement that are not Lenders hereunder shall have been terminated (and the Commitments of all continuing Lenders shall be as set forth on Schedule 1.1(A)) and all accrued interest and fees under the Existing Three Year Credit Agreement shall have been paid, or arrangements satisfactory to the Administrative Agent in respect thereof shall have been made.</w:t>
      </w:r>
    </w:p>
    <w:p>
      <w:pPr>
        <w:spacing w:after="0" w:line="194" w:lineRule="exact"/>
        <w:rPr>
          <w:rFonts w:ascii="Arial" w:cs="Arial" w:eastAsia="Arial" w:hAnsi="Arial"/>
          <w:sz w:val="20"/>
          <w:szCs w:val="20"/>
          <w:color w:val="010000"/>
        </w:rPr>
      </w:pPr>
    </w:p>
    <w:p>
      <w:pPr>
        <w:jc w:val="both"/>
        <w:ind w:firstLine="1304"/>
        <w:spacing w:after="0" w:line="246" w:lineRule="auto"/>
        <w:tabs>
          <w:tab w:leader="none" w:pos="1759" w:val="left"/>
        </w:tabs>
        <w:numPr>
          <w:ilvl w:val="0"/>
          <w:numId w:val="87"/>
        </w:numPr>
        <w:rPr>
          <w:rFonts w:ascii="Arial" w:cs="Arial" w:eastAsia="Arial" w:hAnsi="Arial"/>
          <w:sz w:val="20"/>
          <w:szCs w:val="20"/>
          <w:color w:val="010000"/>
        </w:rPr>
      </w:pPr>
      <w:r>
        <w:rPr>
          <w:rFonts w:ascii="Arial" w:cs="Arial" w:eastAsia="Arial" w:hAnsi="Arial"/>
          <w:sz w:val="20"/>
          <w:szCs w:val="20"/>
          <w:u w:val="single" w:color="auto"/>
          <w:color w:val="auto"/>
        </w:rPr>
        <w:t>USA Patriot Act</w:t>
      </w:r>
      <w:r>
        <w:rPr>
          <w:rFonts w:ascii="Arial" w:cs="Arial" w:eastAsia="Arial" w:hAnsi="Arial"/>
          <w:sz w:val="20"/>
          <w:szCs w:val="20"/>
          <w:color w:val="auto"/>
        </w:rPr>
        <w:t xml:space="preserve">. The Administrative Agent shall have received all documentation and other information reasonably requested by the Administrative Agent or any Lender who is not a lender under the Existing Three Year Credit Agreement under applicable “know your customer” and anti-money-laundering rules and regulations, including the USA Patriot Act </w:t>
      </w:r>
      <w:r>
        <w:rPr>
          <w:rFonts w:ascii="Arial" w:cs="Arial" w:eastAsia="Arial" w:hAnsi="Arial"/>
          <w:sz w:val="20"/>
          <w:szCs w:val="20"/>
          <w:u w:val="single" w:color="auto"/>
          <w:color w:val="0000FF"/>
        </w:rPr>
        <w:t>and the Beneficial Ownership</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Regulation</w:t>
      </w:r>
      <w:r>
        <w:rPr>
          <w:rFonts w:ascii="Arial" w:cs="Arial" w:eastAsia="Arial" w:hAnsi="Arial"/>
          <w:sz w:val="20"/>
          <w:szCs w:val="20"/>
          <w:color w:val="000000"/>
        </w:rPr>
        <w:t>.</w:t>
      </w:r>
    </w:p>
    <w:p>
      <w:pPr>
        <w:spacing w:after="0" w:line="19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010000"/>
        </w:rPr>
        <w:t xml:space="preserve">5.2 </w:t>
      </w:r>
      <w:r>
        <w:rPr>
          <w:rFonts w:ascii="Arial" w:cs="Arial" w:eastAsia="Arial" w:hAnsi="Arial"/>
          <w:sz w:val="20"/>
          <w:szCs w:val="20"/>
          <w:color w:val="000000"/>
        </w:rPr>
        <w:t>Conditions to Each Extension of Credit. The agreement of each Lender to make any Loan (it being expressly</w:t>
      </w:r>
      <w:r>
        <w:rPr>
          <w:rFonts w:ascii="Arial" w:cs="Arial" w:eastAsia="Arial" w:hAnsi="Arial"/>
          <w:sz w:val="20"/>
          <w:szCs w:val="20"/>
          <w:color w:val="010000"/>
        </w:rPr>
        <w:t xml:space="preserve"> </w:t>
      </w:r>
      <w:r>
        <w:rPr>
          <w:rFonts w:ascii="Arial" w:cs="Arial" w:eastAsia="Arial" w:hAnsi="Arial"/>
          <w:sz w:val="20"/>
          <w:szCs w:val="20"/>
          <w:color w:val="000000"/>
        </w:rPr>
        <w:t>understood and agreed that the foregoing shall not apply to any conversion or continuation of an outstanding Loan) and the agreement of any Issuing Lender to issue any Letter of Credit</w:t>
      </w:r>
    </w:p>
    <w:p>
      <w:pPr>
        <w:sectPr>
          <w:pgSz w:w="11900" w:h="16838" w:orient="portrait"/>
          <w:cols w:equalWidth="0" w:num="1">
            <w:col w:w="11240"/>
          </w:cols>
          <w:pgMar w:left="320" w:top="568" w:right="339" w:bottom="1440" w:gutter="0" w:footer="0" w:header="0"/>
        </w:sectPr>
      </w:pPr>
    </w:p>
    <w:bookmarkStart w:id="142" w:name="page143"/>
    <w:bookmarkEnd w:id="142"/>
    <w:p>
      <w:pPr>
        <w:jc w:val="both"/>
        <w:spacing w:after="0" w:line="246" w:lineRule="auto"/>
        <w:rPr>
          <w:sz w:val="20"/>
          <w:szCs w:val="20"/>
          <w:color w:val="auto"/>
        </w:rPr>
      </w:pPr>
      <w:r>
        <w:rPr>
          <w:rFonts w:ascii="Arial" w:cs="Arial" w:eastAsia="Arial" w:hAnsi="Arial"/>
          <w:sz w:val="20"/>
          <w:szCs w:val="20"/>
          <w:color w:val="auto"/>
        </w:rPr>
        <w:t>(or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91" w:lineRule="exact"/>
        <w:rPr>
          <w:sz w:val="20"/>
          <w:szCs w:val="20"/>
          <w:color w:val="auto"/>
        </w:rPr>
      </w:pPr>
    </w:p>
    <w:p>
      <w:pPr>
        <w:jc w:val="both"/>
        <w:ind w:firstLine="1304"/>
        <w:spacing w:after="0" w:line="328" w:lineRule="auto"/>
        <w:tabs>
          <w:tab w:leader="none" w:pos="1727" w:val="left"/>
        </w:tabs>
        <w:numPr>
          <w:ilvl w:val="0"/>
          <w:numId w:val="88"/>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28" w:lineRule="exact"/>
        <w:rPr>
          <w:rFonts w:ascii="Arial" w:cs="Arial" w:eastAsia="Arial" w:hAnsi="Arial"/>
          <w:sz w:val="16"/>
          <w:szCs w:val="16"/>
          <w:color w:val="010000"/>
        </w:rPr>
      </w:pPr>
    </w:p>
    <w:p>
      <w:pPr>
        <w:ind w:firstLine="1304"/>
        <w:spacing w:after="0" w:line="260" w:lineRule="auto"/>
        <w:tabs>
          <w:tab w:leader="none" w:pos="1778" w:val="left"/>
        </w:tabs>
        <w:numPr>
          <w:ilvl w:val="0"/>
          <w:numId w:val="88"/>
        </w:numPr>
        <w:rPr>
          <w:rFonts w:ascii="Arial" w:cs="Arial" w:eastAsia="Arial" w:hAnsi="Arial"/>
          <w:sz w:val="20"/>
          <w:szCs w:val="20"/>
          <w:color w:val="010000"/>
        </w:rPr>
      </w:pPr>
      <w:r>
        <w:rPr>
          <w:rFonts w:ascii="Arial" w:cs="Arial" w:eastAsia="Arial" w:hAnsi="Arial"/>
          <w:sz w:val="20"/>
          <w:szCs w:val="20"/>
          <w:u w:val="single" w:color="auto"/>
          <w:color w:val="auto"/>
        </w:rPr>
        <w:t>No Default or Event of Default</w:t>
      </w:r>
      <w:r>
        <w:rPr>
          <w:rFonts w:ascii="Arial" w:cs="Arial" w:eastAsia="Arial" w:hAnsi="Arial"/>
          <w:sz w:val="20"/>
          <w:szCs w:val="20"/>
          <w:color w:val="auto"/>
        </w:rPr>
        <w:t>. No Default or Event of Default shall have occurred and be continuing on such date, after giving effect to the extensions of credit requested to be made on such date and the use of proceeds thereof.</w:t>
      </w:r>
    </w:p>
    <w:p>
      <w:pPr>
        <w:spacing w:after="0" w:line="176" w:lineRule="exact"/>
        <w:rPr>
          <w:rFonts w:ascii="Arial" w:cs="Arial" w:eastAsia="Arial" w:hAnsi="Arial"/>
          <w:sz w:val="20"/>
          <w:szCs w:val="20"/>
          <w:color w:val="010000"/>
        </w:rPr>
      </w:pPr>
    </w:p>
    <w:p>
      <w:pPr>
        <w:jc w:val="both"/>
        <w:ind w:firstLine="1304"/>
        <w:spacing w:after="0" w:line="272" w:lineRule="auto"/>
        <w:tabs>
          <w:tab w:leader="none" w:pos="1821" w:val="left"/>
        </w:tabs>
        <w:numPr>
          <w:ilvl w:val="0"/>
          <w:numId w:val="88"/>
        </w:numPr>
        <w:rPr>
          <w:rFonts w:ascii="Arial" w:cs="Arial" w:eastAsia="Arial" w:hAnsi="Arial"/>
          <w:sz w:val="18"/>
          <w:szCs w:val="18"/>
          <w:color w:val="010000"/>
        </w:rPr>
      </w:pPr>
      <w:r>
        <w:rPr>
          <w:rFonts w:ascii="Arial" w:cs="Arial" w:eastAsia="Arial" w:hAnsi="Arial"/>
          <w:sz w:val="18"/>
          <w:szCs w:val="18"/>
          <w:u w:val="single" w:color="auto"/>
          <w:color w:val="auto"/>
        </w:rPr>
        <w:t>No Subsidiary Borrower Bankruptcy Events</w:t>
      </w:r>
      <w:r>
        <w:rPr>
          <w:rFonts w:ascii="Arial" w:cs="Arial" w:eastAsia="Arial" w:hAnsi="Arial"/>
          <w:sz w:val="18"/>
          <w:szCs w:val="18"/>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6.</w:t>
      </w:r>
      <w:r>
        <w:rPr>
          <w:sz w:val="20"/>
          <w:szCs w:val="20"/>
          <w:color w:val="auto"/>
        </w:rPr>
        <w:tab/>
      </w:r>
      <w:r>
        <w:rPr>
          <w:rFonts w:ascii="Arial" w:cs="Arial" w:eastAsia="Arial" w:hAnsi="Arial"/>
          <w:sz w:val="20"/>
          <w:szCs w:val="20"/>
          <w:b w:val="1"/>
          <w:bCs w:val="1"/>
          <w:u w:val="single" w:color="auto"/>
          <w:color w:val="auto"/>
        </w:rPr>
        <w:t>AFFIRMATIVE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6610" cy="8890"/>
                    </a:xfrm>
                    <a:prstGeom prst="rect">
                      <a:avLst/>
                    </a:prstGeom>
                    <a:noFill/>
                  </pic:spPr>
                </pic:pic>
              </a:graphicData>
            </a:graphic>
          </wp:anchor>
        </w:drawing>
      </w:r>
    </w:p>
    <w:p>
      <w:pPr>
        <w:spacing w:after="0" w:line="202"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3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6.1 </w:t>
      </w:r>
      <w:r>
        <w:rPr>
          <w:rFonts w:ascii="Arial" w:cs="Arial" w:eastAsia="Arial" w:hAnsi="Arial"/>
          <w:sz w:val="20"/>
          <w:szCs w:val="20"/>
          <w:color w:val="000000"/>
        </w:rPr>
        <w:t>Financial Statements. The Company shall deliver to the Administrative Agent, audited annual financial statements and</w:t>
      </w:r>
      <w:r>
        <w:rPr>
          <w:rFonts w:ascii="Arial" w:cs="Arial" w:eastAsia="Arial" w:hAnsi="Arial"/>
          <w:sz w:val="20"/>
          <w:szCs w:val="20"/>
          <w:color w:val="010000"/>
        </w:rPr>
        <w:t xml:space="preserve"> </w:t>
      </w:r>
      <w:r>
        <w:rPr>
          <w:rFonts w:ascii="Arial" w:cs="Arial" w:eastAsia="Arial" w:hAnsi="Arial"/>
          <w:sz w:val="20"/>
          <w:szCs w:val="20"/>
          <w:color w:val="000000"/>
        </w:rPr>
        <w:t>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w:t>
      </w:r>
    </w:p>
    <w:p>
      <w:pPr>
        <w:sectPr>
          <w:pgSz w:w="11900" w:h="16838" w:orient="portrait"/>
          <w:cols w:equalWidth="0" w:num="1">
            <w:col w:w="11240"/>
          </w:cols>
          <w:pgMar w:left="320" w:top="568" w:right="339" w:bottom="1440" w:gutter="0" w:footer="0" w:header="0"/>
        </w:sectPr>
      </w:pPr>
    </w:p>
    <w:bookmarkStart w:id="143" w:name="page144"/>
    <w:bookmarkEnd w:id="143"/>
    <w:p>
      <w:pPr>
        <w:jc w:val="both"/>
        <w:spacing w:after="0" w:line="246" w:lineRule="auto"/>
        <w:rPr>
          <w:sz w:val="20"/>
          <w:szCs w:val="20"/>
          <w:color w:val="auto"/>
        </w:rPr>
      </w:pPr>
      <w:r>
        <w:rPr>
          <w:rFonts w:ascii="Arial" w:cs="Arial" w:eastAsia="Arial" w:hAnsi="Arial"/>
          <w:sz w:val="20"/>
          <w:szCs w:val="20"/>
          <w:color w:val="auto"/>
        </w:rPr>
        <w:t xml:space="preserve">statements shall be required to be delivered with respect to the last fiscal quarter of any fiscal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financial statements shall be deemed to be delivered upon the filing with the SEC of its Form 10-K or Form 10-Q for the relevant fiscal period;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any restatement of previously delivered (or deemed delivered) financial statements shall not constitute a breach or violation of this Section 6.1.</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010000"/>
        </w:rPr>
        <w:t xml:space="preserve">6.2 </w:t>
      </w:r>
      <w:r>
        <w:rPr>
          <w:rFonts w:ascii="Arial" w:cs="Arial" w:eastAsia="Arial" w:hAnsi="Arial"/>
          <w:sz w:val="19"/>
          <w:szCs w:val="19"/>
          <w:color w:val="000000"/>
        </w:rPr>
        <w:t>Compliance Certificates. The Company shall deliver to the Administrative Agent within 5 Business Days after the</w:t>
      </w:r>
      <w:r>
        <w:rPr>
          <w:rFonts w:ascii="Arial" w:cs="Arial" w:eastAsia="Arial" w:hAnsi="Arial"/>
          <w:sz w:val="19"/>
          <w:szCs w:val="19"/>
          <w:color w:val="010000"/>
        </w:rPr>
        <w:t xml:space="preserve"> </w:t>
      </w:r>
      <w:r>
        <w:rPr>
          <w:rFonts w:ascii="Arial" w:cs="Arial" w:eastAsia="Arial" w:hAnsi="Arial"/>
          <w:sz w:val="19"/>
          <w:szCs w:val="19"/>
          <w:color w:val="000000"/>
        </w:rPr>
        <w:t>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6.3 </w:t>
      </w:r>
      <w:r>
        <w:rPr>
          <w:rFonts w:ascii="Arial" w:cs="Arial" w:eastAsia="Arial" w:hAnsi="Arial"/>
          <w:sz w:val="20"/>
          <w:szCs w:val="20"/>
          <w:color w:val="000000"/>
        </w:rPr>
        <w:t>Maintenance of Business; Existence. The Company shall continue to engage primarily in the automotive business and</w:t>
      </w:r>
      <w:r>
        <w:rPr>
          <w:rFonts w:ascii="Arial" w:cs="Arial" w:eastAsia="Arial" w:hAnsi="Arial"/>
          <w:sz w:val="20"/>
          <w:szCs w:val="20"/>
          <w:color w:val="010000"/>
        </w:rPr>
        <w:t xml:space="preserve"> </w:t>
      </w:r>
      <w:r>
        <w:rPr>
          <w:rFonts w:ascii="Arial" w:cs="Arial" w:eastAsia="Arial" w:hAnsi="Arial"/>
          <w:sz w:val="20"/>
          <w:szCs w:val="20"/>
          <w:color w:val="000000"/>
        </w:rPr>
        <w:t>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9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6.4 </w:t>
      </w:r>
      <w:r>
        <w:rPr>
          <w:rFonts w:ascii="Arial" w:cs="Arial" w:eastAsia="Arial" w:hAnsi="Arial"/>
          <w:sz w:val="20"/>
          <w:szCs w:val="20"/>
          <w:color w:val="000000"/>
        </w:rPr>
        <w:t>Maintenance of Insurance. The Company shall, and shall cause each other Loan Party to, maintain, as appropriate, with</w:t>
      </w:r>
      <w:r>
        <w:rPr>
          <w:rFonts w:ascii="Arial" w:cs="Arial" w:eastAsia="Arial" w:hAnsi="Arial"/>
          <w:sz w:val="20"/>
          <w:szCs w:val="20"/>
          <w:color w:val="010000"/>
        </w:rPr>
        <w:t xml:space="preserve"> </w:t>
      </w:r>
      <w:r>
        <w:rPr>
          <w:rFonts w:ascii="Arial" w:cs="Arial" w:eastAsia="Arial" w:hAnsi="Arial"/>
          <w:sz w:val="20"/>
          <w:szCs w:val="20"/>
          <w:color w:val="000000"/>
        </w:rPr>
        <w:t>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9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010000"/>
        </w:rPr>
        <w:t xml:space="preserve">6.5 </w:t>
      </w:r>
      <w:r>
        <w:rPr>
          <w:rFonts w:ascii="Arial" w:cs="Arial" w:eastAsia="Arial" w:hAnsi="Arial"/>
          <w:sz w:val="20"/>
          <w:szCs w:val="20"/>
          <w:color w:val="000000"/>
        </w:rPr>
        <w:t>Notices. Promptly upon a Financial Officer of the Company obtaining actual knowledge thereof, the Company shall</w:t>
      </w:r>
      <w:r>
        <w:rPr>
          <w:rFonts w:ascii="Arial" w:cs="Arial" w:eastAsia="Arial" w:hAnsi="Arial"/>
          <w:sz w:val="20"/>
          <w:szCs w:val="20"/>
          <w:color w:val="010000"/>
        </w:rPr>
        <w:t xml:space="preserve"> </w:t>
      </w:r>
      <w:r>
        <w:rPr>
          <w:rFonts w:ascii="Arial" w:cs="Arial" w:eastAsia="Arial" w:hAnsi="Arial"/>
          <w:sz w:val="20"/>
          <w:szCs w:val="20"/>
          <w:color w:val="000000"/>
        </w:rPr>
        <w:t>give notice to the Administrative Agent and the Brazilian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9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010000"/>
        </w:rPr>
        <w:t xml:space="preserve">6.6 </w:t>
      </w:r>
      <w:r>
        <w:rPr>
          <w:rFonts w:ascii="Arial" w:cs="Arial" w:eastAsia="Arial" w:hAnsi="Arial"/>
          <w:sz w:val="18"/>
          <w:szCs w:val="18"/>
          <w:color w:val="000000"/>
        </w:rPr>
        <w:t>Reinstated Guarantors, etc.. (a) Within 30 days after any Guarantee Reinstatement Date, the Company shall deliver, or</w:t>
      </w:r>
      <w:r>
        <w:rPr>
          <w:rFonts w:ascii="Arial" w:cs="Arial" w:eastAsia="Arial" w:hAnsi="Arial"/>
          <w:sz w:val="18"/>
          <w:szCs w:val="18"/>
          <w:color w:val="010000"/>
        </w:rPr>
        <w:t xml:space="preserve"> </w:t>
      </w:r>
      <w:r>
        <w:rPr>
          <w:rFonts w:ascii="Arial" w:cs="Arial" w:eastAsia="Arial" w:hAnsi="Arial"/>
          <w:sz w:val="18"/>
          <w:szCs w:val="18"/>
          <w:color w:val="000000"/>
        </w:rPr>
        <w:t xml:space="preserve">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w:t>
      </w:r>
      <w:r>
        <w:rPr>
          <w:rFonts w:ascii="Arial" w:cs="Arial" w:eastAsia="Arial" w:hAnsi="Arial"/>
          <w:sz w:val="18"/>
          <w:szCs w:val="18"/>
          <w:u w:val="single" w:color="auto"/>
          <w:color w:val="000000"/>
        </w:rPr>
        <w:t>provided</w:t>
      </w:r>
      <w:r>
        <w:rPr>
          <w:rFonts w:ascii="Arial" w:cs="Arial" w:eastAsia="Arial" w:hAnsi="Arial"/>
          <w:sz w:val="18"/>
          <w:szCs w:val="18"/>
          <w:color w:val="000000"/>
        </w:rPr>
        <w:t>, that the foregoing requirements shall not apply to GM Holdings.</w:t>
      </w:r>
    </w:p>
    <w:p>
      <w:pPr>
        <w:spacing w:after="0" w:line="161" w:lineRule="exact"/>
        <w:rPr>
          <w:sz w:val="20"/>
          <w:szCs w:val="20"/>
          <w:color w:val="auto"/>
        </w:rPr>
      </w:pPr>
    </w:p>
    <w:p>
      <w:pPr>
        <w:jc w:val="both"/>
        <w:ind w:firstLine="1304"/>
        <w:spacing w:after="0" w:line="243" w:lineRule="auto"/>
        <w:tabs>
          <w:tab w:leader="none" w:pos="1873" w:val="left"/>
        </w:tabs>
        <w:numPr>
          <w:ilvl w:val="0"/>
          <w:numId w:val="89"/>
        </w:numPr>
        <w:rPr>
          <w:rFonts w:ascii="Arial" w:cs="Arial" w:eastAsia="Arial" w:hAnsi="Arial"/>
          <w:sz w:val="20"/>
          <w:szCs w:val="20"/>
          <w:color w:val="010000"/>
        </w:rPr>
      </w:pPr>
      <w:r>
        <w:rPr>
          <w:rFonts w:ascii="Arial" w:cs="Arial" w:eastAsia="Arial" w:hAnsi="Arial"/>
          <w:sz w:val="20"/>
          <w:szCs w:val="20"/>
          <w:color w:val="auto"/>
        </w:rPr>
        <w:t>During any Reinstated Guarantee Requirement Period, within 90 days after the end of any fiscal quarter of the Company, during which (w) 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w:t>
      </w:r>
    </w:p>
    <w:p>
      <w:pPr>
        <w:sectPr>
          <w:pgSz w:w="11900" w:h="16838" w:orient="portrait"/>
          <w:cols w:equalWidth="0" w:num="1">
            <w:col w:w="11240"/>
          </w:cols>
          <w:pgMar w:left="320" w:top="568" w:right="339" w:bottom="1440" w:gutter="0" w:footer="0" w:header="0"/>
        </w:sectPr>
      </w:pPr>
    </w:p>
    <w:bookmarkStart w:id="144" w:name="page145"/>
    <w:bookmarkEnd w:id="144"/>
    <w:p>
      <w:pPr>
        <w:jc w:val="both"/>
        <w:spacing w:after="0" w:line="243" w:lineRule="auto"/>
        <w:rPr>
          <w:sz w:val="20"/>
          <w:szCs w:val="20"/>
          <w:color w:val="auto"/>
        </w:rPr>
      </w:pPr>
      <w:r>
        <w:rPr>
          <w:rFonts w:ascii="Arial" w:cs="Arial" w:eastAsia="Arial" w:hAnsi="Arial"/>
          <w:sz w:val="20"/>
          <w:szCs w:val="20"/>
          <w:color w:val="auto"/>
        </w:rPr>
        <w:t>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96" w:lineRule="exact"/>
        <w:rPr>
          <w:sz w:val="20"/>
          <w:szCs w:val="20"/>
          <w:color w:val="auto"/>
        </w:rPr>
      </w:pPr>
    </w:p>
    <w:p>
      <w:pPr>
        <w:ind w:firstLine="1304"/>
        <w:spacing w:after="0" w:line="260" w:lineRule="auto"/>
        <w:tabs>
          <w:tab w:leader="none" w:pos="1767" w:val="left"/>
        </w:tabs>
        <w:numPr>
          <w:ilvl w:val="0"/>
          <w:numId w:val="90"/>
        </w:numPr>
        <w:rPr>
          <w:rFonts w:ascii="Arial" w:cs="Arial" w:eastAsia="Arial" w:hAnsi="Arial"/>
          <w:sz w:val="20"/>
          <w:szCs w:val="20"/>
          <w:color w:val="010000"/>
        </w:rPr>
      </w:pPr>
      <w:r>
        <w:rPr>
          <w:rFonts w:ascii="Arial" w:cs="Arial" w:eastAsia="Arial" w:hAnsi="Arial"/>
          <w:sz w:val="20"/>
          <w:szCs w:val="20"/>
          <w:color w:val="auto"/>
        </w:rPr>
        <w:t>Notwithstanding the foregoing or anything in any Loan Document to the contrary, in no event shall GM Holdings or any other Excluded Subsidiary be required to be a Guarantor or a Subsidiary Guarantor.</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010000"/>
        </w:rPr>
        <w:t xml:space="preserve">6.7 </w:t>
      </w:r>
      <w:r>
        <w:rPr>
          <w:rFonts w:ascii="Arial" w:cs="Arial" w:eastAsia="Arial" w:hAnsi="Arial"/>
          <w:sz w:val="18"/>
          <w:szCs w:val="18"/>
          <w:color w:val="000000"/>
        </w:rPr>
        <w:t>Books and Records. The Company shall and shall cause each other Loan Party to keep proper books of records and</w:t>
      </w:r>
      <w:r>
        <w:rPr>
          <w:rFonts w:ascii="Arial" w:cs="Arial" w:eastAsia="Arial" w:hAnsi="Arial"/>
          <w:sz w:val="18"/>
          <w:szCs w:val="18"/>
          <w:color w:val="010000"/>
        </w:rPr>
        <w:t xml:space="preserve"> </w:t>
      </w:r>
      <w:r>
        <w:rPr>
          <w:rFonts w:ascii="Arial" w:cs="Arial" w:eastAsia="Arial" w:hAnsi="Arial"/>
          <w:sz w:val="18"/>
          <w:szCs w:val="18"/>
          <w:color w:val="000000"/>
        </w:rPr>
        <w:t>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5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010000"/>
        </w:rPr>
        <w:t xml:space="preserve">6.8 </w:t>
      </w:r>
      <w:r>
        <w:rPr>
          <w:rFonts w:ascii="Arial" w:cs="Arial" w:eastAsia="Arial" w:hAnsi="Arial"/>
          <w:sz w:val="18"/>
          <w:szCs w:val="18"/>
          <w:color w:val="000000"/>
        </w:rPr>
        <w:t>Ratings. The Company shall use commercially reasonable efforts to maintain an Index Debt Rating, to the extent</w:t>
      </w:r>
      <w:r>
        <w:rPr>
          <w:rFonts w:ascii="Arial" w:cs="Arial" w:eastAsia="Arial" w:hAnsi="Arial"/>
          <w:sz w:val="18"/>
          <w:szCs w:val="18"/>
          <w:color w:val="010000"/>
        </w:rPr>
        <w:t xml:space="preserve"> </w:t>
      </w:r>
      <w:r>
        <w:rPr>
          <w:rFonts w:ascii="Arial" w:cs="Arial" w:eastAsia="Arial" w:hAnsi="Arial"/>
          <w:sz w:val="18"/>
          <w:szCs w:val="18"/>
          <w:color w:val="000000"/>
        </w:rPr>
        <w:t xml:space="preserve">available, from each of S&amp;P, Moody’s and Fitch (it being understood that Moody’s does not provide Index Debt Ratings for investment grade companies); </w:t>
      </w:r>
      <w:r>
        <w:rPr>
          <w:rFonts w:ascii="Arial" w:cs="Arial" w:eastAsia="Arial" w:hAnsi="Arial"/>
          <w:sz w:val="18"/>
          <w:szCs w:val="18"/>
          <w:u w:val="single" w:color="auto"/>
          <w:color w:val="000000"/>
        </w:rPr>
        <w:t>provided</w:t>
      </w:r>
      <w:r>
        <w:rPr>
          <w:rFonts w:ascii="Arial" w:cs="Arial" w:eastAsia="Arial" w:hAnsi="Arial"/>
          <w:sz w:val="18"/>
          <w:szCs w:val="18"/>
          <w:color w:val="000000"/>
        </w:rPr>
        <w:t>, that the Company shall not be required to obtain or maintain, as applicable, a specific Index Debt Rating.</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7.</w:t>
      </w:r>
      <w:r>
        <w:rPr>
          <w:sz w:val="20"/>
          <w:szCs w:val="20"/>
          <w:color w:val="auto"/>
        </w:rPr>
        <w:tab/>
      </w:r>
      <w:r>
        <w:rPr>
          <w:rFonts w:ascii="Arial" w:cs="Arial" w:eastAsia="Arial" w:hAnsi="Arial"/>
          <w:sz w:val="19"/>
          <w:szCs w:val="19"/>
          <w:b w:val="1"/>
          <w:bCs w:val="1"/>
          <w:u w:val="single" w:color="auto"/>
          <w:color w:val="auto"/>
        </w:rPr>
        <w:t>NEGATIVE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202"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3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010000"/>
        </w:rPr>
        <w:t xml:space="preserve">7.1 </w:t>
      </w:r>
      <w:r>
        <w:rPr>
          <w:rFonts w:ascii="Arial" w:cs="Arial" w:eastAsia="Arial" w:hAnsi="Arial"/>
          <w:sz w:val="20"/>
          <w:szCs w:val="20"/>
          <w:color w:val="000000"/>
        </w:rPr>
        <w:t>Minimum Liquidity. The Company shall not at any time permit the Consolidated Global Liquidity to be less than $4</w:t>
      </w:r>
      <w:r>
        <w:rPr>
          <w:rFonts w:ascii="Arial" w:cs="Arial" w:eastAsia="Arial" w:hAnsi="Arial"/>
          <w:sz w:val="20"/>
          <w:szCs w:val="20"/>
          <w:color w:val="010000"/>
        </w:rPr>
        <w:t xml:space="preserve"> </w:t>
      </w:r>
      <w:r>
        <w:rPr>
          <w:rFonts w:ascii="Arial" w:cs="Arial" w:eastAsia="Arial" w:hAnsi="Arial"/>
          <w:sz w:val="20"/>
          <w:szCs w:val="20"/>
          <w:color w:val="000000"/>
        </w:rPr>
        <w:t>billion or the Consolidated Domestic Liquidity to be less than $2 billion.</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color w:val="000000"/>
        </w:rPr>
        <w:t>Indebtedness. The Company shall not, and shall not permit any Principal Domestic Subsidiary to, incur Indebtedness</w:t>
      </w:r>
      <w:r>
        <w:rPr>
          <w:rFonts w:ascii="Arial" w:cs="Arial" w:eastAsia="Arial" w:hAnsi="Arial"/>
          <w:sz w:val="18"/>
          <w:szCs w:val="18"/>
          <w:color w:val="010000"/>
        </w:rPr>
        <w:t xml:space="preserve"> </w:t>
      </w:r>
      <w:r>
        <w:rPr>
          <w:rFonts w:ascii="Arial" w:cs="Arial" w:eastAsia="Arial" w:hAnsi="Arial"/>
          <w:sz w:val="18"/>
          <w:szCs w:val="18"/>
          <w:color w:val="000000"/>
        </w:rPr>
        <w:t>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61"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010000"/>
        </w:rPr>
        <w:t>7.3</w:t>
      </w:r>
      <w:r>
        <w:rPr>
          <w:sz w:val="20"/>
          <w:szCs w:val="20"/>
          <w:color w:val="auto"/>
        </w:rPr>
        <w:tab/>
      </w:r>
      <w:r>
        <w:rPr>
          <w:rFonts w:ascii="Arial" w:cs="Arial" w:eastAsia="Arial" w:hAnsi="Arial"/>
          <w:sz w:val="16"/>
          <w:szCs w:val="16"/>
          <w:color w:val="auto"/>
        </w:rPr>
        <w:t>Asset Sale Restrictions.</w:t>
      </w:r>
    </w:p>
    <w:p>
      <w:pPr>
        <w:spacing w:after="0" w:line="216" w:lineRule="exact"/>
        <w:rPr>
          <w:sz w:val="20"/>
          <w:szCs w:val="20"/>
          <w:color w:val="auto"/>
        </w:rPr>
      </w:pPr>
    </w:p>
    <w:p>
      <w:pPr>
        <w:jc w:val="both"/>
        <w:ind w:firstLine="1304"/>
        <w:spacing w:after="0" w:line="242" w:lineRule="auto"/>
        <w:tabs>
          <w:tab w:leader="none" w:pos="1821" w:val="left"/>
        </w:tabs>
        <w:numPr>
          <w:ilvl w:val="0"/>
          <w:numId w:val="91"/>
        </w:numPr>
        <w:rPr>
          <w:rFonts w:ascii="Arial" w:cs="Arial" w:eastAsia="Arial" w:hAnsi="Arial"/>
          <w:sz w:val="20"/>
          <w:szCs w:val="20"/>
          <w:color w:val="010000"/>
        </w:rPr>
      </w:pPr>
      <w:r>
        <w:rPr>
          <w:rFonts w:ascii="Arial" w:cs="Arial" w:eastAsia="Arial" w:hAnsi="Arial"/>
          <w:sz w:val="20"/>
          <w:szCs w:val="20"/>
          <w:u w:val="single" w:color="auto"/>
          <w:color w:val="auto"/>
        </w:rPr>
        <w:t>All or Substantially All</w:t>
      </w:r>
      <w:r>
        <w:rPr>
          <w:rFonts w:ascii="Arial" w:cs="Arial" w:eastAsia="Arial" w:hAnsi="Arial"/>
          <w:sz w:val="20"/>
          <w:szCs w:val="20"/>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during any Reinstated Guarantee Period, any such transfer from a Subsidiary Guarantor shall be to another Subsidiary Guarantor;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notwithstanding the foregoing the Company or any of its Principal Domestic Subsidiaries may Dispose of all or any portion of an Excluded Subsidiary Business to one or more Excluded Subsidiaries.</w:t>
      </w:r>
    </w:p>
    <w:p>
      <w:pPr>
        <w:sectPr>
          <w:pgSz w:w="11900" w:h="16838" w:orient="portrait"/>
          <w:cols w:equalWidth="0" w:num="1">
            <w:col w:w="11240"/>
          </w:cols>
          <w:pgMar w:left="320" w:top="568" w:right="339" w:bottom="1440" w:gutter="0" w:footer="0" w:header="0"/>
        </w:sectPr>
      </w:pPr>
    </w:p>
    <w:bookmarkStart w:id="145" w:name="page146"/>
    <w:bookmarkEnd w:id="145"/>
    <w:p>
      <w:pPr>
        <w:jc w:val="both"/>
        <w:ind w:firstLine="1304"/>
        <w:spacing w:after="0" w:line="276" w:lineRule="auto"/>
        <w:tabs>
          <w:tab w:leader="none" w:pos="1751" w:val="left"/>
        </w:tabs>
        <w:numPr>
          <w:ilvl w:val="0"/>
          <w:numId w:val="92"/>
        </w:numPr>
        <w:rPr>
          <w:rFonts w:ascii="Arial" w:cs="Arial" w:eastAsia="Arial" w:hAnsi="Arial"/>
          <w:sz w:val="18"/>
          <w:szCs w:val="18"/>
          <w:color w:val="010000"/>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6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010000"/>
        </w:rPr>
        <w:t>7.4</w:t>
      </w:r>
      <w:r>
        <w:rPr>
          <w:sz w:val="20"/>
          <w:szCs w:val="20"/>
          <w:color w:val="auto"/>
        </w:rPr>
        <w:tab/>
      </w:r>
      <w:r>
        <w:rPr>
          <w:rFonts w:ascii="Arial" w:cs="Arial" w:eastAsia="Arial" w:hAnsi="Arial"/>
          <w:sz w:val="16"/>
          <w:szCs w:val="16"/>
          <w:color w:val="auto"/>
        </w:rPr>
        <w:t>Fundamental Changes.</w:t>
      </w:r>
    </w:p>
    <w:p>
      <w:pPr>
        <w:spacing w:after="0" w:line="216" w:lineRule="exact"/>
        <w:rPr>
          <w:sz w:val="20"/>
          <w:szCs w:val="20"/>
          <w:color w:val="auto"/>
        </w:rPr>
      </w:pPr>
    </w:p>
    <w:p>
      <w:pPr>
        <w:jc w:val="both"/>
        <w:ind w:firstLine="1304"/>
        <w:spacing w:after="0" w:line="270" w:lineRule="auto"/>
        <w:tabs>
          <w:tab w:leader="none" w:pos="174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2" w:lineRule="exact"/>
        <w:rPr>
          <w:rFonts w:ascii="Arial" w:cs="Arial" w:eastAsia="Arial" w:hAnsi="Arial"/>
          <w:sz w:val="18"/>
          <w:szCs w:val="18"/>
          <w:color w:val="010000"/>
        </w:rPr>
      </w:pPr>
    </w:p>
    <w:p>
      <w:pPr>
        <w:jc w:val="both"/>
        <w:ind w:firstLine="1304"/>
        <w:spacing w:after="0" w:line="255" w:lineRule="auto"/>
        <w:tabs>
          <w:tab w:leader="none" w:pos="1805" w:val="left"/>
        </w:tabs>
        <w:numPr>
          <w:ilvl w:val="0"/>
          <w:numId w:val="93"/>
        </w:numPr>
        <w:rPr>
          <w:rFonts w:ascii="Arial" w:cs="Arial" w:eastAsia="Arial" w:hAnsi="Arial"/>
          <w:sz w:val="19"/>
          <w:szCs w:val="19"/>
          <w:color w:val="010000"/>
        </w:rPr>
      </w:pPr>
      <w:r>
        <w:rPr>
          <w:rFonts w:ascii="Arial" w:cs="Arial" w:eastAsia="Arial" w:hAnsi="Arial"/>
          <w:sz w:val="19"/>
          <w:szCs w:val="19"/>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9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010000"/>
        </w:rPr>
        <w:t xml:space="preserve">7.5 </w:t>
      </w:r>
      <w:r>
        <w:rPr>
          <w:rFonts w:ascii="Arial" w:cs="Arial" w:eastAsia="Arial" w:hAnsi="Arial"/>
          <w:sz w:val="19"/>
          <w:szCs w:val="19"/>
          <w:color w:val="000000"/>
        </w:rPr>
        <w:t>Anti-Corruption Laws and Sanctions. The Company and its Subsidiary Borrowers shall not, and shall not permit any of</w:t>
      </w:r>
      <w:r>
        <w:rPr>
          <w:rFonts w:ascii="Arial" w:cs="Arial" w:eastAsia="Arial" w:hAnsi="Arial"/>
          <w:sz w:val="19"/>
          <w:szCs w:val="19"/>
          <w:color w:val="010000"/>
        </w:rPr>
        <w:t xml:space="preserve"> </w:t>
      </w:r>
      <w:r>
        <w:rPr>
          <w:rFonts w:ascii="Arial" w:cs="Arial" w:eastAsia="Arial" w:hAnsi="Arial"/>
          <w:sz w:val="19"/>
          <w:szCs w:val="19"/>
          <w:color w:val="000000"/>
        </w:rPr>
        <w:t>its Subsidiaries to, knowingly use the proceeds of the Loans or Letters of Credit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w:t>
      </w:r>
    </w:p>
    <w:p>
      <w:pPr>
        <w:sectPr>
          <w:pgSz w:w="11900" w:h="16838" w:orient="portrait"/>
          <w:cols w:equalWidth="0" w:num="1">
            <w:col w:w="11240"/>
          </w:cols>
          <w:pgMar w:left="320" w:top="568" w:right="339" w:bottom="1440" w:gutter="0" w:footer="0" w:header="0"/>
        </w:sectPr>
      </w:pPr>
    </w:p>
    <w:bookmarkStart w:id="146" w:name="page147"/>
    <w:bookmarkEnd w:id="146"/>
    <w:p>
      <w:pPr>
        <w:jc w:val="both"/>
        <w:spacing w:after="0" w:line="246" w:lineRule="auto"/>
        <w:rPr>
          <w:sz w:val="20"/>
          <w:szCs w:val="20"/>
          <w:color w:val="auto"/>
        </w:rPr>
      </w:pPr>
      <w:r>
        <w:rPr>
          <w:rFonts w:ascii="Arial" w:cs="Arial" w:eastAsia="Arial" w:hAnsi="Arial"/>
          <w:sz w:val="20"/>
          <w:szCs w:val="20"/>
          <w:color w:val="auto"/>
        </w:rPr>
        <w:t>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9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u w:val="single" w:color="auto"/>
          <w:color w:val="0000FF"/>
        </w:rPr>
        <w:t>7.6 Restricted Payments. The Company will not, when any Extensions of Credit, 5-Year Total Extensions of Credit or 364-Day Total Extensions of Credit are outstanding, directly or indirectly (a) declare or pay any dividends or return any capital to its stockholders (including any option holders) or make any other distribution, payment or delivery of property, securities or cash to its stockholders as such (all of the foregoing, “dividends”), or (b) make any payment (whether in cash, securities or other property), including any sinking fund or similar deposit, on account of the redemption, retirement, purchase, or otherwise acquisition, cancellation or termination, directly or indirectly, for consideration, of any shares of any class of its Capital Stock or any option, warrant or other right to acquire any such Capital Stock (all of the foregoing, “repurchases” and each a “repurchase”), in each case other than (i) dividends payable solely in its common Capital Stock, (ii) dividends, distributions or other issuances, in each case, of rights to purchase Capital Stock pursuant to a stockholder rights plan, (iii) dividends in respect of preferred shares and (iv) mandatory repurchases of preferred shares issued after the First Amendment Effective Date pursuant to any “private investment in public equity” transaction; provided that, so long as no Default or Event of Default exists or would exist after giving effect to any declaration or payment of dividends or repurchases:</w:t>
      </w:r>
    </w:p>
    <w:p>
      <w:pPr>
        <w:spacing w:after="0" w:line="170" w:lineRule="exact"/>
        <w:rPr>
          <w:sz w:val="20"/>
          <w:szCs w:val="20"/>
          <w:color w:val="auto"/>
        </w:rPr>
      </w:pPr>
    </w:p>
    <w:p>
      <w:pPr>
        <w:ind w:left="1720" w:hanging="416"/>
        <w:spacing w:after="0"/>
        <w:tabs>
          <w:tab w:leader="none" w:pos="1720" w:val="left"/>
        </w:tabs>
        <w:numPr>
          <w:ilvl w:val="0"/>
          <w:numId w:val="9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Company may redeem in whole or in part any of its Capital Stock for another class of its Capital Stock;</w:t>
      </w:r>
    </w:p>
    <w:p>
      <w:pPr>
        <w:spacing w:after="0" w:line="215" w:lineRule="exact"/>
        <w:rPr>
          <w:rFonts w:ascii="Arial" w:cs="Arial" w:eastAsia="Arial" w:hAnsi="Arial"/>
          <w:sz w:val="20"/>
          <w:szCs w:val="20"/>
          <w:u w:val="single" w:color="auto"/>
          <w:color w:val="0000FF"/>
        </w:rPr>
      </w:pPr>
    </w:p>
    <w:p>
      <w:pPr>
        <w:jc w:val="both"/>
        <w:ind w:firstLine="1304"/>
        <w:spacing w:after="0" w:line="291" w:lineRule="auto"/>
        <w:tabs>
          <w:tab w:leader="none" w:pos="1778" w:val="left"/>
        </w:tabs>
        <w:numPr>
          <w:ilvl w:val="0"/>
          <w:numId w:val="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Company may repurchase shares of, or make payments in respect of, its Capital Stock held by officers, directors and employees of the Company and/or any of its Subsidiaries, so long as such repurchase or payment is made pursuant to, and in accordance with the terms of, management and/or employee stock plans, stock subscription agreements or shareholder agreements;</w:t>
      </w:r>
    </w:p>
    <w:p>
      <w:pPr>
        <w:spacing w:after="0" w:line="151" w:lineRule="exact"/>
        <w:rPr>
          <w:rFonts w:ascii="Arial" w:cs="Arial" w:eastAsia="Arial" w:hAnsi="Arial"/>
          <w:sz w:val="18"/>
          <w:szCs w:val="18"/>
          <w:u w:val="single" w:color="auto"/>
          <w:color w:val="0000FF"/>
        </w:rPr>
      </w:pPr>
    </w:p>
    <w:p>
      <w:pPr>
        <w:ind w:firstLine="1304"/>
        <w:spacing w:after="0" w:line="260" w:lineRule="auto"/>
        <w:tabs>
          <w:tab w:leader="none" w:pos="1740" w:val="left"/>
        </w:tabs>
        <w:numPr>
          <w:ilvl w:val="0"/>
          <w:numId w:val="9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Company may redeem, retire, purchase or otherwise acquire, directly or indirectly, for consideration, any shares of any class of its Capital Stock from Subsidiaries;</w:t>
      </w:r>
    </w:p>
    <w:p>
      <w:pPr>
        <w:spacing w:after="0" w:line="176" w:lineRule="exact"/>
        <w:rPr>
          <w:rFonts w:ascii="Arial" w:cs="Arial" w:eastAsia="Arial" w:hAnsi="Arial"/>
          <w:sz w:val="20"/>
          <w:szCs w:val="20"/>
          <w:u w:val="single" w:color="auto"/>
          <w:color w:val="0000FF"/>
        </w:rPr>
      </w:pPr>
    </w:p>
    <w:p>
      <w:pPr>
        <w:jc w:val="both"/>
        <w:ind w:firstLine="1304"/>
        <w:spacing w:after="0" w:line="250" w:lineRule="auto"/>
        <w:tabs>
          <w:tab w:leader="none" w:pos="1724" w:val="left"/>
        </w:tabs>
        <w:numPr>
          <w:ilvl w:val="0"/>
          <w:numId w:val="9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Company may, at its discretion, enter into, and pay for the net cost of, call spread agreements when the execution of such agreements is contemporaneous with the public offering of convertible debt securities, mandatory convertible securities, or convertible preferred securities (convertible securities);</w:t>
      </w:r>
    </w:p>
    <w:p>
      <w:pPr>
        <w:spacing w:after="0" w:line="185" w:lineRule="exact"/>
        <w:rPr>
          <w:rFonts w:ascii="Arial" w:cs="Arial" w:eastAsia="Arial" w:hAnsi="Arial"/>
          <w:sz w:val="20"/>
          <w:szCs w:val="20"/>
          <w:u w:val="single" w:color="auto"/>
          <w:color w:val="0000FF"/>
        </w:rPr>
      </w:pPr>
    </w:p>
    <w:p>
      <w:pPr>
        <w:ind w:firstLine="1304"/>
        <w:spacing w:after="0" w:line="260" w:lineRule="auto"/>
        <w:tabs>
          <w:tab w:leader="none" w:pos="1740" w:val="left"/>
        </w:tabs>
        <w:numPr>
          <w:ilvl w:val="0"/>
          <w:numId w:val="9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Company may pay dividends so long as the aggregate amount of Extensions of Credit, 5-Year Total Extensions of Credit and 364-Day Total Extensions of Credit outstanding are less than or equal to $5,000,000,000; and</w:t>
      </w:r>
    </w:p>
    <w:p>
      <w:pPr>
        <w:spacing w:after="0" w:line="176" w:lineRule="exact"/>
        <w:rPr>
          <w:rFonts w:ascii="Arial" w:cs="Arial" w:eastAsia="Arial" w:hAnsi="Arial"/>
          <w:sz w:val="20"/>
          <w:szCs w:val="20"/>
          <w:u w:val="single" w:color="auto"/>
          <w:color w:val="0000FF"/>
        </w:rPr>
      </w:pPr>
    </w:p>
    <w:p>
      <w:pPr>
        <w:ind w:firstLine="1304"/>
        <w:spacing w:after="0" w:line="316" w:lineRule="auto"/>
        <w:tabs>
          <w:tab w:leader="none" w:pos="1746" w:val="left"/>
        </w:tabs>
        <w:numPr>
          <w:ilvl w:val="0"/>
          <w:numId w:val="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Company may repurchase, directly or indirectly, for consideration, any shares of any class of its Capital Stock so long as there are no outstanding Extensions of Credit, 5-Year Total Extensions of Credit or 364-Day Total Extensions of Credit.</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8.</w:t>
      </w:r>
      <w:r>
        <w:rPr>
          <w:sz w:val="20"/>
          <w:szCs w:val="20"/>
          <w:color w:val="auto"/>
        </w:rPr>
        <w:tab/>
      </w:r>
      <w:r>
        <w:rPr>
          <w:rFonts w:ascii="Arial" w:cs="Arial" w:eastAsia="Arial" w:hAnsi="Arial"/>
          <w:sz w:val="19"/>
          <w:szCs w:val="19"/>
          <w:b w:val="1"/>
          <w:bCs w:val="1"/>
          <w:u w:val="single" w:color="auto"/>
          <w:color w:val="auto"/>
        </w:rPr>
        <w:t>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6610" cy="8890"/>
                    </a:xfrm>
                    <a:prstGeom prst="rect">
                      <a:avLst/>
                    </a:prstGeom>
                    <a:noFill/>
                  </pic:spPr>
                </pic:pic>
              </a:graphicData>
            </a:graphic>
          </wp:anchor>
        </w:drawing>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any of the following events shall occur and be continuing:</w:t>
      </w:r>
    </w:p>
    <w:p>
      <w:pPr>
        <w:spacing w:after="0" w:line="216" w:lineRule="exact"/>
        <w:rPr>
          <w:sz w:val="20"/>
          <w:szCs w:val="20"/>
          <w:color w:val="auto"/>
        </w:rPr>
      </w:pPr>
    </w:p>
    <w:p>
      <w:pPr>
        <w:ind w:firstLine="1304"/>
        <w:spacing w:after="0" w:line="260" w:lineRule="auto"/>
        <w:tabs>
          <w:tab w:leader="none" w:pos="1875"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any Borrower shall fail to pay (i) any principal of any Loan at maturity, (ii) any interest, Facility Fee or any Reimbursement Obligation hereunder or any fee owing pursuant to the L/C Fee</w:t>
      </w:r>
    </w:p>
    <w:p>
      <w:pPr>
        <w:sectPr>
          <w:pgSz w:w="11900" w:h="16838" w:orient="portrait"/>
          <w:cols w:equalWidth="0" w:num="1">
            <w:col w:w="11240"/>
          </w:cols>
          <w:pgMar w:left="320" w:top="568" w:right="339" w:bottom="1440" w:gutter="0" w:footer="0" w:header="0"/>
        </w:sectPr>
      </w:pPr>
    </w:p>
    <w:bookmarkStart w:id="147" w:name="page148"/>
    <w:bookmarkEnd w:id="147"/>
    <w:p>
      <w:pPr>
        <w:jc w:val="both"/>
        <w:spacing w:after="0" w:line="243" w:lineRule="auto"/>
        <w:rPr>
          <w:sz w:val="20"/>
          <w:szCs w:val="20"/>
          <w:color w:val="auto"/>
        </w:rPr>
      </w:pPr>
      <w:r>
        <w:rPr>
          <w:rFonts w:ascii="Arial" w:cs="Arial" w:eastAsia="Arial" w:hAnsi="Arial"/>
          <w:sz w:val="20"/>
          <w:szCs w:val="20"/>
          <w:color w:val="auto"/>
        </w:rPr>
        <w:t>Letter or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96" w:lineRule="exact"/>
        <w:rPr>
          <w:sz w:val="20"/>
          <w:szCs w:val="20"/>
          <w:color w:val="auto"/>
        </w:rPr>
      </w:pPr>
    </w:p>
    <w:p>
      <w:pPr>
        <w:jc w:val="both"/>
        <w:ind w:firstLine="1304"/>
        <w:spacing w:after="0" w:line="250" w:lineRule="auto"/>
        <w:tabs>
          <w:tab w:leader="none" w:pos="1819" w:val="left"/>
        </w:tabs>
        <w:numPr>
          <w:ilvl w:val="0"/>
          <w:numId w:val="96"/>
        </w:numPr>
        <w:rPr>
          <w:rFonts w:ascii="Arial" w:cs="Arial" w:eastAsia="Arial" w:hAnsi="Arial"/>
          <w:sz w:val="20"/>
          <w:szCs w:val="20"/>
          <w:color w:val="010000"/>
        </w:rPr>
      </w:pPr>
      <w:r>
        <w:rPr>
          <w:rFonts w:ascii="Arial" w:cs="Arial" w:eastAsia="Arial" w:hAnsi="Arial"/>
          <w:sz w:val="20"/>
          <w:szCs w:val="20"/>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85" w:lineRule="exact"/>
        <w:rPr>
          <w:rFonts w:ascii="Arial" w:cs="Arial" w:eastAsia="Arial" w:hAnsi="Arial"/>
          <w:sz w:val="20"/>
          <w:szCs w:val="20"/>
          <w:color w:val="010000"/>
        </w:rPr>
      </w:pPr>
    </w:p>
    <w:p>
      <w:pPr>
        <w:jc w:val="both"/>
        <w:ind w:firstLine="1304"/>
        <w:spacing w:after="0" w:line="244" w:lineRule="auto"/>
        <w:tabs>
          <w:tab w:leader="none" w:pos="1875" w:val="left"/>
        </w:tabs>
        <w:numPr>
          <w:ilvl w:val="0"/>
          <w:numId w:val="96"/>
        </w:numPr>
        <w:rPr>
          <w:rFonts w:ascii="Arial" w:cs="Arial" w:eastAsia="Arial" w:hAnsi="Arial"/>
          <w:sz w:val="20"/>
          <w:szCs w:val="20"/>
          <w:color w:val="010000"/>
        </w:rPr>
      </w:pPr>
      <w:r>
        <w:rPr>
          <w:rFonts w:ascii="Arial" w:cs="Arial" w:eastAsia="Arial" w:hAnsi="Arial"/>
          <w:sz w:val="20"/>
          <w:szCs w:val="20"/>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20"/>
          <w:szCs w:val="20"/>
          <w:u w:val="single" w:color="auto"/>
          <w:color w:val="auto"/>
        </w:rPr>
        <w:t>provided</w:t>
      </w:r>
      <w:r>
        <w:rPr>
          <w:rFonts w:ascii="Arial" w:cs="Arial" w:eastAsia="Arial" w:hAnsi="Arial"/>
          <w:sz w:val="20"/>
          <w:szCs w:val="20"/>
          <w:color w:val="auto"/>
        </w:rPr>
        <w:t>, that, with respect to clause (ii) only, such default shall continue unremedied for a period of 20 Business Days after the Company’s receipt from the Administrative Agent of notice of such default; or</w:t>
      </w:r>
    </w:p>
    <w:p>
      <w:pPr>
        <w:spacing w:after="0" w:line="194" w:lineRule="exact"/>
        <w:rPr>
          <w:rFonts w:ascii="Arial" w:cs="Arial" w:eastAsia="Arial" w:hAnsi="Arial"/>
          <w:sz w:val="20"/>
          <w:szCs w:val="20"/>
          <w:color w:val="010000"/>
        </w:rPr>
      </w:pPr>
    </w:p>
    <w:p>
      <w:pPr>
        <w:jc w:val="both"/>
        <w:ind w:firstLine="1304"/>
        <w:spacing w:after="0" w:line="274" w:lineRule="auto"/>
        <w:tabs>
          <w:tab w:leader="none" w:pos="1792"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68" w:lineRule="exact"/>
        <w:rPr>
          <w:rFonts w:ascii="Arial" w:cs="Arial" w:eastAsia="Arial" w:hAnsi="Arial"/>
          <w:sz w:val="18"/>
          <w:szCs w:val="18"/>
          <w:color w:val="010000"/>
        </w:rPr>
      </w:pPr>
    </w:p>
    <w:p>
      <w:pPr>
        <w:jc w:val="both"/>
        <w:ind w:firstLine="1304"/>
        <w:spacing w:after="0" w:line="257" w:lineRule="auto"/>
        <w:tabs>
          <w:tab w:leader="none" w:pos="1740"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80" w:lineRule="exact"/>
        <w:rPr>
          <w:rFonts w:ascii="Arial" w:cs="Arial" w:eastAsia="Arial" w:hAnsi="Arial"/>
          <w:sz w:val="19"/>
          <w:szCs w:val="19"/>
          <w:color w:val="010000"/>
        </w:rPr>
      </w:pPr>
    </w:p>
    <w:p>
      <w:pPr>
        <w:ind w:left="1700" w:hanging="396"/>
        <w:spacing w:after="0"/>
        <w:tabs>
          <w:tab w:leader="none" w:pos="1700" w:val="left"/>
        </w:tabs>
        <w:numPr>
          <w:ilvl w:val="0"/>
          <w:numId w:val="96"/>
        </w:numPr>
        <w:rPr>
          <w:rFonts w:ascii="Arial" w:cs="Arial" w:eastAsia="Arial" w:hAnsi="Arial"/>
          <w:sz w:val="20"/>
          <w:szCs w:val="20"/>
          <w:color w:val="010000"/>
        </w:rPr>
      </w:pPr>
      <w:r>
        <w:rPr>
          <w:rFonts w:ascii="Arial" w:cs="Arial" w:eastAsia="Arial" w:hAnsi="Arial"/>
          <w:sz w:val="20"/>
          <w:szCs w:val="20"/>
          <w:color w:val="auto"/>
        </w:rPr>
        <w:t>the occurrence of an ERISA Default; or</w:t>
      </w:r>
    </w:p>
    <w:p>
      <w:pPr>
        <w:spacing w:after="0" w:line="215" w:lineRule="exact"/>
        <w:rPr>
          <w:rFonts w:ascii="Arial" w:cs="Arial" w:eastAsia="Arial" w:hAnsi="Arial"/>
          <w:sz w:val="20"/>
          <w:szCs w:val="20"/>
          <w:color w:val="010000"/>
        </w:rPr>
      </w:pPr>
    </w:p>
    <w:p>
      <w:pPr>
        <w:jc w:val="both"/>
        <w:ind w:firstLine="1304"/>
        <w:spacing w:after="0" w:line="282" w:lineRule="auto"/>
        <w:tabs>
          <w:tab w:leader="none" w:pos="1805"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ectPr>
          <w:pgSz w:w="11900" w:h="16838" w:orient="portrait"/>
          <w:cols w:equalWidth="0" w:num="1">
            <w:col w:w="11240"/>
          </w:cols>
          <w:pgMar w:left="320" w:top="568" w:right="339" w:bottom="1440" w:gutter="0" w:footer="0" w:header="0"/>
        </w:sectPr>
      </w:pPr>
    </w:p>
    <w:bookmarkStart w:id="148" w:name="page149"/>
    <w:bookmarkEnd w:id="148"/>
    <w:p>
      <w:pPr>
        <w:ind w:firstLine="1304"/>
        <w:spacing w:after="0" w:line="287" w:lineRule="auto"/>
        <w:tabs>
          <w:tab w:leader="none" w:pos="1738"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52" w:lineRule="exact"/>
        <w:rPr>
          <w:rFonts w:ascii="Arial" w:cs="Arial" w:eastAsia="Arial" w:hAnsi="Arial"/>
          <w:sz w:val="19"/>
          <w:szCs w:val="19"/>
          <w:color w:val="010000"/>
        </w:rPr>
      </w:pPr>
    </w:p>
    <w:p>
      <w:pPr>
        <w:ind w:left="1680" w:hanging="376"/>
        <w:spacing w:after="0"/>
        <w:tabs>
          <w:tab w:leader="none" w:pos="1680" w:val="left"/>
        </w:tabs>
        <w:numPr>
          <w:ilvl w:val="0"/>
          <w:numId w:val="97"/>
        </w:numPr>
        <w:rPr>
          <w:rFonts w:ascii="Arial" w:cs="Arial" w:eastAsia="Arial" w:hAnsi="Arial"/>
          <w:sz w:val="20"/>
          <w:szCs w:val="20"/>
          <w:color w:val="010000"/>
        </w:rPr>
      </w:pPr>
      <w:r>
        <w:rPr>
          <w:rFonts w:ascii="Arial" w:cs="Arial" w:eastAsia="Arial" w:hAnsi="Arial"/>
          <w:sz w:val="20"/>
          <w:szCs w:val="20"/>
          <w:color w:val="auto"/>
        </w:rPr>
        <w:t>the occurrence of a Change of Control;</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then, and in any such event, (A) if such event is an Event of Default specified in paragraph (e) above with respect to the Company, automatically the Commitments and Ancillary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and Ancillary Commitments to be terminated forthwith, whereupon the Commitments and Ancillary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010000"/>
        </w:rPr>
        <w:t>SECTION 9.</w:t>
      </w:r>
      <w:r>
        <w:rPr>
          <w:sz w:val="20"/>
          <w:szCs w:val="20"/>
          <w:color w:val="auto"/>
        </w:rPr>
        <w:tab/>
      </w:r>
      <w:r>
        <w:rPr>
          <w:rFonts w:ascii="Arial" w:cs="Arial" w:eastAsia="Arial" w:hAnsi="Arial"/>
          <w:sz w:val="19"/>
          <w:szCs w:val="19"/>
          <w:b w:val="1"/>
          <w:bCs w:val="1"/>
          <w:u w:val="single" w:color="auto"/>
          <w:color w:val="auto"/>
        </w:rPr>
        <w:t>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166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20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9.1 </w:t>
      </w:r>
      <w:r>
        <w:rPr>
          <w:rFonts w:ascii="Arial" w:cs="Arial" w:eastAsia="Arial" w:hAnsi="Arial"/>
          <w:sz w:val="20"/>
          <w:szCs w:val="20"/>
          <w:color w:val="000000"/>
        </w:rPr>
        <w:t>Appointment. Each Lender hereby irrevocably designates and appoints the Administrative Agent and the Brazilian</w:t>
      </w:r>
      <w:r>
        <w:rPr>
          <w:rFonts w:ascii="Arial" w:cs="Arial" w:eastAsia="Arial" w:hAnsi="Arial"/>
          <w:sz w:val="20"/>
          <w:szCs w:val="20"/>
          <w:color w:val="010000"/>
        </w:rPr>
        <w:t xml:space="preserve"> </w:t>
      </w:r>
      <w:r>
        <w:rPr>
          <w:rFonts w:ascii="Arial" w:cs="Arial" w:eastAsia="Arial" w:hAnsi="Arial"/>
          <w:sz w:val="20"/>
          <w:szCs w:val="20"/>
          <w:color w:val="000000"/>
        </w:rPr>
        <w:t>Administrative Agent, as applicable, as the agents of such Lender under this Agreement, the other Loan Documents and (in the case of the Brazilian Administrative Agent) the Brazilian 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w:t>
      </w:r>
    </w:p>
    <w:p>
      <w:pPr>
        <w:sectPr>
          <w:pgSz w:w="11900" w:h="16838" w:orient="portrait"/>
          <w:cols w:equalWidth="0" w:num="1">
            <w:col w:w="11240"/>
          </w:cols>
          <w:pgMar w:left="320" w:top="568" w:right="339" w:bottom="1440" w:gutter="0" w:footer="0" w:header="0"/>
        </w:sectPr>
      </w:pPr>
    </w:p>
    <w:bookmarkStart w:id="149" w:name="page150"/>
    <w:bookmarkEnd w:id="149"/>
    <w:p>
      <w:pPr>
        <w:jc w:val="both"/>
        <w:spacing w:after="0" w:line="243" w:lineRule="auto"/>
        <w:rPr>
          <w:sz w:val="20"/>
          <w:szCs w:val="20"/>
          <w:color w:val="auto"/>
        </w:rPr>
      </w:pPr>
      <w:r>
        <w:rPr>
          <w:rFonts w:ascii="Arial" w:cs="Arial" w:eastAsia="Arial" w:hAnsi="Arial"/>
          <w:sz w:val="20"/>
          <w:szCs w:val="20"/>
          <w:color w:val="auto"/>
        </w:rPr>
        <w:t>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 Document or the Brazilian Intercreditor Agreement or otherwise exist against the Administrative Agent or the Brazilian Administrative Agent.</w:t>
      </w:r>
    </w:p>
    <w:p>
      <w:pPr>
        <w:spacing w:after="0" w:line="19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9.2 </w:t>
      </w:r>
      <w:r>
        <w:rPr>
          <w:rFonts w:ascii="Arial" w:cs="Arial" w:eastAsia="Arial" w:hAnsi="Arial"/>
          <w:sz w:val="20"/>
          <w:szCs w:val="20"/>
          <w:color w:val="000000"/>
        </w:rPr>
        <w:t>Delegation of Duties. Each Agent may execute any of its duties under this Agreement, the other Loan Documents and</w:t>
      </w:r>
      <w:r>
        <w:rPr>
          <w:rFonts w:ascii="Arial" w:cs="Arial" w:eastAsia="Arial" w:hAnsi="Arial"/>
          <w:sz w:val="20"/>
          <w:szCs w:val="20"/>
          <w:color w:val="010000"/>
        </w:rPr>
        <w:t xml:space="preserve"> </w:t>
      </w:r>
      <w:r>
        <w:rPr>
          <w:rFonts w:ascii="Arial" w:cs="Arial" w:eastAsia="Arial" w:hAnsi="Arial"/>
          <w:sz w:val="20"/>
          <w:szCs w:val="20"/>
          <w:color w:val="000000"/>
        </w:rPr>
        <w:t>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9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010000"/>
        </w:rPr>
        <w:t xml:space="preserve">9.3 </w:t>
      </w:r>
      <w:r>
        <w:rPr>
          <w:rFonts w:ascii="Arial" w:cs="Arial" w:eastAsia="Arial" w:hAnsi="Arial"/>
          <w:sz w:val="18"/>
          <w:szCs w:val="18"/>
          <w:color w:val="000000"/>
        </w:rPr>
        <w:t>Exculpatory Provisions.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 the observance or performance of any of the agreements contained in, or conditions of, this Agreement, any other Loan Document or the Brazilian Intercreditor Agreement, or to inspect the properties, books or records of any Loan Party.</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010000"/>
        </w:rPr>
        <w:t xml:space="preserve">9.4 </w:t>
      </w:r>
      <w:r>
        <w:rPr>
          <w:rFonts w:ascii="Arial" w:cs="Arial" w:eastAsia="Arial" w:hAnsi="Arial"/>
          <w:sz w:val="18"/>
          <w:szCs w:val="18"/>
          <w:color w:val="000000"/>
        </w:rPr>
        <w:t>Reliance by Administrative Agent and the Brazilian Administrative Agent. Each of the Administrative Agent and the</w:t>
      </w:r>
      <w:r>
        <w:rPr>
          <w:rFonts w:ascii="Arial" w:cs="Arial" w:eastAsia="Arial" w:hAnsi="Arial"/>
          <w:sz w:val="18"/>
          <w:szCs w:val="18"/>
          <w:color w:val="010000"/>
        </w:rPr>
        <w:t xml:space="preserve"> </w:t>
      </w:r>
      <w:r>
        <w:rPr>
          <w:rFonts w:ascii="Arial" w:cs="Arial" w:eastAsia="Arial" w:hAnsi="Arial"/>
          <w:sz w:val="18"/>
          <w:szCs w:val="18"/>
          <w:color w:val="000000"/>
        </w:rPr>
        <w:t>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w:t>
      </w:r>
    </w:p>
    <w:p>
      <w:pPr>
        <w:sectPr>
          <w:pgSz w:w="11900" w:h="16838" w:orient="portrait"/>
          <w:cols w:equalWidth="0" w:num="1">
            <w:col w:w="11240"/>
          </w:cols>
          <w:pgMar w:left="320" w:top="568" w:right="3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0"/>
          <w:szCs w:val="20"/>
          <w:color w:val="auto"/>
        </w:rPr>
        <w:t>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010000"/>
        </w:rPr>
        <w:t xml:space="preserve">9.5 </w:t>
      </w:r>
      <w:r>
        <w:rPr>
          <w:rFonts w:ascii="Arial" w:cs="Arial" w:eastAsia="Arial" w:hAnsi="Arial"/>
          <w:sz w:val="18"/>
          <w:szCs w:val="18"/>
          <w:color w:val="000000"/>
        </w:rPr>
        <w:t>Notice of Default. Neither the Administrative Agent nor the Brazilian Administrative Agent shall be deemed to have</w:t>
      </w:r>
      <w:r>
        <w:rPr>
          <w:rFonts w:ascii="Arial" w:cs="Arial" w:eastAsia="Arial" w:hAnsi="Arial"/>
          <w:sz w:val="18"/>
          <w:szCs w:val="18"/>
          <w:color w:val="010000"/>
        </w:rPr>
        <w:t xml:space="preserve"> </w:t>
      </w:r>
      <w:r>
        <w:rPr>
          <w:rFonts w:ascii="Arial" w:cs="Arial" w:eastAsia="Arial" w:hAnsi="Arial"/>
          <w:sz w:val="18"/>
          <w:szCs w:val="18"/>
          <w:color w:val="000000"/>
        </w:rPr>
        <w:t xml:space="preserve">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 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010000"/>
        </w:rPr>
        <w:t xml:space="preserve">9.6 </w:t>
      </w:r>
      <w:r>
        <w:rPr>
          <w:rFonts w:ascii="Arial" w:cs="Arial" w:eastAsia="Arial" w:hAnsi="Arial"/>
          <w:sz w:val="18"/>
          <w:szCs w:val="18"/>
          <w:color w:val="000000"/>
        </w:rPr>
        <w:t>Non-Reliance on Agents and Other Lenders. Each Lender expressly acknowledges that none of the Agents nor any of</w:t>
      </w:r>
      <w:r>
        <w:rPr>
          <w:rFonts w:ascii="Arial" w:cs="Arial" w:eastAsia="Arial" w:hAnsi="Arial"/>
          <w:sz w:val="18"/>
          <w:szCs w:val="18"/>
          <w:color w:val="010000"/>
        </w:rPr>
        <w:t xml:space="preserve"> </w:t>
      </w:r>
      <w:r>
        <w:rPr>
          <w:rFonts w:ascii="Arial" w:cs="Arial" w:eastAsia="Arial" w:hAnsi="Arial"/>
          <w:sz w:val="18"/>
          <w:szCs w:val="18"/>
          <w:color w:val="000000"/>
        </w:rPr>
        <w:t>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Brazilian Administrative Agent or any of their respective officers, directors, employees, agents, attorneys-in-fact or affiliates.</w:t>
      </w:r>
    </w:p>
    <w:p>
      <w:pPr>
        <w:spacing w:after="0" w:line="17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010000"/>
        </w:rPr>
        <w:t xml:space="preserve">9.7 </w:t>
      </w:r>
      <w:r>
        <w:rPr>
          <w:rFonts w:ascii="Arial" w:cs="Arial" w:eastAsia="Arial" w:hAnsi="Arial"/>
          <w:sz w:val="19"/>
          <w:szCs w:val="19"/>
          <w:color w:val="000000"/>
        </w:rPr>
        <w:t>Indemnification. The Lenders agree to indemnify each Agent in its capacity as such (to the extent not reimbursed by or</w:t>
      </w:r>
      <w:r>
        <w:rPr>
          <w:rFonts w:ascii="Arial" w:cs="Arial" w:eastAsia="Arial" w:hAnsi="Arial"/>
          <w:sz w:val="19"/>
          <w:szCs w:val="19"/>
          <w:color w:val="010000"/>
        </w:rPr>
        <w:t xml:space="preserve"> </w:t>
      </w:r>
      <w:r>
        <w:rPr>
          <w:rFonts w:ascii="Arial" w:cs="Arial" w:eastAsia="Arial" w:hAnsi="Arial"/>
          <w:sz w:val="19"/>
          <w:szCs w:val="19"/>
          <w:color w:val="000000"/>
        </w:rPr>
        <w:t>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w:t>
      </w:r>
    </w:p>
    <w:p>
      <w:pPr>
        <w:sectPr>
          <w:pgSz w:w="11900" w:h="16838" w:orient="portrait"/>
          <w:cols w:equalWidth="0" w:num="1">
            <w:col w:w="11240"/>
          </w:cols>
          <w:pgMar w:left="320" w:top="568" w:right="339" w:bottom="1440" w:gutter="0" w:footer="0" w:header="0"/>
        </w:sectPr>
      </w:pPr>
    </w:p>
    <w:bookmarkStart w:id="151" w:name="page152"/>
    <w:bookmarkEnd w:id="151"/>
    <w:p>
      <w:pPr>
        <w:jc w:val="both"/>
        <w:spacing w:after="0" w:line="256" w:lineRule="auto"/>
        <w:rPr>
          <w:sz w:val="20"/>
          <w:szCs w:val="20"/>
          <w:color w:val="auto"/>
        </w:rPr>
      </w:pPr>
      <w:r>
        <w:rPr>
          <w:rFonts w:ascii="Arial" w:cs="Arial" w:eastAsia="Arial" w:hAnsi="Arial"/>
          <w:sz w:val="19"/>
          <w:szCs w:val="19"/>
          <w:color w:val="auto"/>
        </w:rPr>
        <w:t xml:space="preserve">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9.7 shall survive the payment of the Loans and all other amounts payable hereunder.</w:t>
      </w:r>
    </w:p>
    <w:p>
      <w:pPr>
        <w:spacing w:after="0" w:line="184"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010000"/>
        </w:rPr>
        <w:t xml:space="preserve">9.8 </w:t>
      </w:r>
      <w:r>
        <w:rPr>
          <w:rFonts w:ascii="Arial" w:cs="Arial" w:eastAsia="Arial" w:hAnsi="Arial"/>
          <w:sz w:val="18"/>
          <w:szCs w:val="18"/>
          <w:color w:val="000000"/>
        </w:rPr>
        <w:t>Agent in Its Individual Capacity. Each Agent and its affiliates may make loans to, accept deposits from and generally</w:t>
      </w:r>
      <w:r>
        <w:rPr>
          <w:rFonts w:ascii="Arial" w:cs="Arial" w:eastAsia="Arial" w:hAnsi="Arial"/>
          <w:sz w:val="18"/>
          <w:szCs w:val="18"/>
          <w:color w:val="010000"/>
        </w:rPr>
        <w:t xml:space="preserve"> </w:t>
      </w:r>
      <w:r>
        <w:rPr>
          <w:rFonts w:ascii="Arial" w:cs="Arial" w:eastAsia="Arial" w:hAnsi="Arial"/>
          <w:sz w:val="18"/>
          <w:szCs w:val="18"/>
          <w:color w:val="000000"/>
        </w:rPr>
        <w:t>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6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010000"/>
        </w:rPr>
        <w:t xml:space="preserve">9.9 </w:t>
      </w:r>
      <w:r>
        <w:rPr>
          <w:rFonts w:ascii="Arial" w:cs="Arial" w:eastAsia="Arial" w:hAnsi="Arial"/>
          <w:sz w:val="18"/>
          <w:szCs w:val="18"/>
          <w:color w:val="000000"/>
        </w:rPr>
        <w:t>Successor Administrative Agent. The Administrative Agent may resign as Administrative Agent upon 30 days’ notice</w:t>
      </w:r>
      <w:r>
        <w:rPr>
          <w:rFonts w:ascii="Arial" w:cs="Arial" w:eastAsia="Arial" w:hAnsi="Arial"/>
          <w:sz w:val="18"/>
          <w:szCs w:val="18"/>
          <w:color w:val="010000"/>
        </w:rPr>
        <w:t xml:space="preserve"> </w:t>
      </w:r>
      <w:r>
        <w:rPr>
          <w:rFonts w:ascii="Arial" w:cs="Arial" w:eastAsia="Arial" w:hAnsi="Arial"/>
          <w:sz w:val="18"/>
          <w:szCs w:val="18"/>
          <w:color w:val="000000"/>
        </w:rPr>
        <w:t>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9.10 </w:t>
      </w:r>
      <w:r>
        <w:rPr>
          <w:rFonts w:ascii="Arial" w:cs="Arial" w:eastAsia="Arial" w:hAnsi="Arial"/>
          <w:sz w:val="20"/>
          <w:szCs w:val="20"/>
          <w:color w:val="000000"/>
        </w:rPr>
        <w:t>Replacement of Brazilian Administrative Agent</w:t>
      </w:r>
      <w:r>
        <w:rPr>
          <w:rFonts w:ascii="Arial" w:cs="Arial" w:eastAsia="Arial" w:hAnsi="Arial"/>
          <w:sz w:val="20"/>
          <w:szCs w:val="20"/>
          <w:u w:val="single" w:color="auto"/>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The Company may replace the Brazilian Administrative Agent, upon</w:t>
      </w:r>
      <w:r>
        <w:rPr>
          <w:rFonts w:ascii="Arial" w:cs="Arial" w:eastAsia="Arial" w:hAnsi="Arial"/>
          <w:sz w:val="20"/>
          <w:szCs w:val="20"/>
          <w:color w:val="010000"/>
        </w:rPr>
        <w:t xml:space="preserve"> </w:t>
      </w:r>
      <w:r>
        <w:rPr>
          <w:rFonts w:ascii="Arial" w:cs="Arial" w:eastAsia="Arial" w:hAnsi="Arial"/>
          <w:sz w:val="20"/>
          <w:szCs w:val="20"/>
          <w:color w:val="000000"/>
        </w:rPr>
        <w:t xml:space="preserve">30 days’ written notice to the Brazilian Administrative Agent; </w:t>
      </w:r>
      <w:r>
        <w:rPr>
          <w:rFonts w:ascii="Arial" w:cs="Arial" w:eastAsia="Arial" w:hAnsi="Arial"/>
          <w:sz w:val="20"/>
          <w:szCs w:val="20"/>
          <w:u w:val="single" w:color="auto"/>
          <w:color w:val="000000"/>
        </w:rPr>
        <w:t>provided</w:t>
      </w:r>
      <w:r>
        <w:rPr>
          <w:rFonts w:ascii="Arial" w:cs="Arial" w:eastAsia="Arial" w:hAnsi="Arial"/>
          <w:sz w:val="20"/>
          <w:szCs w:val="20"/>
          <w:color w:val="000000"/>
        </w:rPr>
        <w:t>, that any proposed successor agent shall require the consent of (x) the Administrative Agent and (y) the</w:t>
      </w:r>
    </w:p>
    <w:p>
      <w:pPr>
        <w:sectPr>
          <w:pgSz w:w="11900" w:h="16838" w:orient="portrait"/>
          <w:cols w:equalWidth="0" w:num="1">
            <w:col w:w="11240"/>
          </w:cols>
          <w:pgMar w:left="320" w:top="568" w:right="339" w:bottom="1440" w:gutter="0" w:footer="0" w:header="0"/>
        </w:sectPr>
      </w:pPr>
    </w:p>
    <w:bookmarkStart w:id="152" w:name="page153"/>
    <w:bookmarkEnd w:id="152"/>
    <w:p>
      <w:pPr>
        <w:jc w:val="both"/>
        <w:spacing w:after="0" w:line="271" w:lineRule="auto"/>
        <w:rPr>
          <w:sz w:val="20"/>
          <w:szCs w:val="20"/>
          <w:color w:val="auto"/>
        </w:rPr>
      </w:pPr>
      <w:r>
        <w:rPr>
          <w:rFonts w:ascii="Arial" w:cs="Arial" w:eastAsia="Arial" w:hAnsi="Arial"/>
          <w:sz w:val="18"/>
          <w:szCs w:val="18"/>
          <w:color w:val="auto"/>
        </w:rPr>
        <w:t>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 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010000"/>
        </w:rPr>
        <w:t xml:space="preserve">9.11 </w:t>
      </w:r>
      <w:r>
        <w:rPr>
          <w:rFonts w:ascii="Arial" w:cs="Arial" w:eastAsia="Arial" w:hAnsi="Arial"/>
          <w:sz w:val="18"/>
          <w:szCs w:val="18"/>
          <w:color w:val="000000"/>
        </w:rPr>
        <w:t>Bookrunners, Lead Arrangers, Global and Regional Coordinators, Documentation Agents, Syndication Agent and Co-Syndication Agent.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8"/>
          <w:szCs w:val="18"/>
          <w:u w:val="single" w:color="auto"/>
          <w:color w:val="000000"/>
        </w:rPr>
        <w:t>Arrangers</w:t>
      </w:r>
      <w:r>
        <w:rPr>
          <w:rFonts w:ascii="Arial" w:cs="Arial" w:eastAsia="Arial" w:hAnsi="Arial"/>
          <w:sz w:val="18"/>
          <w:szCs w:val="18"/>
          <w:color w:val="000000"/>
        </w:rPr>
        <w:t>”) shall have any duties or responsibilities under this Agreement, the other 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165" w:lineRule="exact"/>
        <w:rPr>
          <w:sz w:val="20"/>
          <w:szCs w:val="20"/>
          <w:color w:val="auto"/>
        </w:rPr>
      </w:pPr>
    </w:p>
    <w:p>
      <w:pPr>
        <w:ind w:right="40" w:firstLine="1296"/>
        <w:spacing w:after="0" w:line="263" w:lineRule="auto"/>
        <w:rPr>
          <w:sz w:val="20"/>
          <w:szCs w:val="20"/>
          <w:color w:val="auto"/>
        </w:rPr>
      </w:pPr>
      <w:r>
        <w:rPr>
          <w:rFonts w:ascii="Arial" w:cs="Arial" w:eastAsia="Arial" w:hAnsi="Arial"/>
          <w:sz w:val="19"/>
          <w:szCs w:val="19"/>
          <w:color w:val="010000"/>
        </w:rPr>
        <w:t xml:space="preserve">9.12 </w:t>
      </w:r>
      <w:r>
        <w:rPr>
          <w:rFonts w:ascii="Arial" w:cs="Arial" w:eastAsia="Arial" w:hAnsi="Arial"/>
          <w:sz w:val="19"/>
          <w:szCs w:val="19"/>
          <w:color w:val="000000"/>
        </w:rPr>
        <w:t>Certain ERISA Matters. (a) Each Lender (x) represents and warrants, as of the date such Person became a Lender</w:t>
      </w:r>
      <w:r>
        <w:rPr>
          <w:rFonts w:ascii="Arial" w:cs="Arial" w:eastAsia="Arial" w:hAnsi="Arial"/>
          <w:sz w:val="19"/>
          <w:szCs w:val="19"/>
          <w:color w:val="010000"/>
        </w:rPr>
        <w:t xml:space="preserve"> </w:t>
      </w:r>
      <w:r>
        <w:rPr>
          <w:rFonts w:ascii="Arial" w:cs="Arial" w:eastAsia="Arial" w:hAnsi="Arial"/>
          <w:sz w:val="19"/>
          <w:szCs w:val="19"/>
          <w:color w:val="000000"/>
        </w:rPr>
        <w:t>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at least one of the following is and will be true:</w:t>
      </w:r>
    </w:p>
    <w:p>
      <w:pPr>
        <w:spacing w:after="0" w:line="176" w:lineRule="exact"/>
        <w:rPr>
          <w:sz w:val="20"/>
          <w:szCs w:val="20"/>
          <w:color w:val="auto"/>
        </w:rPr>
      </w:pPr>
    </w:p>
    <w:p>
      <w:pPr>
        <w:ind w:left="1300" w:firstLine="652"/>
        <w:spacing w:after="0" w:line="260" w:lineRule="auto"/>
        <w:tabs>
          <w:tab w:leader="none" w:pos="2188" w:val="left"/>
        </w:tabs>
        <w:numPr>
          <w:ilvl w:val="0"/>
          <w:numId w:val="98"/>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90" w:lineRule="exact"/>
        <w:rPr>
          <w:rFonts w:ascii="Arial" w:cs="Arial" w:eastAsia="Arial" w:hAnsi="Arial"/>
          <w:sz w:val="20"/>
          <w:szCs w:val="20"/>
          <w:color w:val="auto"/>
        </w:rPr>
      </w:pPr>
    </w:p>
    <w:p>
      <w:pPr>
        <w:jc w:val="both"/>
        <w:ind w:left="1300" w:firstLine="652"/>
        <w:spacing w:after="0" w:line="257" w:lineRule="auto"/>
        <w:tabs>
          <w:tab w:leader="none" w:pos="227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8" w:lineRule="exact"/>
        <w:rPr>
          <w:rFonts w:ascii="Arial" w:cs="Arial" w:eastAsia="Arial" w:hAnsi="Arial"/>
          <w:sz w:val="19"/>
          <w:szCs w:val="19"/>
          <w:color w:val="auto"/>
        </w:rPr>
      </w:pPr>
    </w:p>
    <w:p>
      <w:pPr>
        <w:jc w:val="both"/>
        <w:ind w:left="1300" w:firstLine="652"/>
        <w:spacing w:after="0" w:line="244" w:lineRule="auto"/>
        <w:tabs>
          <w:tab w:leader="none" w:pos="2331" w:val="left"/>
        </w:tabs>
        <w:numPr>
          <w:ilvl w:val="0"/>
          <w:numId w:val="98"/>
        </w:numPr>
        <w:rPr>
          <w:rFonts w:ascii="Arial" w:cs="Arial" w:eastAsia="Arial" w:hAnsi="Arial"/>
          <w:sz w:val="20"/>
          <w:szCs w:val="20"/>
          <w:color w:val="auto"/>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w:t>
      </w:r>
    </w:p>
    <w:p>
      <w:pPr>
        <w:sectPr>
          <w:pgSz w:w="11900" w:h="16838" w:orient="portrait"/>
          <w:cols w:equalWidth="0" w:num="1">
            <w:col w:w="11240"/>
          </w:cols>
          <w:pgMar w:left="320" w:top="568" w:right="339" w:bottom="1440" w:gutter="0" w:footer="0" w:header="0"/>
        </w:sectPr>
      </w:pPr>
    </w:p>
    <w:bookmarkStart w:id="153" w:name="page154"/>
    <w:bookmarkEnd w:id="153"/>
    <w:p>
      <w:pPr>
        <w:jc w:val="both"/>
        <w:ind w:left="180"/>
        <w:spacing w:after="0" w:line="291" w:lineRule="auto"/>
        <w:rPr>
          <w:sz w:val="20"/>
          <w:szCs w:val="20"/>
          <w:color w:val="auto"/>
        </w:rPr>
      </w:pPr>
      <w:r>
        <w:rPr>
          <w:rFonts w:ascii="Arial" w:cs="Arial" w:eastAsia="Arial" w:hAnsi="Arial"/>
          <w:sz w:val="18"/>
          <w:szCs w:val="18"/>
          <w:color w:val="auto"/>
        </w:rPr>
        <w:t>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5" w:lineRule="exact"/>
        <w:rPr>
          <w:sz w:val="20"/>
          <w:szCs w:val="20"/>
          <w:color w:val="auto"/>
        </w:rPr>
      </w:pPr>
    </w:p>
    <w:p>
      <w:pPr>
        <w:ind w:left="180" w:firstLine="652"/>
        <w:spacing w:after="0" w:line="260" w:lineRule="auto"/>
        <w:tabs>
          <w:tab w:leader="none" w:pos="1163" w:val="left"/>
        </w:tabs>
        <w:numPr>
          <w:ilvl w:val="1"/>
          <w:numId w:val="99"/>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0" w:lineRule="exact"/>
        <w:rPr>
          <w:rFonts w:ascii="Arial" w:cs="Arial" w:eastAsia="Arial" w:hAnsi="Arial"/>
          <w:sz w:val="20"/>
          <w:szCs w:val="20"/>
          <w:color w:val="auto"/>
        </w:rPr>
      </w:pPr>
    </w:p>
    <w:p>
      <w:pPr>
        <w:jc w:val="both"/>
        <w:ind w:left="-1120" w:firstLine="1304"/>
        <w:spacing w:after="0" w:line="243" w:lineRule="auto"/>
        <w:tabs>
          <w:tab w:leader="none" w:pos="604" w:val="left"/>
        </w:tabs>
        <w:numPr>
          <w:ilvl w:val="0"/>
          <w:numId w:val="100"/>
        </w:numPr>
        <w:rPr>
          <w:rFonts w:ascii="Arial" w:cs="Arial" w:eastAsia="Arial" w:hAnsi="Arial"/>
          <w:sz w:val="20"/>
          <w:szCs w:val="20"/>
          <w:color w:val="010000"/>
        </w:rPr>
      </w:pPr>
      <w:r>
        <w:rPr>
          <w:rFonts w:ascii="Arial" w:cs="Arial" w:eastAsia="Arial" w:hAnsi="Arial"/>
          <w:sz w:val="20"/>
          <w:szCs w:val="20"/>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w:t>
      </w:r>
      <w:r>
        <w:rPr>
          <w:rFonts w:ascii="Arial" w:cs="Arial" w:eastAsia="Arial" w:hAnsi="Arial"/>
          <w:sz w:val="20"/>
          <w:szCs w:val="20"/>
          <w:color w:val="FF0000"/>
          <w:strike w:val="1"/>
        </w:rPr>
        <w:t>:</w:t>
      </w:r>
    </w:p>
    <w:p>
      <w:pPr>
        <w:spacing w:after="0" w:line="196" w:lineRule="exact"/>
        <w:rPr>
          <w:sz w:val="20"/>
          <w:szCs w:val="20"/>
          <w:color w:val="auto"/>
        </w:rPr>
      </w:pPr>
    </w:p>
    <w:p>
      <w:pPr>
        <w:jc w:val="both"/>
        <w:ind w:left="-1120" w:firstLine="1304"/>
        <w:spacing w:after="0" w:line="250" w:lineRule="auto"/>
        <w:tabs>
          <w:tab w:leader="none" w:pos="412" w:val="left"/>
        </w:tabs>
        <w:numPr>
          <w:ilvl w:val="0"/>
          <w:numId w:val="101"/>
        </w:numPr>
        <w:rPr>
          <w:rFonts w:ascii="Arial" w:cs="Arial" w:eastAsia="Arial" w:hAnsi="Arial"/>
          <w:sz w:val="20"/>
          <w:szCs w:val="20"/>
          <w:color w:val="FF0000"/>
          <w:strike w:val="1"/>
        </w:rPr>
      </w:pPr>
      <w:r>
        <w:rPr>
          <w:rFonts w:ascii="Arial" w:cs="Arial" w:eastAsia="Arial" w:hAnsi="Arial"/>
          <w:sz w:val="20"/>
          <w:szCs w:val="20"/>
          <w:color w:val="auto"/>
        </w:rPr>
        <w:t>none of the Agents, or any Arranger or any of their respective Affiliates is a fiduciary with respect to the assets of such Lender (including in connection with the reservation or exercise of any rights by the Agents under this Agreement, any Loan Document or any documents related to hereto or thereto)</w:t>
      </w:r>
      <w:r>
        <w:rPr>
          <w:rFonts w:ascii="Arial" w:cs="Arial" w:eastAsia="Arial" w:hAnsi="Arial"/>
          <w:sz w:val="20"/>
          <w:szCs w:val="20"/>
          <w:color w:val="FF0000"/>
          <w:strike w:val="1"/>
        </w:rPr>
        <w:t>,</w:t>
      </w:r>
      <w:r>
        <w:rPr>
          <w:rFonts w:ascii="Arial" w:cs="Arial" w:eastAsia="Arial" w:hAnsi="Arial"/>
          <w:sz w:val="20"/>
          <w:szCs w:val="20"/>
          <w:u w:val="single" w:color="auto"/>
          <w:color w:val="0000FF"/>
        </w:rPr>
        <w:t>.</w:t>
      </w:r>
    </w:p>
    <w:p>
      <w:pPr>
        <w:spacing w:after="0" w:line="185" w:lineRule="exact"/>
        <w:rPr>
          <w:rFonts w:ascii="Arial" w:cs="Arial" w:eastAsia="Arial" w:hAnsi="Arial"/>
          <w:sz w:val="20"/>
          <w:szCs w:val="20"/>
          <w:color w:val="FF0000"/>
          <w:strike w:val="1"/>
        </w:rPr>
      </w:pPr>
    </w:p>
    <w:p>
      <w:pPr>
        <w:jc w:val="both"/>
        <w:ind w:left="180" w:firstLine="652"/>
        <w:spacing w:after="0" w:line="255" w:lineRule="auto"/>
        <w:tabs>
          <w:tab w:leader="none" w:pos="1175" w:val="left"/>
        </w:tabs>
        <w:numPr>
          <w:ilvl w:val="1"/>
          <w:numId w:val="101"/>
        </w:numPr>
        <w:rPr>
          <w:rFonts w:ascii="Arial" w:cs="Arial" w:eastAsia="Arial" w:hAnsi="Arial"/>
          <w:sz w:val="19"/>
          <w:szCs w:val="19"/>
          <w:color w:val="FF0000"/>
          <w:strike w:val="1"/>
        </w:rPr>
      </w:pPr>
      <w:r>
        <w:rPr>
          <w:rFonts w:ascii="Arial" w:cs="Arial" w:eastAsia="Arial" w:hAnsi="Arial"/>
          <w:sz w:val="19"/>
          <w:szCs w:val="19"/>
          <w:color w:val="FF0000"/>
          <w:strike w:val="1"/>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2" w:lineRule="exact"/>
        <w:rPr>
          <w:rFonts w:ascii="Arial" w:cs="Arial" w:eastAsia="Arial" w:hAnsi="Arial"/>
          <w:sz w:val="19"/>
          <w:szCs w:val="19"/>
          <w:color w:val="FF0000"/>
          <w:strike w:val="1"/>
        </w:rPr>
      </w:pPr>
    </w:p>
    <w:p>
      <w:pPr>
        <w:jc w:val="both"/>
        <w:ind w:left="180" w:firstLine="652"/>
        <w:spacing w:after="0" w:line="239" w:lineRule="auto"/>
        <w:tabs>
          <w:tab w:leader="none" w:pos="1227" w:val="left"/>
        </w:tabs>
        <w:numPr>
          <w:ilvl w:val="1"/>
          <w:numId w:val="101"/>
        </w:numPr>
        <w:rPr>
          <w:rFonts w:ascii="Arial" w:cs="Arial" w:eastAsia="Arial" w:hAnsi="Arial"/>
          <w:sz w:val="20"/>
          <w:szCs w:val="20"/>
          <w:color w:val="FF0000"/>
          <w:strike w:val="1"/>
        </w:rPr>
      </w:pPr>
      <w:r>
        <w:rPr>
          <w:rFonts w:ascii="Arial" w:cs="Arial" w:eastAsia="Arial" w:hAnsi="Arial"/>
          <w:sz w:val="20"/>
          <w:szCs w:val="20"/>
          <w:color w:val="FF0000"/>
          <w:strike w:val="1"/>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 w:lineRule="exact"/>
        <w:rPr>
          <w:rFonts w:ascii="Arial" w:cs="Arial" w:eastAsia="Arial" w:hAnsi="Arial"/>
          <w:sz w:val="20"/>
          <w:szCs w:val="20"/>
          <w:color w:val="FF0000"/>
          <w:strike w:val="1"/>
        </w:rPr>
      </w:pPr>
    </w:p>
    <w:p>
      <w:pPr>
        <w:jc w:val="both"/>
        <w:ind w:left="180" w:firstLine="652"/>
        <w:spacing w:after="0" w:line="266" w:lineRule="auto"/>
        <w:tabs>
          <w:tab w:leader="none" w:pos="1216" w:val="left"/>
        </w:tabs>
        <w:numPr>
          <w:ilvl w:val="1"/>
          <w:numId w:val="101"/>
        </w:numPr>
        <w:rPr>
          <w:rFonts w:ascii="Arial" w:cs="Arial" w:eastAsia="Arial" w:hAnsi="Arial"/>
          <w:sz w:val="18"/>
          <w:szCs w:val="18"/>
          <w:color w:val="FF0000"/>
          <w:strike w:val="1"/>
        </w:rPr>
      </w:pPr>
      <w:r>
        <w:rPr>
          <w:rFonts w:ascii="Arial" w:cs="Arial" w:eastAsia="Arial" w:hAnsi="Arial"/>
          <w:sz w:val="18"/>
          <w:szCs w:val="18"/>
          <w:color w:val="FF0000"/>
          <w:strike w:val="1"/>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jc w:val="both"/>
        <w:ind w:left="180" w:firstLine="652"/>
        <w:spacing w:after="0" w:line="239" w:lineRule="auto"/>
        <w:tabs>
          <w:tab w:leader="none" w:pos="1145" w:val="left"/>
        </w:tabs>
        <w:numPr>
          <w:ilvl w:val="1"/>
          <w:numId w:val="101"/>
        </w:numPr>
        <w:rPr>
          <w:rFonts w:ascii="Arial" w:cs="Arial" w:eastAsia="Arial" w:hAnsi="Arial"/>
          <w:sz w:val="20"/>
          <w:szCs w:val="20"/>
          <w:color w:val="FF0000"/>
          <w:strike w:val="1"/>
        </w:rPr>
      </w:pPr>
      <w:r>
        <w:rPr>
          <w:rFonts w:ascii="Arial" w:cs="Arial" w:eastAsia="Arial" w:hAnsi="Arial"/>
          <w:sz w:val="20"/>
          <w:szCs w:val="20"/>
          <w:color w:val="FF0000"/>
          <w:strike w:val="1"/>
        </w:rPr>
        <w:t>no fee or other compensation is being paid directly to the Agents, or any Arranger or any their respective Affiliates for investment advice (as opposed to other services) in connection with the Loans, the Letters of Credit, the Commitments or this Agreement.</w:t>
      </w:r>
    </w:p>
    <w:p>
      <w:pPr>
        <w:spacing w:after="0" w:line="1" w:lineRule="exact"/>
        <w:rPr>
          <w:sz w:val="20"/>
          <w:szCs w:val="20"/>
          <w:color w:val="auto"/>
        </w:rPr>
      </w:pPr>
    </w:p>
    <w:p>
      <w:pPr>
        <w:jc w:val="both"/>
        <w:ind w:left="-1120" w:firstLine="1304"/>
        <w:spacing w:after="0"/>
        <w:tabs>
          <w:tab w:leader="none" w:pos="728" w:val="left"/>
        </w:tabs>
        <w:numPr>
          <w:ilvl w:val="0"/>
          <w:numId w:val="102"/>
        </w:numPr>
        <w:rPr>
          <w:rFonts w:ascii="Arial" w:cs="Arial" w:eastAsia="Arial" w:hAnsi="Arial"/>
          <w:sz w:val="20"/>
          <w:szCs w:val="20"/>
          <w:color w:val="FF0000"/>
          <w:strike w:val="1"/>
        </w:rPr>
      </w:pPr>
      <w:r>
        <w:rPr>
          <w:rFonts w:ascii="Arial" w:cs="Arial" w:eastAsia="Arial" w:hAnsi="Arial"/>
          <w:sz w:val="20"/>
          <w:szCs w:val="20"/>
          <w:color w:val="FF0000"/>
          <w:strike w:val="1"/>
        </w:rPr>
        <w:t>The Agents,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w:t>
      </w:r>
    </w:p>
    <w:p>
      <w:pPr>
        <w:sectPr>
          <w:pgSz w:w="11900" w:h="16838" w:orient="portrait"/>
          <w:cols w:equalWidth="0" w:num="1">
            <w:col w:w="10120"/>
          </w:cols>
          <w:pgMar w:left="1440" w:top="568" w:right="339" w:bottom="1440" w:gutter="0" w:footer="0" w:header="0"/>
        </w:sectPr>
      </w:pPr>
    </w:p>
    <w:bookmarkStart w:id="154" w:name="page155"/>
    <w:bookmarkEnd w:id="154"/>
    <w:p>
      <w:pPr>
        <w:jc w:val="both"/>
        <w:spacing w:after="0" w:line="244" w:lineRule="auto"/>
        <w:rPr>
          <w:sz w:val="20"/>
          <w:szCs w:val="20"/>
          <w:color w:val="auto"/>
        </w:rPr>
      </w:pPr>
      <w:r>
        <w:rPr>
          <w:rFonts w:ascii="Arial" w:cs="Arial" w:eastAsia="Arial" w:hAnsi="Arial"/>
          <w:sz w:val="20"/>
          <w:szCs w:val="20"/>
          <w:color w:val="FF0000"/>
          <w:strike w:val="1"/>
        </w:rPr>
        <w:t>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010000"/>
        </w:rPr>
        <w:t>SECTION 10.</w:t>
      </w:r>
      <w:r>
        <w:rPr>
          <w:sz w:val="20"/>
          <w:szCs w:val="20"/>
          <w:color w:val="auto"/>
        </w:rPr>
        <w:tab/>
      </w:r>
      <w:r>
        <w:rPr>
          <w:rFonts w:ascii="Arial" w:cs="Arial" w:eastAsia="Arial" w:hAnsi="Arial"/>
          <w:sz w:val="20"/>
          <w:szCs w:val="20"/>
          <w:b w:val="1"/>
          <w:bCs w:val="1"/>
          <w:u w:val="single" w:color="auto"/>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794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202" w:lineRule="exact"/>
        <w:rPr>
          <w:sz w:val="20"/>
          <w:szCs w:val="20"/>
          <w:color w:val="auto"/>
        </w:rPr>
      </w:pPr>
    </w:p>
    <w:p>
      <w:pPr>
        <w:ind w:firstLine="1296"/>
        <w:spacing w:after="0" w:line="269" w:lineRule="auto"/>
        <w:rPr>
          <w:sz w:val="20"/>
          <w:szCs w:val="20"/>
          <w:color w:val="auto"/>
        </w:rPr>
      </w:pPr>
      <w:r>
        <w:rPr>
          <w:rFonts w:ascii="Arial" w:cs="Arial" w:eastAsia="Arial" w:hAnsi="Arial"/>
          <w:sz w:val="18"/>
          <w:szCs w:val="18"/>
          <w:color w:val="010000"/>
        </w:rPr>
        <w:t xml:space="preserve">10.1 </w:t>
      </w:r>
      <w:r>
        <w:rPr>
          <w:rFonts w:ascii="Arial" w:cs="Arial" w:eastAsia="Arial" w:hAnsi="Arial"/>
          <w:sz w:val="18"/>
          <w:szCs w:val="18"/>
          <w:color w:val="000000"/>
        </w:rPr>
        <w:t>Amendments and Waivers. (a) Subject to Section 2.18, neither this Agreement, any other Loan Document, nor any</w:t>
      </w:r>
      <w:r>
        <w:rPr>
          <w:rFonts w:ascii="Arial" w:cs="Arial" w:eastAsia="Arial" w:hAnsi="Arial"/>
          <w:sz w:val="18"/>
          <w:szCs w:val="18"/>
          <w:color w:val="010000"/>
        </w:rPr>
        <w:t xml:space="preserve"> </w:t>
      </w:r>
      <w:r>
        <w:rPr>
          <w:rFonts w:ascii="Arial" w:cs="Arial" w:eastAsia="Arial" w:hAnsi="Arial"/>
          <w:sz w:val="18"/>
          <w:szCs w:val="18"/>
          <w:color w:val="000000"/>
        </w:rPr>
        <w:t xml:space="preserve">terms hereof or thereof may be amended, supplemented or modified except in accordance with the provisions of this Section 10.1 or as otherwise expressly provided herein;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the L/C Fee Letter, the Brazilian Intercreditor Agreement and the Brazilian Bank Certificates shall be amended, modified, or supplemented in accordance with their individual terms and shall not be subject to the provisions of this Section 10.1 and (ii)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no such waiver and no such amendment, supplement or modification shall:</w:t>
      </w:r>
    </w:p>
    <w:p>
      <w:pPr>
        <w:spacing w:after="0" w:line="176" w:lineRule="exact"/>
        <w:rPr>
          <w:sz w:val="20"/>
          <w:szCs w:val="20"/>
          <w:color w:val="auto"/>
        </w:rPr>
      </w:pPr>
    </w:p>
    <w:p>
      <w:pPr>
        <w:jc w:val="both"/>
        <w:ind w:left="1300" w:firstLine="652"/>
        <w:spacing w:after="0" w:line="276" w:lineRule="auto"/>
        <w:tabs>
          <w:tab w:leader="none" w:pos="2515"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164" w:lineRule="exact"/>
        <w:rPr>
          <w:rFonts w:ascii="Arial" w:cs="Arial" w:eastAsia="Arial" w:hAnsi="Arial"/>
          <w:sz w:val="18"/>
          <w:szCs w:val="18"/>
          <w:color w:val="010000"/>
        </w:rPr>
      </w:pPr>
    </w:p>
    <w:p>
      <w:pPr>
        <w:ind w:left="2420" w:hanging="468"/>
        <w:spacing w:after="0"/>
        <w:tabs>
          <w:tab w:leader="none" w:pos="2420"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eliminate or reduce the voting rights of any Lender under this Section 10.1 without the written consent of such</w:t>
      </w:r>
    </w:p>
    <w:p>
      <w:pPr>
        <w:spacing w:after="0" w:line="38" w:lineRule="exact"/>
        <w:rPr>
          <w:rFonts w:ascii="Arial" w:cs="Arial" w:eastAsia="Arial" w:hAnsi="Arial"/>
          <w:sz w:val="18"/>
          <w:szCs w:val="18"/>
          <w:color w:val="010000"/>
        </w:rPr>
      </w:pPr>
    </w:p>
    <w:p>
      <w:pPr>
        <w:ind w:left="1300"/>
        <w:spacing w:after="0"/>
        <w:rPr>
          <w:rFonts w:ascii="Arial" w:cs="Arial" w:eastAsia="Arial" w:hAnsi="Arial"/>
          <w:sz w:val="18"/>
          <w:szCs w:val="18"/>
          <w:color w:val="010000"/>
        </w:rPr>
      </w:pPr>
      <w:r>
        <w:rPr>
          <w:rFonts w:ascii="Arial" w:cs="Arial" w:eastAsia="Arial" w:hAnsi="Arial"/>
          <w:sz w:val="20"/>
          <w:szCs w:val="20"/>
          <w:color w:val="auto"/>
        </w:rPr>
        <w:t>Lender;</w:t>
      </w:r>
    </w:p>
    <w:p>
      <w:pPr>
        <w:spacing w:after="0" w:line="199" w:lineRule="exact"/>
        <w:rPr>
          <w:rFonts w:ascii="Arial" w:cs="Arial" w:eastAsia="Arial" w:hAnsi="Arial"/>
          <w:sz w:val="18"/>
          <w:szCs w:val="18"/>
          <w:color w:val="010000"/>
        </w:rPr>
      </w:pPr>
    </w:p>
    <w:p>
      <w:pPr>
        <w:jc w:val="both"/>
        <w:ind w:left="1300" w:firstLine="652"/>
        <w:spacing w:after="0" w:line="263" w:lineRule="auto"/>
        <w:tabs>
          <w:tab w:leader="none" w:pos="2450"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w:t>
      </w:r>
    </w:p>
    <w:p>
      <w:pPr>
        <w:sectPr>
          <w:pgSz w:w="11900" w:h="16838" w:orient="portrait"/>
          <w:cols w:equalWidth="0" w:num="1">
            <w:col w:w="11240"/>
          </w:cols>
          <w:pgMar w:left="320" w:top="568" w:right="339" w:bottom="1440" w:gutter="0" w:footer="0" w:header="0"/>
        </w:sectPr>
      </w:pPr>
    </w:p>
    <w:bookmarkStart w:id="155" w:name="page156"/>
    <w:bookmarkEnd w:id="155"/>
    <w:p>
      <w:pPr>
        <w:ind w:left="1300"/>
        <w:spacing w:after="0"/>
        <w:rPr>
          <w:sz w:val="20"/>
          <w:szCs w:val="20"/>
          <w:color w:val="auto"/>
        </w:rPr>
      </w:pPr>
      <w:r>
        <w:rPr>
          <w:rFonts w:ascii="Arial" w:cs="Arial" w:eastAsia="Arial" w:hAnsi="Arial"/>
          <w:sz w:val="18"/>
          <w:szCs w:val="18"/>
          <w:color w:val="auto"/>
        </w:rPr>
        <w:t>(in each case, except as otherwise provided in the Loan Documents), in each case without the written consent of all Lenders;</w:t>
      </w:r>
    </w:p>
    <w:p>
      <w:pPr>
        <w:spacing w:after="0" w:line="239" w:lineRule="exact"/>
        <w:rPr>
          <w:sz w:val="20"/>
          <w:szCs w:val="20"/>
          <w:color w:val="auto"/>
        </w:rPr>
      </w:pPr>
    </w:p>
    <w:p>
      <w:pPr>
        <w:ind w:left="2560" w:hanging="608"/>
        <w:spacing w:after="0"/>
        <w:tabs>
          <w:tab w:leader="none" w:pos="2560"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reduce the percentage specified in the definition of Required Lenders without the written consent of all</w:t>
      </w:r>
    </w:p>
    <w:p>
      <w:pPr>
        <w:spacing w:after="0" w:line="27" w:lineRule="exact"/>
        <w:rPr>
          <w:rFonts w:ascii="Arial" w:cs="Arial" w:eastAsia="Arial" w:hAnsi="Arial"/>
          <w:sz w:val="19"/>
          <w:szCs w:val="19"/>
          <w:color w:val="010000"/>
        </w:rPr>
      </w:pPr>
    </w:p>
    <w:p>
      <w:pPr>
        <w:ind w:left="1300"/>
        <w:spacing w:after="0"/>
        <w:rPr>
          <w:rFonts w:ascii="Arial" w:cs="Arial" w:eastAsia="Arial" w:hAnsi="Arial"/>
          <w:sz w:val="19"/>
          <w:szCs w:val="19"/>
          <w:color w:val="010000"/>
        </w:rPr>
      </w:pPr>
      <w:r>
        <w:rPr>
          <w:rFonts w:ascii="Arial" w:cs="Arial" w:eastAsia="Arial" w:hAnsi="Arial"/>
          <w:sz w:val="20"/>
          <w:szCs w:val="20"/>
          <w:color w:val="auto"/>
        </w:rPr>
        <w:t>Lenders;</w:t>
      </w:r>
    </w:p>
    <w:p>
      <w:pPr>
        <w:spacing w:after="0" w:line="199" w:lineRule="exact"/>
        <w:rPr>
          <w:rFonts w:ascii="Arial" w:cs="Arial" w:eastAsia="Arial" w:hAnsi="Arial"/>
          <w:sz w:val="19"/>
          <w:szCs w:val="19"/>
          <w:color w:val="010000"/>
        </w:rPr>
      </w:pPr>
    </w:p>
    <w:p>
      <w:pPr>
        <w:ind w:left="1300" w:firstLine="652"/>
        <w:spacing w:after="0" w:line="260" w:lineRule="auto"/>
        <w:tabs>
          <w:tab w:leader="none" w:pos="2506"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reduce the percentage specified in the definition of Majority Facility Lenders with respect to any Facility without the written consent of all Lenders under such Facility;</w:t>
      </w:r>
    </w:p>
    <w:p>
      <w:pPr>
        <w:spacing w:after="0" w:line="176" w:lineRule="exact"/>
        <w:rPr>
          <w:rFonts w:ascii="Arial" w:cs="Arial" w:eastAsia="Arial" w:hAnsi="Arial"/>
          <w:sz w:val="20"/>
          <w:szCs w:val="20"/>
          <w:color w:val="010000"/>
        </w:rPr>
      </w:pPr>
    </w:p>
    <w:p>
      <w:pPr>
        <w:jc w:val="both"/>
        <w:ind w:left="1300" w:firstLine="652"/>
        <w:spacing w:after="0" w:line="250" w:lineRule="auto"/>
        <w:tabs>
          <w:tab w:leader="none" w:pos="2509"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185" w:lineRule="exact"/>
        <w:rPr>
          <w:rFonts w:ascii="Arial" w:cs="Arial" w:eastAsia="Arial" w:hAnsi="Arial"/>
          <w:sz w:val="20"/>
          <w:szCs w:val="20"/>
          <w:color w:val="010000"/>
        </w:rPr>
      </w:pPr>
    </w:p>
    <w:p>
      <w:pPr>
        <w:ind w:left="1300" w:firstLine="652"/>
        <w:spacing w:after="0" w:line="260" w:lineRule="auto"/>
        <w:tabs>
          <w:tab w:leader="none" w:pos="2501"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amend, modify or waive any provision of Section 3 in a manner adverse to an Issuing Lender without the written consent of such Issuing Lender;</w:t>
      </w:r>
    </w:p>
    <w:p>
      <w:pPr>
        <w:spacing w:after="0" w:line="176" w:lineRule="exact"/>
        <w:rPr>
          <w:rFonts w:ascii="Arial" w:cs="Arial" w:eastAsia="Arial" w:hAnsi="Arial"/>
          <w:sz w:val="20"/>
          <w:szCs w:val="20"/>
          <w:color w:val="010000"/>
        </w:rPr>
      </w:pPr>
    </w:p>
    <w:p>
      <w:pPr>
        <w:ind w:left="1300" w:firstLine="652"/>
        <w:spacing w:after="0" w:line="260" w:lineRule="auto"/>
        <w:tabs>
          <w:tab w:leader="none" w:pos="2474"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amend, modify or waive any provision of Section 2.19(a) or (b) without the written consent of each Lender adversely affected thereby;</w:t>
      </w:r>
    </w:p>
    <w:p>
      <w:pPr>
        <w:spacing w:after="0" w:line="176" w:lineRule="exact"/>
        <w:rPr>
          <w:rFonts w:ascii="Arial" w:cs="Arial" w:eastAsia="Arial" w:hAnsi="Arial"/>
          <w:sz w:val="20"/>
          <w:szCs w:val="20"/>
          <w:color w:val="010000"/>
        </w:rPr>
      </w:pPr>
    </w:p>
    <w:p>
      <w:pPr>
        <w:ind w:left="1300" w:firstLine="652"/>
        <w:spacing w:after="0" w:line="316" w:lineRule="auto"/>
        <w:tabs>
          <w:tab w:leader="none" w:pos="2344"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affect the rights or duties of any Ancillary Lender, in a manner adverse to such Ancillary Lender, in its capacity as such, under this Agreement or any other Loan Document without the written consent of such Ancillary Lender; or</w:t>
      </w:r>
    </w:p>
    <w:p>
      <w:pPr>
        <w:spacing w:after="0" w:line="129" w:lineRule="exact"/>
        <w:rPr>
          <w:rFonts w:ascii="Arial" w:cs="Arial" w:eastAsia="Arial" w:hAnsi="Arial"/>
          <w:sz w:val="18"/>
          <w:szCs w:val="18"/>
          <w:color w:val="010000"/>
        </w:rPr>
      </w:pPr>
    </w:p>
    <w:p>
      <w:pPr>
        <w:ind w:left="2380" w:hanging="428"/>
        <w:spacing w:after="0"/>
        <w:tabs>
          <w:tab w:leader="none" w:pos="2380"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add additional available currencies to any Facility without the written consent of each Lender directly affected</w:t>
      </w:r>
    </w:p>
    <w:p>
      <w:pPr>
        <w:spacing w:after="0" w:line="38" w:lineRule="exact"/>
        <w:rPr>
          <w:rFonts w:ascii="Arial" w:cs="Arial" w:eastAsia="Arial" w:hAnsi="Arial"/>
          <w:sz w:val="18"/>
          <w:szCs w:val="18"/>
          <w:color w:val="010000"/>
        </w:rPr>
      </w:pPr>
    </w:p>
    <w:p>
      <w:pPr>
        <w:ind w:left="1300"/>
        <w:spacing w:after="0"/>
        <w:rPr>
          <w:rFonts w:ascii="Arial" w:cs="Arial" w:eastAsia="Arial" w:hAnsi="Arial"/>
          <w:sz w:val="18"/>
          <w:szCs w:val="18"/>
          <w:color w:val="010000"/>
        </w:rPr>
      </w:pPr>
      <w:r>
        <w:rPr>
          <w:rFonts w:ascii="Arial" w:cs="Arial" w:eastAsia="Arial" w:hAnsi="Arial"/>
          <w:sz w:val="20"/>
          <w:szCs w:val="20"/>
          <w:color w:val="auto"/>
        </w:rPr>
        <w:t>thereby.</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Issuing Lenders, the Administrative Agent, the Brazilian Administrative Agent and all future holders of the Loans. In the case of any waiver, the Loan Parties, the Lenders, the Issuing Lenders, the Administrative Agent and the Brazilian Administrative Agent 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165" w:lineRule="exact"/>
        <w:rPr>
          <w:sz w:val="20"/>
          <w:szCs w:val="20"/>
          <w:color w:val="auto"/>
        </w:rPr>
      </w:pPr>
    </w:p>
    <w:p>
      <w:pPr>
        <w:jc w:val="both"/>
        <w:ind w:firstLine="1304"/>
        <w:spacing w:after="0" w:line="267" w:lineRule="auto"/>
        <w:tabs>
          <w:tab w:leader="none" w:pos="1765"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Notwithstanding the foregoing paragraph (a), without the consent of the Required Lenders or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and (ii)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w:t>
      </w:r>
    </w:p>
    <w:p>
      <w:pPr>
        <w:spacing w:after="0" w:line="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(D)</w:t>
      </w:r>
    </w:p>
    <w:p>
      <w:pPr>
        <w:sectPr>
          <w:pgSz w:w="11900" w:h="16838" w:orient="portrait"/>
          <w:cols w:equalWidth="0" w:num="1">
            <w:col w:w="11240"/>
          </w:cols>
          <w:pgMar w:left="320" w:top="568" w:right="339" w:bottom="1440" w:gutter="0" w:footer="0" w:header="0"/>
        </w:sectPr>
      </w:pPr>
    </w:p>
    <w:bookmarkStart w:id="156" w:name="page157"/>
    <w:bookmarkEnd w:id="156"/>
    <w:p>
      <w:pPr>
        <w:jc w:val="both"/>
        <w:spacing w:after="0" w:line="246" w:lineRule="auto"/>
        <w:rPr>
          <w:sz w:val="20"/>
          <w:szCs w:val="20"/>
          <w:color w:val="auto"/>
        </w:rPr>
      </w:pPr>
      <w:r>
        <w:rPr>
          <w:rFonts w:ascii="Arial" w:cs="Arial" w:eastAsia="Arial" w:hAnsi="Arial"/>
          <w:sz w:val="20"/>
          <w:szCs w:val="20"/>
          <w:color w:val="auto"/>
        </w:rPr>
        <w:t xml:space="preserve">add or effect changes to administrative or ministerial provisions contained herein reasonably believed to be required as a result of the addition of Subsidiary Borrowers pursuant to Section 10.1(d); </w:t>
      </w:r>
      <w:r>
        <w:rPr>
          <w:rFonts w:ascii="Arial" w:cs="Arial" w:eastAsia="Arial" w:hAnsi="Arial"/>
          <w:sz w:val="20"/>
          <w:szCs w:val="20"/>
          <w:u w:val="single" w:color="auto"/>
          <w:color w:val="auto"/>
        </w:rPr>
        <w:t>provided</w:t>
      </w:r>
      <w:r>
        <w:rPr>
          <w:rFonts w:ascii="Arial" w:cs="Arial" w:eastAsia="Arial" w:hAnsi="Arial"/>
          <w:sz w:val="20"/>
          <w:szCs w:val="20"/>
          <w:color w:val="auto"/>
        </w:rPr>
        <w:t>, that the Administrative Agent shall notify the Lenders and Issuing Lenders of any such amendment, modification, supplement or waiver consummated in accordance with this clause (ii) promptly after consummation thereof.</w:t>
      </w:r>
    </w:p>
    <w:p>
      <w:pPr>
        <w:spacing w:after="0" w:line="191" w:lineRule="exact"/>
        <w:rPr>
          <w:sz w:val="20"/>
          <w:szCs w:val="20"/>
          <w:color w:val="auto"/>
        </w:rPr>
      </w:pPr>
    </w:p>
    <w:p>
      <w:pPr>
        <w:jc w:val="both"/>
        <w:ind w:firstLine="1304"/>
        <w:spacing w:after="0" w:line="276" w:lineRule="auto"/>
        <w:tabs>
          <w:tab w:leader="none" w:pos="1713"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For the avoidance of doubt it is understood that (i) any transaction permitted by Sections 2.11, 2.27, 2.28, 2.29 and 2.30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64" w:lineRule="exact"/>
        <w:rPr>
          <w:rFonts w:ascii="Arial" w:cs="Arial" w:eastAsia="Arial" w:hAnsi="Arial"/>
          <w:sz w:val="18"/>
          <w:szCs w:val="18"/>
          <w:color w:val="010000"/>
        </w:rPr>
      </w:pPr>
    </w:p>
    <w:p>
      <w:pPr>
        <w:ind w:firstLine="1304"/>
        <w:spacing w:after="0" w:line="260" w:lineRule="auto"/>
        <w:tabs>
          <w:tab w:leader="none" w:pos="1751" w:val="left"/>
        </w:tabs>
        <w:numPr>
          <w:ilvl w:val="0"/>
          <w:numId w:val="106"/>
        </w:numPr>
        <w:rPr>
          <w:rFonts w:ascii="Arial" w:cs="Arial" w:eastAsia="Arial" w:hAnsi="Arial"/>
          <w:sz w:val="20"/>
          <w:szCs w:val="20"/>
          <w:color w:val="010000"/>
        </w:rPr>
      </w:pPr>
      <w:r>
        <w:rPr>
          <w:rFonts w:ascii="Arial" w:cs="Arial" w:eastAsia="Arial" w:hAnsi="Arial"/>
          <w:sz w:val="20"/>
          <w:szCs w:val="20"/>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77" w:lineRule="exact"/>
        <w:rPr>
          <w:sz w:val="20"/>
          <w:szCs w:val="20"/>
          <w:color w:val="auto"/>
        </w:rPr>
      </w:pPr>
    </w:p>
    <w:p>
      <w:pPr>
        <w:jc w:val="both"/>
        <w:ind w:firstLine="1304"/>
        <w:spacing w:after="0" w:line="253" w:lineRule="auto"/>
        <w:tabs>
          <w:tab w:leader="none" w:pos="1964"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 xml:space="preserve">to designate (v) any Domestic Subsidiary of the Company as a Domestic Subsidiary Borrower, (w) any </w:t>
      </w:r>
      <w:r>
        <w:rPr>
          <w:rFonts w:ascii="Arial" w:cs="Arial" w:eastAsia="Arial" w:hAnsi="Arial"/>
          <w:sz w:val="19"/>
          <w:szCs w:val="19"/>
          <w:color w:val="FF0000"/>
          <w:strike w:val="1"/>
        </w:rPr>
        <w:t>Foreign</w:t>
      </w:r>
      <w:r>
        <w:rPr>
          <w:rFonts w:ascii="Arial" w:cs="Arial" w:eastAsia="Arial" w:hAnsi="Arial"/>
          <w:sz w:val="19"/>
          <w:szCs w:val="19"/>
          <w:u w:val="single" w:color="auto"/>
          <w:color w:val="0000FF"/>
        </w:rPr>
        <w:t>Domestic</w:t>
      </w:r>
      <w:r>
        <w:rPr>
          <w:rFonts w:ascii="Arial" w:cs="Arial" w:eastAsia="Arial" w:hAnsi="Arial"/>
          <w:sz w:val="19"/>
          <w:szCs w:val="19"/>
          <w:color w:val="FF0000"/>
        </w:rPr>
        <w:t xml:space="preserve"> </w:t>
      </w:r>
      <w:r>
        <w:rPr>
          <w:rFonts w:ascii="Arial" w:cs="Arial" w:eastAsia="Arial" w:hAnsi="Arial"/>
          <w:sz w:val="19"/>
          <w:szCs w:val="19"/>
          <w:color w:val="000000"/>
        </w:rPr>
        <w:t>Subsidiary</w:t>
      </w:r>
      <w:r>
        <w:rPr>
          <w:rFonts w:ascii="Arial" w:cs="Arial" w:eastAsia="Arial" w:hAnsi="Arial"/>
          <w:sz w:val="19"/>
          <w:szCs w:val="19"/>
          <w:color w:val="FF0000"/>
        </w:rPr>
        <w:t xml:space="preserve"> </w:t>
      </w:r>
      <w:r>
        <w:rPr>
          <w:rFonts w:ascii="Arial" w:cs="Arial" w:eastAsia="Arial" w:hAnsi="Arial"/>
          <w:sz w:val="19"/>
          <w:szCs w:val="19"/>
          <w:color w:val="FF0000"/>
          <w:strike w:val="1"/>
        </w:rPr>
        <w:t>incorporated under the laws of England and Wales or Sweden as a Foreign</w:t>
      </w:r>
      <w:r>
        <w:rPr>
          <w:rFonts w:ascii="Arial" w:cs="Arial" w:eastAsia="Arial" w:hAnsi="Arial"/>
          <w:sz w:val="19"/>
          <w:szCs w:val="19"/>
          <w:u w:val="single" w:color="auto"/>
          <w:color w:val="0000FF"/>
        </w:rPr>
        <w:t>of the Company as a Domestic</w:t>
      </w:r>
      <w:r>
        <w:rPr>
          <w:rFonts w:ascii="Arial" w:cs="Arial" w:eastAsia="Arial" w:hAnsi="Arial"/>
          <w:sz w:val="19"/>
          <w:szCs w:val="19"/>
          <w:color w:val="FF0000"/>
        </w:rPr>
        <w:t xml:space="preserve"> </w:t>
      </w:r>
      <w:r>
        <w:rPr>
          <w:rFonts w:ascii="Arial" w:cs="Arial" w:eastAsia="Arial" w:hAnsi="Arial"/>
          <w:sz w:val="19"/>
          <w:szCs w:val="19"/>
          <w:color w:val="000000"/>
        </w:rPr>
        <w:t>Subsidiary Borrower under the Multicurrency Facility and/or the L/C Tranche Facility</w:t>
      </w:r>
      <w:r>
        <w:rPr>
          <w:rFonts w:ascii="Arial" w:cs="Arial" w:eastAsia="Arial" w:hAnsi="Arial"/>
          <w:sz w:val="19"/>
          <w:szCs w:val="19"/>
          <w:color w:val="FF0000"/>
          <w:strike w:val="1"/>
        </w:rPr>
        <w:t>, (x) any Foreign Subsidiary organized or domiciled</w:t>
      </w:r>
      <w:r>
        <w:rPr>
          <w:rFonts w:ascii="Arial" w:cs="Arial" w:eastAsia="Arial" w:hAnsi="Arial"/>
          <w:sz w:val="19"/>
          <w:szCs w:val="19"/>
          <w:color w:val="000000"/>
        </w:rPr>
        <w:t xml:space="preserve"> </w:t>
      </w:r>
      <w:r>
        <w:rPr>
          <w:rFonts w:ascii="Arial" w:cs="Arial" w:eastAsia="Arial" w:hAnsi="Arial"/>
          <w:sz w:val="19"/>
          <w:szCs w:val="19"/>
          <w:color w:val="FF0000"/>
          <w:strike w:val="1"/>
        </w:rPr>
        <w:t>under the laws of Canada, Germany or any other foreign jurisdiction</w:t>
      </w:r>
      <w:r>
        <w:rPr>
          <w:rFonts w:ascii="Arial" w:cs="Arial" w:eastAsia="Arial" w:hAnsi="Arial"/>
          <w:sz w:val="19"/>
          <w:szCs w:val="19"/>
          <w:color w:val="000000"/>
        </w:rPr>
        <w:t>, in each case with the consent of each Lender under either the</w:t>
      </w:r>
      <w:r>
        <w:rPr>
          <w:rFonts w:ascii="Arial" w:cs="Arial" w:eastAsia="Arial" w:hAnsi="Arial"/>
          <w:sz w:val="19"/>
          <w:szCs w:val="19"/>
          <w:color w:val="FF0000"/>
        </w:rPr>
        <w:t xml:space="preserve"> </w:t>
      </w:r>
      <w:r>
        <w:rPr>
          <w:rFonts w:ascii="Arial" w:cs="Arial" w:eastAsia="Arial" w:hAnsi="Arial"/>
          <w:sz w:val="19"/>
          <w:szCs w:val="19"/>
          <w:color w:val="000000"/>
        </w:rPr>
        <w:t>Multicurrency Facility or the L/C Tranche Facility, as applicable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 such Lender may withhold such consent unless it is unable to make extensions of credit or provide Commitments to such </w:t>
      </w:r>
      <w:r>
        <w:rPr>
          <w:rFonts w:ascii="Arial" w:cs="Arial" w:eastAsia="Arial" w:hAnsi="Arial"/>
          <w:sz w:val="19"/>
          <w:szCs w:val="19"/>
          <w:color w:val="FF0000"/>
          <w:strike w:val="1"/>
        </w:rPr>
        <w:t>Foreign</w:t>
      </w:r>
      <w:r>
        <w:rPr>
          <w:rFonts w:ascii="Arial" w:cs="Arial" w:eastAsia="Arial" w:hAnsi="Arial"/>
          <w:sz w:val="19"/>
          <w:szCs w:val="19"/>
          <w:color w:val="000000"/>
        </w:rPr>
        <w:t xml:space="preserve"> Subsidiary </w:t>
      </w:r>
      <w:r>
        <w:rPr>
          <w:rFonts w:ascii="Arial" w:cs="Arial" w:eastAsia="Arial" w:hAnsi="Arial"/>
          <w:sz w:val="19"/>
          <w:szCs w:val="19"/>
          <w:u w:val="single" w:color="auto"/>
          <w:color w:val="0000FF"/>
        </w:rPr>
        <w:t>Borrower</w:t>
      </w:r>
      <w:r>
        <w:rPr>
          <w:rFonts w:ascii="Arial" w:cs="Arial" w:eastAsia="Arial" w:hAnsi="Arial"/>
          <w:sz w:val="19"/>
          <w:szCs w:val="19"/>
          <w:color w:val="000000"/>
        </w:rPr>
        <w:t xml:space="preserve"> pursuant to any Requirement of Law) and the Administrative Agent (not to be unreasonably withheld), as a </w:t>
      </w:r>
      <w:r>
        <w:rPr>
          <w:rFonts w:ascii="Arial" w:cs="Arial" w:eastAsia="Arial" w:hAnsi="Arial"/>
          <w:sz w:val="19"/>
          <w:szCs w:val="19"/>
          <w:color w:val="FF0000"/>
          <w:strike w:val="1"/>
        </w:rPr>
        <w:t>Foreign</w:t>
      </w:r>
      <w:r>
        <w:rPr>
          <w:rFonts w:ascii="Arial" w:cs="Arial" w:eastAsia="Arial" w:hAnsi="Arial"/>
          <w:sz w:val="19"/>
          <w:szCs w:val="19"/>
          <w:u w:val="single" w:color="auto"/>
          <w:color w:val="0000FF"/>
        </w:rPr>
        <w:t>Domestic</w:t>
      </w:r>
      <w:r>
        <w:rPr>
          <w:rFonts w:ascii="Arial" w:cs="Arial" w:eastAsia="Arial" w:hAnsi="Arial"/>
          <w:sz w:val="19"/>
          <w:szCs w:val="19"/>
          <w:color w:val="000000"/>
        </w:rPr>
        <w:t xml:space="preserve"> Subsidiary Borrower under the Multicurrency Facility and/or the L/C Tranche Facility, (y) with the consent of the Brazilian Lenders, any Brazilian Subsidiary as a Brazilian Subsidiary Borrower under the Brazilian Facility and (z) any other </w:t>
      </w:r>
      <w:r>
        <w:rPr>
          <w:rFonts w:ascii="Arial" w:cs="Arial" w:eastAsia="Arial" w:hAnsi="Arial"/>
          <w:sz w:val="19"/>
          <w:szCs w:val="19"/>
          <w:color w:val="FF0000"/>
          <w:strike w:val="1"/>
        </w:rPr>
        <w:t>Foreign</w:t>
      </w:r>
      <w:r>
        <w:rPr>
          <w:rFonts w:ascii="Arial" w:cs="Arial" w:eastAsia="Arial" w:hAnsi="Arial"/>
          <w:sz w:val="19"/>
          <w:szCs w:val="19"/>
          <w:u w:val="single" w:color="auto"/>
          <w:color w:val="0000FF"/>
        </w:rPr>
        <w:t>Domestic</w:t>
      </w:r>
      <w:r>
        <w:rPr>
          <w:rFonts w:ascii="Arial" w:cs="Arial" w:eastAsia="Arial" w:hAnsi="Arial"/>
          <w:sz w:val="19"/>
          <w:szCs w:val="19"/>
          <w:color w:val="000000"/>
        </w:rPr>
        <w:t xml:space="preserve"> Subsidiary of the Company as a </w:t>
      </w:r>
      <w:r>
        <w:rPr>
          <w:rFonts w:ascii="Arial" w:cs="Arial" w:eastAsia="Arial" w:hAnsi="Arial"/>
          <w:sz w:val="19"/>
          <w:szCs w:val="19"/>
          <w:color w:val="FF0000"/>
          <w:strike w:val="1"/>
        </w:rPr>
        <w:t>Foreign</w:t>
      </w:r>
      <w:r>
        <w:rPr>
          <w:rFonts w:ascii="Arial" w:cs="Arial" w:eastAsia="Arial" w:hAnsi="Arial"/>
          <w:sz w:val="19"/>
          <w:szCs w:val="19"/>
          <w:u w:val="single" w:color="auto"/>
          <w:color w:val="0000FF"/>
        </w:rPr>
        <w:t>Domestic</w:t>
      </w:r>
      <w:r>
        <w:rPr>
          <w:rFonts w:ascii="Arial" w:cs="Arial" w:eastAsia="Arial" w:hAnsi="Arial"/>
          <w:sz w:val="19"/>
          <w:szCs w:val="19"/>
          <w:color w:val="000000"/>
        </w:rPr>
        <w:t xml:space="preserve"> Subsidiary Borrower under a New Local Facility or any Incremental Facility upon (A) 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 applicable) and necessary to satisfy obligations of the Lenders described in Section 10.18 or any applicable “know your customer” or other anti-money laundering Requirement of Law; and</w:t>
      </w:r>
    </w:p>
    <w:p>
      <w:pPr>
        <w:spacing w:after="0" w:line="197" w:lineRule="exact"/>
        <w:rPr>
          <w:rFonts w:ascii="Arial" w:cs="Arial" w:eastAsia="Arial" w:hAnsi="Arial"/>
          <w:sz w:val="19"/>
          <w:szCs w:val="19"/>
          <w:color w:val="010000"/>
        </w:rPr>
      </w:pPr>
    </w:p>
    <w:p>
      <w:pPr>
        <w:ind w:firstLine="1304"/>
        <w:spacing w:after="0" w:line="260" w:lineRule="auto"/>
        <w:tabs>
          <w:tab w:leader="none" w:pos="1911" w:val="left"/>
        </w:tabs>
        <w:numPr>
          <w:ilvl w:val="0"/>
          <w:numId w:val="107"/>
        </w:numPr>
        <w:rPr>
          <w:rFonts w:ascii="Arial" w:cs="Arial" w:eastAsia="Arial" w:hAnsi="Arial"/>
          <w:sz w:val="20"/>
          <w:szCs w:val="20"/>
          <w:color w:val="010000"/>
        </w:rPr>
      </w:pPr>
      <w:r>
        <w:rPr>
          <w:rFonts w:ascii="Arial" w:cs="Arial" w:eastAsia="Arial" w:hAnsi="Arial"/>
          <w:sz w:val="20"/>
          <w:szCs w:val="20"/>
          <w:color w:val="auto"/>
        </w:rPr>
        <w:t>to remove any Subsidiary as a Subsidiary Borrower upon (A) execution and delivery by the Company to the Administrative Agent of a written notification to such effect, (B) repayment</w:t>
      </w:r>
    </w:p>
    <w:p>
      <w:pPr>
        <w:sectPr>
          <w:pgSz w:w="11900" w:h="16838" w:orient="portrait"/>
          <w:cols w:equalWidth="0" w:num="1">
            <w:col w:w="11240"/>
          </w:cols>
          <w:pgMar w:left="320" w:top="568" w:right="339" w:bottom="1440" w:gutter="0" w:footer="0" w:header="0"/>
        </w:sectPr>
      </w:pPr>
    </w:p>
    <w:bookmarkStart w:id="157" w:name="page158"/>
    <w:bookmarkEnd w:id="157"/>
    <w:p>
      <w:pPr>
        <w:jc w:val="both"/>
        <w:spacing w:after="0" w:line="276" w:lineRule="auto"/>
        <w:rPr>
          <w:sz w:val="20"/>
          <w:szCs w:val="20"/>
          <w:color w:val="auto"/>
        </w:rPr>
      </w:pPr>
      <w:r>
        <w:rPr>
          <w:rFonts w:ascii="Arial" w:cs="Arial" w:eastAsia="Arial" w:hAnsi="Arial"/>
          <w:sz w:val="18"/>
          <w:szCs w:val="18"/>
          <w:color w:val="auto"/>
        </w:rPr>
        <w:t>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6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10.2 </w:t>
      </w:r>
      <w:r>
        <w:rPr>
          <w:rFonts w:ascii="Arial" w:cs="Arial" w:eastAsia="Arial" w:hAnsi="Arial"/>
          <w:sz w:val="20"/>
          <w:szCs w:val="20"/>
          <w:color w:val="000000"/>
        </w:rPr>
        <w:t>Notices. (a) All notices, requests and demands to or upon the respective parties hereto to be effective shall be in</w:t>
      </w:r>
      <w:r>
        <w:rPr>
          <w:rFonts w:ascii="Arial" w:cs="Arial" w:eastAsia="Arial" w:hAnsi="Arial"/>
          <w:sz w:val="20"/>
          <w:szCs w:val="20"/>
          <w:color w:val="010000"/>
        </w:rPr>
        <w:t xml:space="preserve"> </w:t>
      </w:r>
      <w:r>
        <w:rPr>
          <w:rFonts w:ascii="Arial" w:cs="Arial" w:eastAsia="Arial" w:hAnsi="Arial"/>
          <w:sz w:val="20"/>
          <w:szCs w:val="20"/>
          <w:color w:val="000000"/>
        </w:rPr>
        <w:t>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and Ancillary Lenders, or to such other address as may be hereafter notified by the respective parties hereto:</w:t>
      </w:r>
    </w:p>
    <w:p>
      <w:pPr>
        <w:sectPr>
          <w:pgSz w:w="11900" w:h="16838" w:orient="portrait"/>
          <w:cols w:equalWidth="0" w:num="1">
            <w:col w:w="11240"/>
          </w:cols>
          <w:pgMar w:left="320" w:top="568" w:right="339" w:bottom="1440" w:gutter="0" w:footer="0" w:header="0"/>
        </w:sect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Borrower:</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Detroit Treasury Office</w:t>
      </w:r>
    </w:p>
    <w:p>
      <w:pPr>
        <w:spacing w:after="0"/>
        <w:rPr>
          <w:sz w:val="20"/>
          <w:szCs w:val="20"/>
          <w:color w:val="auto"/>
        </w:rPr>
      </w:pPr>
      <w:r>
        <w:rPr>
          <w:rFonts w:ascii="Arial" w:cs="Arial" w:eastAsia="Arial" w:hAnsi="Arial"/>
          <w:sz w:val="18"/>
          <w:szCs w:val="18"/>
          <w:color w:val="auto"/>
        </w:rPr>
        <w:t>300 Renaissance Center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Mail code: 482-C26-A68</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Detroit, MI 48265</w:t>
      </w:r>
    </w:p>
    <w:p>
      <w:pPr>
        <w:spacing w:after="0"/>
        <w:rPr>
          <w:sz w:val="20"/>
          <w:szCs w:val="20"/>
          <w:color w:val="auto"/>
        </w:rPr>
      </w:pPr>
      <w:r>
        <w:rPr>
          <w:rFonts w:ascii="Arial" w:cs="Arial" w:eastAsia="Arial" w:hAnsi="Arial"/>
          <w:sz w:val="20"/>
          <w:szCs w:val="20"/>
          <w:color w:val="auto"/>
        </w:rPr>
        <w:t>Attention: Treasurer</w:t>
      </w:r>
    </w:p>
    <w:p>
      <w:pPr>
        <w:spacing w:after="0" w:line="200" w:lineRule="exact"/>
        <w:rPr>
          <w:sz w:val="20"/>
          <w:szCs w:val="20"/>
          <w:color w:val="auto"/>
        </w:rPr>
      </w:pPr>
    </w:p>
    <w:p>
      <w:pPr>
        <w:sectPr>
          <w:pgSz w:w="11900" w:h="16838" w:orient="portrait"/>
          <w:cols w:equalWidth="0" w:num="2">
            <w:col w:w="3440" w:space="720"/>
            <w:col w:w="7080"/>
          </w:cols>
          <w:pgMar w:left="320" w:top="568" w:right="339" w:bottom="1440" w:gutter="0" w:footer="0" w:header="0"/>
          <w:type w:val="continuous"/>
        </w:sectPr>
      </w:pPr>
    </w:p>
    <w:p>
      <w:pPr>
        <w:spacing w:after="0" w:line="243" w:lineRule="exact"/>
        <w:rPr>
          <w:sz w:val="20"/>
          <w:szCs w:val="20"/>
          <w:color w:val="auto"/>
        </w:rPr>
      </w:pPr>
    </w:p>
    <w:p>
      <w:pPr>
        <w:ind w:left="120" w:right="60"/>
        <w:spacing w:after="0" w:line="260" w:lineRule="auto"/>
        <w:rPr>
          <w:sz w:val="20"/>
          <w:szCs w:val="20"/>
          <w:color w:val="auto"/>
        </w:rPr>
      </w:pPr>
      <w:r>
        <w:rPr>
          <w:rFonts w:ascii="Arial" w:cs="Arial" w:eastAsia="Arial" w:hAnsi="Arial"/>
          <w:sz w:val="20"/>
          <w:szCs w:val="20"/>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General Motors Company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Detroit Treasury Office</w:t>
      </w:r>
    </w:p>
    <w:p>
      <w:pPr>
        <w:spacing w:after="0"/>
        <w:rPr>
          <w:sz w:val="20"/>
          <w:szCs w:val="20"/>
          <w:color w:val="auto"/>
        </w:rPr>
      </w:pPr>
      <w:r>
        <w:rPr>
          <w:rFonts w:ascii="Arial" w:cs="Arial" w:eastAsia="Arial" w:hAnsi="Arial"/>
          <w:sz w:val="20"/>
          <w:szCs w:val="20"/>
          <w:color w:val="auto"/>
        </w:rPr>
        <w:t>300 Renaissance Center</w:t>
      </w:r>
    </w:p>
    <w:p>
      <w:pPr>
        <w:spacing w:after="0"/>
        <w:rPr>
          <w:sz w:val="20"/>
          <w:szCs w:val="20"/>
          <w:color w:val="auto"/>
        </w:rPr>
      </w:pPr>
      <w:r>
        <w:rPr>
          <w:rFonts w:ascii="Arial" w:cs="Arial" w:eastAsia="Arial" w:hAnsi="Arial"/>
          <w:sz w:val="20"/>
          <w:szCs w:val="20"/>
          <w:color w:val="auto"/>
        </w:rPr>
        <w:t>Mail code: 482-C26-D41</w:t>
      </w:r>
    </w:p>
    <w:p>
      <w:pPr>
        <w:spacing w:after="0"/>
        <w:rPr>
          <w:sz w:val="20"/>
          <w:szCs w:val="20"/>
          <w:color w:val="auto"/>
        </w:rPr>
      </w:pPr>
      <w:r>
        <w:rPr>
          <w:rFonts w:ascii="Arial" w:cs="Arial" w:eastAsia="Arial" w:hAnsi="Arial"/>
          <w:sz w:val="20"/>
          <w:szCs w:val="20"/>
          <w:color w:val="auto"/>
        </w:rPr>
        <w:t>Detroit, MI 48265</w:t>
      </w:r>
    </w:p>
    <w:p>
      <w:pPr>
        <w:spacing w:after="0"/>
        <w:rPr>
          <w:sz w:val="20"/>
          <w:szCs w:val="20"/>
          <w:color w:val="auto"/>
        </w:rPr>
      </w:pPr>
      <w:r>
        <w:rPr>
          <w:rFonts w:ascii="Arial" w:cs="Arial" w:eastAsia="Arial" w:hAnsi="Arial"/>
          <w:sz w:val="18"/>
          <w:szCs w:val="18"/>
          <w:color w:val="auto"/>
        </w:rPr>
        <w:t>Attention: Assistant Treasurer</w:t>
      </w:r>
    </w:p>
    <w:p>
      <w:pPr>
        <w:spacing w:after="0" w:line="200" w:lineRule="exact"/>
        <w:rPr>
          <w:sz w:val="20"/>
          <w:szCs w:val="20"/>
          <w:color w:val="auto"/>
        </w:rPr>
      </w:pPr>
    </w:p>
    <w:p>
      <w:pPr>
        <w:sectPr>
          <w:pgSz w:w="11900" w:h="16838" w:orient="portrait"/>
          <w:cols w:equalWidth="0" w:num="2">
            <w:col w:w="3440" w:space="720"/>
            <w:col w:w="7080"/>
          </w:cols>
          <w:pgMar w:left="320" w:top="568" w:right="339" w:bottom="1440" w:gutter="0" w:footer="0" w:header="0"/>
          <w:type w:val="continuous"/>
        </w:sectPr>
      </w:pPr>
    </w:p>
    <w:p>
      <w:pPr>
        <w:spacing w:after="0" w:line="266" w:lineRule="exact"/>
        <w:rPr>
          <w:sz w:val="20"/>
          <w:szCs w:val="20"/>
          <w:color w:val="auto"/>
        </w:rPr>
      </w:pPr>
    </w:p>
    <w:p>
      <w:pPr>
        <w:ind w:left="120"/>
        <w:spacing w:after="0" w:line="260" w:lineRule="auto"/>
        <w:rPr>
          <w:sz w:val="20"/>
          <w:szCs w:val="20"/>
          <w:color w:val="auto"/>
        </w:rPr>
      </w:pPr>
      <w:r>
        <w:rPr>
          <w:rFonts w:ascii="Arial" w:cs="Arial" w:eastAsia="Arial" w:hAnsi="Arial"/>
          <w:sz w:val="20"/>
          <w:szCs w:val="20"/>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General Motors Company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Detroit Treasury Office</w:t>
      </w:r>
    </w:p>
    <w:p>
      <w:pPr>
        <w:spacing w:after="0"/>
        <w:rPr>
          <w:sz w:val="20"/>
          <w:szCs w:val="20"/>
          <w:color w:val="auto"/>
        </w:rPr>
      </w:pPr>
      <w:r>
        <w:rPr>
          <w:rFonts w:ascii="Arial" w:cs="Arial" w:eastAsia="Arial" w:hAnsi="Arial"/>
          <w:sz w:val="20"/>
          <w:szCs w:val="20"/>
          <w:color w:val="auto"/>
        </w:rPr>
        <w:t>300 Renaissance Center</w:t>
      </w:r>
    </w:p>
    <w:p>
      <w:pPr>
        <w:spacing w:after="0"/>
        <w:rPr>
          <w:sz w:val="20"/>
          <w:szCs w:val="20"/>
          <w:color w:val="auto"/>
        </w:rPr>
      </w:pPr>
      <w:r>
        <w:rPr>
          <w:rFonts w:ascii="Arial" w:cs="Arial" w:eastAsia="Arial" w:hAnsi="Arial"/>
          <w:sz w:val="20"/>
          <w:szCs w:val="20"/>
          <w:color w:val="auto"/>
        </w:rPr>
        <w:t>Mail code: 482-C26-C18</w:t>
      </w:r>
    </w:p>
    <w:p>
      <w:pPr>
        <w:spacing w:after="0"/>
        <w:rPr>
          <w:sz w:val="20"/>
          <w:szCs w:val="20"/>
          <w:color w:val="auto"/>
        </w:rPr>
      </w:pPr>
      <w:r>
        <w:rPr>
          <w:rFonts w:ascii="Arial" w:cs="Arial" w:eastAsia="Arial" w:hAnsi="Arial"/>
          <w:sz w:val="20"/>
          <w:szCs w:val="20"/>
          <w:color w:val="auto"/>
        </w:rPr>
        <w:t>Detroit, MI 48265</w:t>
      </w:r>
    </w:p>
    <w:p>
      <w:pPr>
        <w:spacing w:after="0"/>
        <w:rPr>
          <w:sz w:val="20"/>
          <w:szCs w:val="20"/>
          <w:color w:val="auto"/>
        </w:rPr>
      </w:pPr>
      <w:r>
        <w:rPr>
          <w:rFonts w:ascii="Arial" w:cs="Arial" w:eastAsia="Arial" w:hAnsi="Arial"/>
          <w:sz w:val="18"/>
          <w:szCs w:val="18"/>
          <w:color w:val="auto"/>
        </w:rPr>
        <w:t>Attention: Director, Capital Markets</w:t>
      </w:r>
    </w:p>
    <w:p>
      <w:pPr>
        <w:spacing w:after="0" w:line="200" w:lineRule="exact"/>
        <w:rPr>
          <w:sz w:val="20"/>
          <w:szCs w:val="20"/>
          <w:color w:val="auto"/>
        </w:rPr>
      </w:pPr>
    </w:p>
    <w:p>
      <w:pPr>
        <w:sectPr>
          <w:pgSz w:w="11900" w:h="16838" w:orient="portrait"/>
          <w:cols w:equalWidth="0" w:num="2">
            <w:col w:w="3980" w:space="180"/>
            <w:col w:w="7080"/>
          </w:cols>
          <w:pgMar w:left="320" w:top="568" w:right="339" w:bottom="1440" w:gutter="0" w:footer="0" w:header="0"/>
          <w:type w:val="continuous"/>
        </w:sectPr>
      </w:pPr>
    </w:p>
    <w:p>
      <w:pPr>
        <w:spacing w:after="0" w:line="266" w:lineRule="exact"/>
        <w:rPr>
          <w:sz w:val="20"/>
          <w:szCs w:val="20"/>
          <w:color w:val="auto"/>
        </w:rPr>
      </w:pPr>
    </w:p>
    <w:p>
      <w:pPr>
        <w:ind w:left="120"/>
        <w:spacing w:after="0" w:line="260" w:lineRule="auto"/>
        <w:rPr>
          <w:sz w:val="20"/>
          <w:szCs w:val="20"/>
          <w:color w:val="auto"/>
        </w:rPr>
      </w:pPr>
      <w:r>
        <w:rPr>
          <w:rFonts w:ascii="Arial" w:cs="Arial" w:eastAsia="Arial" w:hAnsi="Arial"/>
          <w:sz w:val="20"/>
          <w:szCs w:val="20"/>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General Motors Company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Detroit Treasury Office</w:t>
      </w:r>
    </w:p>
    <w:p>
      <w:pPr>
        <w:spacing w:after="0"/>
        <w:rPr>
          <w:sz w:val="20"/>
          <w:szCs w:val="20"/>
          <w:color w:val="auto"/>
        </w:rPr>
      </w:pPr>
      <w:r>
        <w:rPr>
          <w:rFonts w:ascii="Arial" w:cs="Arial" w:eastAsia="Arial" w:hAnsi="Arial"/>
          <w:sz w:val="20"/>
          <w:szCs w:val="20"/>
          <w:color w:val="auto"/>
        </w:rPr>
        <w:t>300 Renaissance Center</w:t>
      </w:r>
    </w:p>
    <w:p>
      <w:pPr>
        <w:spacing w:after="0"/>
        <w:rPr>
          <w:sz w:val="20"/>
          <w:szCs w:val="20"/>
          <w:color w:val="auto"/>
        </w:rPr>
      </w:pPr>
      <w:r>
        <w:rPr>
          <w:rFonts w:ascii="Arial" w:cs="Arial" w:eastAsia="Arial" w:hAnsi="Arial"/>
          <w:sz w:val="20"/>
          <w:szCs w:val="20"/>
          <w:color w:val="auto"/>
        </w:rPr>
        <w:t>Mail code: 482-C26-B98</w:t>
      </w:r>
    </w:p>
    <w:p>
      <w:pPr>
        <w:spacing w:after="0"/>
        <w:rPr>
          <w:sz w:val="20"/>
          <w:szCs w:val="20"/>
          <w:color w:val="auto"/>
        </w:rPr>
      </w:pPr>
      <w:r>
        <w:rPr>
          <w:rFonts w:ascii="Arial" w:cs="Arial" w:eastAsia="Arial" w:hAnsi="Arial"/>
          <w:sz w:val="20"/>
          <w:szCs w:val="20"/>
          <w:color w:val="auto"/>
        </w:rPr>
        <w:t>Detroit, MI 48265</w:t>
      </w:r>
    </w:p>
    <w:p>
      <w:pPr>
        <w:spacing w:after="0"/>
        <w:rPr>
          <w:sz w:val="20"/>
          <w:szCs w:val="20"/>
          <w:color w:val="auto"/>
        </w:rPr>
      </w:pPr>
      <w:r>
        <w:rPr>
          <w:rFonts w:ascii="Arial" w:cs="Arial" w:eastAsia="Arial" w:hAnsi="Arial"/>
          <w:sz w:val="18"/>
          <w:szCs w:val="18"/>
          <w:color w:val="auto"/>
        </w:rPr>
        <w:t>Attention: Director, Treasury Operations</w:t>
      </w:r>
    </w:p>
    <w:p>
      <w:pPr>
        <w:sectPr>
          <w:pgSz w:w="11900" w:h="16838" w:orient="portrait"/>
          <w:cols w:equalWidth="0" w:num="2">
            <w:col w:w="3980" w:space="180"/>
            <w:col w:w="7080"/>
          </w:cols>
          <w:pgMar w:left="320" w:top="568" w:right="339" w:bottom="144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20"/>
                <w:szCs w:val="20"/>
                <w:color w:val="auto"/>
              </w:rPr>
              <w:t>Any Borrower:</w:t>
            </w: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General Motors Company</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Detroit Treasury Office</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300 Renaissance Center</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Mail code: 482-C26-A68</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Detroit, MI 48265</w:t>
            </w:r>
          </w:p>
        </w:tc>
      </w:tr>
      <w:tr>
        <w:trPr>
          <w:trHeight w:val="250"/>
        </w:trPr>
        <w:tc>
          <w:tcPr>
            <w:tcW w:w="3940" w:type="dxa"/>
            <w:vAlign w:val="bottom"/>
          </w:tcPr>
          <w:p>
            <w:pPr>
              <w:spacing w:after="0"/>
              <w:rPr>
                <w:sz w:val="21"/>
                <w:szCs w:val="21"/>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Attention: Treasurer</w:t>
            </w:r>
          </w:p>
        </w:tc>
      </w:tr>
      <w:tr>
        <w:trPr>
          <w:trHeight w:val="668"/>
        </w:trPr>
        <w:tc>
          <w:tcPr>
            <w:tcW w:w="3940" w:type="dxa"/>
            <w:vAlign w:val="bottom"/>
          </w:tcPr>
          <w:p>
            <w:pPr>
              <w:spacing w:after="0"/>
              <w:rPr>
                <w:sz w:val="20"/>
                <w:szCs w:val="20"/>
                <w:color w:val="auto"/>
              </w:rPr>
            </w:pPr>
            <w:r>
              <w:rPr>
                <w:rFonts w:ascii="Arial" w:cs="Arial" w:eastAsia="Arial" w:hAnsi="Arial"/>
                <w:sz w:val="20"/>
                <w:szCs w:val="20"/>
                <w:color w:val="auto"/>
                <w:w w:val="93"/>
              </w:rPr>
              <w:t>with a further copy to (which shall not constitute</w:t>
            </w: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General Motors Company</w:t>
            </w:r>
          </w:p>
        </w:tc>
      </w:tr>
      <w:tr>
        <w:trPr>
          <w:trHeight w:val="230"/>
        </w:trPr>
        <w:tc>
          <w:tcPr>
            <w:tcW w:w="3940" w:type="dxa"/>
            <w:vAlign w:val="bottom"/>
          </w:tcPr>
          <w:p>
            <w:pPr>
              <w:spacing w:after="0"/>
              <w:rPr>
                <w:sz w:val="20"/>
                <w:szCs w:val="20"/>
                <w:color w:val="auto"/>
              </w:rPr>
            </w:pPr>
            <w:r>
              <w:rPr>
                <w:rFonts w:ascii="Arial" w:cs="Arial" w:eastAsia="Arial" w:hAnsi="Arial"/>
                <w:sz w:val="20"/>
                <w:szCs w:val="20"/>
                <w:color w:val="auto"/>
              </w:rPr>
              <w:t>notice):</w:t>
            </w: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Mail Code 482-C39-B40</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300 Renaissance Center</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P.O. Box 300</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Detroit, MI 48265-3000</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Attention: General Counsel</w:t>
            </w:r>
          </w:p>
        </w:tc>
      </w:tr>
      <w:tr>
        <w:trPr>
          <w:trHeight w:val="250"/>
        </w:trPr>
        <w:tc>
          <w:tcPr>
            <w:tcW w:w="3940" w:type="dxa"/>
            <w:vAlign w:val="bottom"/>
          </w:tcPr>
          <w:p>
            <w:pPr>
              <w:spacing w:after="0"/>
              <w:rPr>
                <w:sz w:val="21"/>
                <w:szCs w:val="21"/>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Email: craig.glidden@gm.com</w:t>
            </w:r>
          </w:p>
        </w:tc>
      </w:tr>
      <w:tr>
        <w:trPr>
          <w:trHeight w:val="668"/>
        </w:trPr>
        <w:tc>
          <w:tcPr>
            <w:tcW w:w="3940" w:type="dxa"/>
            <w:vAlign w:val="bottom"/>
          </w:tcPr>
          <w:p>
            <w:pPr>
              <w:spacing w:after="0"/>
              <w:rPr>
                <w:sz w:val="20"/>
                <w:szCs w:val="20"/>
                <w:color w:val="auto"/>
              </w:rPr>
            </w:pPr>
            <w:r>
              <w:rPr>
                <w:rFonts w:ascii="Arial" w:cs="Arial" w:eastAsia="Arial" w:hAnsi="Arial"/>
                <w:sz w:val="20"/>
                <w:szCs w:val="20"/>
                <w:color w:val="auto"/>
                <w:w w:val="93"/>
              </w:rPr>
              <w:t>with a further copy to (which shall not constitute</w:t>
            </w: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General Motors Company</w:t>
            </w:r>
          </w:p>
        </w:tc>
      </w:tr>
      <w:tr>
        <w:trPr>
          <w:trHeight w:val="229"/>
        </w:trPr>
        <w:tc>
          <w:tcPr>
            <w:tcW w:w="3940" w:type="dxa"/>
            <w:vAlign w:val="bottom"/>
          </w:tcPr>
          <w:p>
            <w:pPr>
              <w:spacing w:after="0"/>
              <w:rPr>
                <w:sz w:val="20"/>
                <w:szCs w:val="20"/>
                <w:color w:val="auto"/>
              </w:rPr>
            </w:pPr>
            <w:r>
              <w:rPr>
                <w:rFonts w:ascii="Arial" w:cs="Arial" w:eastAsia="Arial" w:hAnsi="Arial"/>
                <w:sz w:val="20"/>
                <w:szCs w:val="20"/>
                <w:color w:val="auto"/>
              </w:rPr>
              <w:t>notice):</w:t>
            </w: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Mail Code 482-C24-A68</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300 Renaissance Center</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P.O. Box 300</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Detroit, MI 48265-3000</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w w:val="89"/>
              </w:rPr>
              <w:t>Attention: Assistant General Counsel &amp; Corporate Secretary</w:t>
            </w:r>
          </w:p>
        </w:tc>
      </w:tr>
      <w:tr>
        <w:trPr>
          <w:trHeight w:val="250"/>
        </w:trPr>
        <w:tc>
          <w:tcPr>
            <w:tcW w:w="3940" w:type="dxa"/>
            <w:vAlign w:val="bottom"/>
          </w:tcPr>
          <w:p>
            <w:pPr>
              <w:spacing w:after="0"/>
              <w:rPr>
                <w:sz w:val="21"/>
                <w:szCs w:val="21"/>
                <w:color w:val="auto"/>
              </w:rPr>
            </w:pPr>
          </w:p>
        </w:tc>
        <w:tc>
          <w:tcPr>
            <w:tcW w:w="4900" w:type="dxa"/>
            <w:vAlign w:val="bottom"/>
            <w:gridSpan w:val="3"/>
          </w:tcPr>
          <w:p>
            <w:pPr>
              <w:ind w:left="100"/>
              <w:spacing w:after="0"/>
              <w:rPr>
                <w:sz w:val="20"/>
                <w:szCs w:val="20"/>
                <w:color w:val="auto"/>
              </w:rPr>
            </w:pPr>
            <w:r>
              <w:rPr>
                <w:rFonts w:ascii="Arial" w:cs="Arial" w:eastAsia="Arial" w:hAnsi="Arial"/>
                <w:sz w:val="20"/>
                <w:szCs w:val="20"/>
                <w:color w:val="auto"/>
              </w:rPr>
              <w:t>Email: rick.hansen@gm.com</w:t>
            </w:r>
          </w:p>
        </w:tc>
      </w:tr>
      <w:tr>
        <w:trPr>
          <w:trHeight w:val="668"/>
        </w:trPr>
        <w:tc>
          <w:tcPr>
            <w:tcW w:w="3940" w:type="dxa"/>
            <w:vAlign w:val="bottom"/>
          </w:tcPr>
          <w:p>
            <w:pPr>
              <w:spacing w:after="0"/>
              <w:rPr>
                <w:sz w:val="20"/>
                <w:szCs w:val="20"/>
                <w:color w:val="auto"/>
              </w:rPr>
            </w:pPr>
            <w:r>
              <w:rPr>
                <w:rFonts w:ascii="Arial" w:cs="Arial" w:eastAsia="Arial" w:hAnsi="Arial"/>
                <w:sz w:val="20"/>
                <w:szCs w:val="20"/>
                <w:color w:val="auto"/>
              </w:rPr>
              <w:t>Administrative Agent for all notices:</w:t>
            </w: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w w:val="98"/>
              </w:rPr>
              <w:t>JPMorgan Chase Bank, N.A., as Administrative Agent</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Investment Bank Loan Operations North America</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500 Stanton Christiana Road, NCC5, Floor 01</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Newark, DE, 19713-2107, United States</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Email: Meghan.Roberts@chase.com</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Facsimile: 302-634-4733</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Telephone: 302-634-4670</w:t>
            </w:r>
          </w:p>
        </w:tc>
      </w:tr>
      <w:tr>
        <w:trPr>
          <w:trHeight w:val="250"/>
        </w:trPr>
        <w:tc>
          <w:tcPr>
            <w:tcW w:w="3940" w:type="dxa"/>
            <w:vAlign w:val="bottom"/>
          </w:tcPr>
          <w:p>
            <w:pPr>
              <w:spacing w:after="0"/>
              <w:rPr>
                <w:sz w:val="21"/>
                <w:szCs w:val="21"/>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Attention: Meghan Roberts</w:t>
            </w:r>
          </w:p>
        </w:tc>
      </w:tr>
      <w:tr>
        <w:trPr>
          <w:trHeight w:val="492"/>
        </w:trPr>
        <w:tc>
          <w:tcPr>
            <w:tcW w:w="3940" w:type="dxa"/>
            <w:vAlign w:val="bottom"/>
          </w:tcPr>
          <w:p>
            <w:pPr>
              <w:spacing w:after="0"/>
              <w:rPr>
                <w:sz w:val="20"/>
                <w:szCs w:val="20"/>
                <w:color w:val="auto"/>
              </w:rPr>
            </w:pPr>
            <w:r>
              <w:rPr>
                <w:rFonts w:ascii="Arial" w:cs="Arial" w:eastAsia="Arial" w:hAnsi="Arial"/>
                <w:sz w:val="20"/>
                <w:szCs w:val="20"/>
                <w:color w:val="auto"/>
              </w:rPr>
              <w:t>with a copy to:</w:t>
            </w: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JPMorgan Chase Bank, N.A.</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383 Madison Avenue, Floor 24</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New York, NY, 10179, United States</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Email: RICHARD.DUKER@jpmorgan.com</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Facsimile: 212-270-5100</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Telephone: 212-270-3057</w:t>
            </w:r>
          </w:p>
        </w:tc>
      </w:tr>
      <w:tr>
        <w:trPr>
          <w:trHeight w:val="250"/>
        </w:trPr>
        <w:tc>
          <w:tcPr>
            <w:tcW w:w="3940" w:type="dxa"/>
            <w:vAlign w:val="bottom"/>
          </w:tcPr>
          <w:p>
            <w:pPr>
              <w:spacing w:after="0"/>
              <w:rPr>
                <w:sz w:val="21"/>
                <w:szCs w:val="21"/>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Attention: Richard W. Duker</w:t>
            </w:r>
          </w:p>
        </w:tc>
      </w:tr>
      <w:tr>
        <w:trPr>
          <w:trHeight w:val="492"/>
        </w:trPr>
        <w:tc>
          <w:tcPr>
            <w:tcW w:w="3940" w:type="dxa"/>
            <w:vAlign w:val="bottom"/>
          </w:tcPr>
          <w:p>
            <w:pPr>
              <w:spacing w:after="0"/>
              <w:rPr>
                <w:sz w:val="20"/>
                <w:szCs w:val="20"/>
                <w:color w:val="auto"/>
              </w:rPr>
            </w:pPr>
            <w:r>
              <w:rPr>
                <w:rFonts w:ascii="Arial" w:cs="Arial" w:eastAsia="Arial" w:hAnsi="Arial"/>
                <w:sz w:val="20"/>
                <w:szCs w:val="20"/>
                <w:color w:val="auto"/>
                <w:w w:val="95"/>
              </w:rPr>
              <w:t>with a further copy (with respect to any notices</w:t>
            </w:r>
          </w:p>
        </w:tc>
        <w:tc>
          <w:tcPr>
            <w:tcW w:w="4900" w:type="dxa"/>
            <w:vAlign w:val="bottom"/>
            <w:gridSpan w:val="3"/>
          </w:tcPr>
          <w:p>
            <w:pPr>
              <w:ind w:left="140"/>
              <w:spacing w:after="0"/>
              <w:rPr>
                <w:sz w:val="20"/>
                <w:szCs w:val="20"/>
                <w:color w:val="auto"/>
              </w:rPr>
            </w:pPr>
            <w:r>
              <w:rPr>
                <w:rFonts w:ascii="Arial" w:cs="Arial" w:eastAsia="Arial" w:hAnsi="Arial"/>
                <w:sz w:val="20"/>
                <w:szCs w:val="20"/>
                <w:color w:val="auto"/>
              </w:rPr>
              <w:t>J.P. Morgan Europe Limited</w:t>
            </w:r>
          </w:p>
        </w:tc>
      </w:tr>
      <w:tr>
        <w:trPr>
          <w:trHeight w:val="230"/>
        </w:trPr>
        <w:tc>
          <w:tcPr>
            <w:tcW w:w="3940" w:type="dxa"/>
            <w:vAlign w:val="bottom"/>
          </w:tcPr>
          <w:p>
            <w:pPr>
              <w:spacing w:after="0"/>
              <w:rPr>
                <w:sz w:val="20"/>
                <w:szCs w:val="20"/>
                <w:color w:val="auto"/>
              </w:rPr>
            </w:pPr>
            <w:r>
              <w:rPr>
                <w:rFonts w:ascii="Arial" w:cs="Arial" w:eastAsia="Arial" w:hAnsi="Arial"/>
                <w:sz w:val="20"/>
                <w:szCs w:val="20"/>
                <w:color w:val="auto"/>
                <w:w w:val="96"/>
              </w:rPr>
              <w:t>in connection with the Multicurrency Facility or</w:t>
            </w:r>
          </w:p>
        </w:tc>
        <w:tc>
          <w:tcPr>
            <w:tcW w:w="4900" w:type="dxa"/>
            <w:vAlign w:val="bottom"/>
            <w:gridSpan w:val="3"/>
          </w:tcPr>
          <w:p>
            <w:pPr>
              <w:ind w:left="160"/>
              <w:spacing w:after="0" w:line="229" w:lineRule="exact"/>
              <w:rPr>
                <w:sz w:val="20"/>
                <w:szCs w:val="20"/>
                <w:color w:val="auto"/>
              </w:rPr>
            </w:pPr>
            <w:r>
              <w:rPr>
                <w:rFonts w:ascii="Arial" w:cs="Arial" w:eastAsia="Arial" w:hAnsi="Arial"/>
                <w:sz w:val="20"/>
                <w:szCs w:val="20"/>
                <w:color w:val="auto"/>
              </w:rPr>
              <w:t>Loans Agency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tc>
      </w:tr>
      <w:tr>
        <w:trPr>
          <w:trHeight w:val="230"/>
        </w:trPr>
        <w:tc>
          <w:tcPr>
            <w:tcW w:w="3940" w:type="dxa"/>
            <w:vAlign w:val="bottom"/>
          </w:tcPr>
          <w:p>
            <w:pPr>
              <w:spacing w:after="0"/>
              <w:rPr>
                <w:sz w:val="20"/>
                <w:szCs w:val="20"/>
                <w:color w:val="auto"/>
              </w:rPr>
            </w:pPr>
            <w:r>
              <w:rPr>
                <w:rFonts w:ascii="Arial" w:cs="Arial" w:eastAsia="Arial" w:hAnsi="Arial"/>
                <w:sz w:val="20"/>
                <w:szCs w:val="20"/>
                <w:color w:val="auto"/>
              </w:rPr>
              <w:t>the LC Tranche Facility) to:</w:t>
            </w: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25 Bank Street, Canary Wharf</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London E14 5JP</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United Kingdom</w:t>
            </w:r>
          </w:p>
        </w:tc>
      </w:tr>
      <w:tr>
        <w:trPr>
          <w:trHeight w:val="230"/>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Attention: Loans Agency</w:t>
            </w:r>
          </w:p>
        </w:tc>
      </w:tr>
      <w:tr>
        <w:trPr>
          <w:trHeight w:val="229"/>
        </w:trPr>
        <w:tc>
          <w:tcPr>
            <w:tcW w:w="394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20"/>
                <w:szCs w:val="20"/>
                <w:color w:val="auto"/>
              </w:rPr>
              <w:t>Facsimile: +44 20 7777 2360</w:t>
            </w:r>
          </w:p>
        </w:tc>
      </w:tr>
      <w:tr>
        <w:trPr>
          <w:trHeight w:val="206"/>
        </w:trPr>
        <w:tc>
          <w:tcPr>
            <w:tcW w:w="3940" w:type="dxa"/>
            <w:vAlign w:val="bottom"/>
          </w:tcPr>
          <w:p>
            <w:pPr>
              <w:spacing w:after="0"/>
              <w:rPr>
                <w:sz w:val="17"/>
                <w:szCs w:val="17"/>
                <w:color w:val="auto"/>
              </w:rPr>
            </w:pPr>
          </w:p>
        </w:tc>
        <w:tc>
          <w:tcPr>
            <w:tcW w:w="4900" w:type="dxa"/>
            <w:vAlign w:val="bottom"/>
            <w:gridSpan w:val="3"/>
          </w:tcPr>
          <w:p>
            <w:pPr>
              <w:ind w:left="160"/>
              <w:spacing w:after="0" w:line="206" w:lineRule="exact"/>
              <w:rPr>
                <w:sz w:val="20"/>
                <w:szCs w:val="20"/>
                <w:color w:val="auto"/>
              </w:rPr>
            </w:pPr>
            <w:r>
              <w:rPr>
                <w:rFonts w:ascii="Arial" w:cs="Arial" w:eastAsia="Arial" w:hAnsi="Arial"/>
                <w:sz w:val="20"/>
                <w:szCs w:val="20"/>
                <w:color w:val="auto"/>
              </w:rPr>
              <w:t>Email: loan_and_agency_london@jpmorgan.com</w:t>
            </w:r>
          </w:p>
        </w:tc>
      </w:tr>
      <w:tr>
        <w:trPr>
          <w:trHeight w:val="20"/>
        </w:trPr>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0019"/>
          </w:cols>
          <w:pgMar w:left="440" w:top="730" w:right="1440" w:bottom="1440" w:gutter="0" w:footer="0" w:header="0"/>
        </w:sectPr>
      </w:pPr>
    </w:p>
    <w:bookmarkStart w:id="159" w:name="page160"/>
    <w:bookmarkEnd w:id="159"/>
    <w:p>
      <w:pPr>
        <w:ind w:left="120"/>
        <w:spacing w:after="0"/>
        <w:rPr>
          <w:sz w:val="20"/>
          <w:szCs w:val="20"/>
          <w:color w:val="auto"/>
        </w:rPr>
      </w:pPr>
      <w:r>
        <w:rPr>
          <w:rFonts w:ascii="Arial" w:cs="Arial" w:eastAsia="Arial" w:hAnsi="Arial"/>
          <w:sz w:val="18"/>
          <w:szCs w:val="18"/>
          <w:color w:val="auto"/>
        </w:rPr>
        <w:t>Any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Detroit Treasury Office</w:t>
      </w:r>
    </w:p>
    <w:p>
      <w:pPr>
        <w:spacing w:after="0"/>
        <w:rPr>
          <w:sz w:val="20"/>
          <w:szCs w:val="20"/>
          <w:color w:val="auto"/>
        </w:rPr>
      </w:pPr>
      <w:r>
        <w:rPr>
          <w:rFonts w:ascii="Arial" w:cs="Arial" w:eastAsia="Arial" w:hAnsi="Arial"/>
          <w:sz w:val="18"/>
          <w:szCs w:val="18"/>
          <w:color w:val="auto"/>
        </w:rPr>
        <w:t>300 Renaissance Center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Mail code: 482-C26-A68</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Detroit, MI 48265</w:t>
      </w:r>
    </w:p>
    <w:p>
      <w:pPr>
        <w:spacing w:after="0"/>
        <w:rPr>
          <w:sz w:val="20"/>
          <w:szCs w:val="20"/>
          <w:color w:val="auto"/>
        </w:rPr>
      </w:pPr>
      <w:r>
        <w:rPr>
          <w:rFonts w:ascii="Arial" w:cs="Arial" w:eastAsia="Arial" w:hAnsi="Arial"/>
          <w:sz w:val="20"/>
          <w:szCs w:val="20"/>
          <w:color w:val="auto"/>
        </w:rPr>
        <w:t>Attention: Treasurer</w:t>
      </w:r>
    </w:p>
    <w:p>
      <w:pPr>
        <w:spacing w:after="0" w:line="200" w:lineRule="exact"/>
        <w:rPr>
          <w:sz w:val="20"/>
          <w:szCs w:val="20"/>
          <w:color w:val="auto"/>
        </w:rPr>
      </w:pPr>
    </w:p>
    <w:p>
      <w:pPr>
        <w:sectPr>
          <w:pgSz w:w="11900" w:h="16838" w:orient="portrait"/>
          <w:cols w:equalWidth="0" w:num="2">
            <w:col w:w="3440" w:space="720"/>
            <w:col w:w="7080"/>
          </w:cols>
          <w:pgMar w:left="320" w:top="730" w:right="339" w:bottom="1440" w:gutter="0" w:footer="0" w:header="0"/>
        </w:sect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Brazilian Administrative Agent: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0"/>
          <w:szCs w:val="20"/>
          <w:color w:val="auto"/>
        </w:rPr>
        <w:t>Banco do Brasil S.A.</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Avenida Paulista, 2300, 2º Andar, 2659-Large Corporate Automotivo e Transportes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Bela Vista</w:t>
      </w:r>
    </w:p>
    <w:p>
      <w:pPr>
        <w:ind w:left="20"/>
        <w:spacing w:after="0"/>
        <w:rPr>
          <w:sz w:val="20"/>
          <w:szCs w:val="20"/>
          <w:color w:val="auto"/>
        </w:rPr>
      </w:pPr>
      <w:r>
        <w:rPr>
          <w:rFonts w:ascii="Arial" w:cs="Arial" w:eastAsia="Arial" w:hAnsi="Arial"/>
          <w:sz w:val="20"/>
          <w:szCs w:val="20"/>
          <w:color w:val="auto"/>
        </w:rPr>
        <w:t>CEP 01310-300</w:t>
      </w:r>
    </w:p>
    <w:p>
      <w:pPr>
        <w:ind w:left="20"/>
        <w:spacing w:after="0"/>
        <w:rPr>
          <w:sz w:val="20"/>
          <w:szCs w:val="20"/>
          <w:color w:val="auto"/>
        </w:rPr>
      </w:pPr>
      <w:r>
        <w:rPr>
          <w:rFonts w:ascii="Arial" w:cs="Arial" w:eastAsia="Arial" w:hAnsi="Arial"/>
          <w:sz w:val="20"/>
          <w:szCs w:val="20"/>
          <w:color w:val="auto"/>
        </w:rPr>
        <w:t>Sao Paulo - SP</w:t>
      </w:r>
    </w:p>
    <w:p>
      <w:pPr>
        <w:ind w:left="20"/>
        <w:spacing w:after="0"/>
        <w:rPr>
          <w:sz w:val="20"/>
          <w:szCs w:val="20"/>
          <w:color w:val="auto"/>
        </w:rPr>
      </w:pPr>
      <w:r>
        <w:rPr>
          <w:rFonts w:ascii="Arial" w:cs="Arial" w:eastAsia="Arial" w:hAnsi="Arial"/>
          <w:sz w:val="20"/>
          <w:szCs w:val="20"/>
          <w:color w:val="auto"/>
        </w:rPr>
        <w:t>Attention: Leonardo Tadeu Biondo Silva – Global Officer</w:t>
      </w:r>
    </w:p>
    <w:p>
      <w:pPr>
        <w:ind w:left="20"/>
        <w:spacing w:after="0"/>
        <w:rPr>
          <w:sz w:val="20"/>
          <w:szCs w:val="20"/>
          <w:color w:val="auto"/>
        </w:rPr>
      </w:pPr>
      <w:r>
        <w:rPr>
          <w:rFonts w:ascii="Arial" w:cs="Arial" w:eastAsia="Arial" w:hAnsi="Arial"/>
          <w:sz w:val="20"/>
          <w:szCs w:val="20"/>
          <w:color w:val="auto"/>
        </w:rPr>
        <w:t>E-mail:  leonardo.silva@bb.com.br</w:t>
      </w:r>
    </w:p>
    <w:p>
      <w:pPr>
        <w:spacing w:after="0"/>
        <w:rPr>
          <w:sz w:val="20"/>
          <w:szCs w:val="20"/>
          <w:color w:val="auto"/>
        </w:rPr>
      </w:pPr>
      <w:r>
        <w:rPr>
          <w:rFonts w:ascii="Arial" w:cs="Arial" w:eastAsia="Arial" w:hAnsi="Arial"/>
          <w:sz w:val="20"/>
          <w:szCs w:val="20"/>
          <w:color w:val="auto"/>
        </w:rPr>
        <w:t>Phone: +55 11 2128-7103</w:t>
      </w:r>
    </w:p>
    <w:p>
      <w:pPr>
        <w:spacing w:after="0" w:line="200" w:lineRule="exact"/>
        <w:rPr>
          <w:sz w:val="20"/>
          <w:szCs w:val="20"/>
          <w:color w:val="auto"/>
        </w:rPr>
      </w:pPr>
    </w:p>
    <w:p>
      <w:pPr>
        <w:sectPr>
          <w:pgSz w:w="11900" w:h="16838" w:orient="portrait"/>
          <w:cols w:equalWidth="0" w:num="2">
            <w:col w:w="3480" w:space="720"/>
            <w:col w:w="7040"/>
          </w:cols>
          <w:pgMar w:left="320" w:top="730" w:right="339" w:bottom="1440" w:gutter="0" w:footer="0" w:header="0"/>
          <w:type w:val="continuous"/>
        </w:sectPr>
      </w:pPr>
    </w:p>
    <w:p>
      <w:pPr>
        <w:spacing w:after="0" w:line="324"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any notice, request or demand to or upon the Administrative Agent, Brazilian Administrative Agent or the Lenders pursuant to Section 2.2, 2.4, 2.5, 2.6, 2.9, 2.11, 2.12, 2.14 or 2.30 shall not be effective until received.</w:t>
      </w:r>
    </w:p>
    <w:p>
      <w:pPr>
        <w:spacing w:after="0" w:line="177" w:lineRule="exact"/>
        <w:rPr>
          <w:sz w:val="20"/>
          <w:szCs w:val="20"/>
          <w:color w:val="auto"/>
        </w:rPr>
      </w:pPr>
    </w:p>
    <w:p>
      <w:pPr>
        <w:jc w:val="both"/>
        <w:ind w:right="20" w:firstLine="1304"/>
        <w:spacing w:after="0" w:line="242" w:lineRule="auto"/>
        <w:tabs>
          <w:tab w:leader="none" w:pos="1751"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Each of the parties hereto agrees that the Administrative Agent and the Brazilian Administrative Agent may, but shall not be obligated to, make any notices or other Communications available to the Lenders and the Issuing Lenders by posting such Communications on IntraLinks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or a substantially similar electronic platform chosen by the Administrative Agent or the Brazilian Administrative Agent, as applicable, to be its electronic transmission system (the “</w:t>
      </w:r>
      <w:r>
        <w:rPr>
          <w:rFonts w:ascii="Arial" w:cs="Arial" w:eastAsia="Arial" w:hAnsi="Arial"/>
          <w:sz w:val="19"/>
          <w:szCs w:val="19"/>
          <w:u w:val="single" w:color="auto"/>
          <w:color w:val="auto"/>
        </w:rPr>
        <w:t>Approved Electronic Platform</w:t>
      </w:r>
      <w:r>
        <w:rPr>
          <w:rFonts w:ascii="Arial" w:cs="Arial" w:eastAsia="Arial" w:hAnsi="Arial"/>
          <w:sz w:val="19"/>
          <w:szCs w:val="19"/>
          <w:color w:val="auto"/>
        </w:rPr>
        <w:t>”).</w:t>
      </w:r>
    </w:p>
    <w:p>
      <w:pPr>
        <w:spacing w:after="0" w:line="194" w:lineRule="exact"/>
        <w:rPr>
          <w:rFonts w:ascii="Arial" w:cs="Arial" w:eastAsia="Arial" w:hAnsi="Arial"/>
          <w:sz w:val="19"/>
          <w:szCs w:val="19"/>
          <w:color w:val="010000"/>
        </w:rPr>
      </w:pPr>
    </w:p>
    <w:p>
      <w:pPr>
        <w:jc w:val="both"/>
        <w:ind w:firstLine="1304"/>
        <w:spacing w:after="0" w:line="272" w:lineRule="auto"/>
        <w:tabs>
          <w:tab w:leader="none" w:pos="1754" w:val="left"/>
        </w:tabs>
        <w:numPr>
          <w:ilvl w:val="0"/>
          <w:numId w:val="108"/>
        </w:numPr>
        <w:rPr>
          <w:rFonts w:ascii="Arial" w:cs="Arial" w:eastAsia="Arial" w:hAnsi="Arial"/>
          <w:sz w:val="18"/>
          <w:szCs w:val="18"/>
          <w:color w:val="010000"/>
        </w:rPr>
      </w:pPr>
      <w:r>
        <w:rPr>
          <w:rFonts w:ascii="Arial" w:cs="Arial" w:eastAsia="Arial" w:hAnsi="Arial"/>
          <w:sz w:val="18"/>
          <w:szCs w:val="18"/>
          <w:color w:val="auto"/>
        </w:rPr>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0" w:lineRule="exact"/>
        <w:rPr>
          <w:rFonts w:ascii="Arial" w:cs="Arial" w:eastAsia="Arial" w:hAnsi="Arial"/>
          <w:sz w:val="18"/>
          <w:szCs w:val="18"/>
          <w:color w:val="010000"/>
        </w:rPr>
      </w:pPr>
    </w:p>
    <w:p>
      <w:pPr>
        <w:jc w:val="both"/>
        <w:ind w:firstLine="1304"/>
        <w:spacing w:after="0" w:line="257" w:lineRule="auto"/>
        <w:tabs>
          <w:tab w:leader="none" w:pos="1778"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THE APPROVED ELECTRONIC PLATFORM AND THE COMMUNICATIONS ARE PROVIDED “AS IS” AND “AS AVAILABLE”. NONE OF THE ADMINISTRATIVE AGENT, THE BRAZILIAN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OR THE BRAZILIAN</w:t>
      </w:r>
    </w:p>
    <w:p>
      <w:pPr>
        <w:sectPr>
          <w:pgSz w:w="11900" w:h="16838" w:orient="portrait"/>
          <w:cols w:equalWidth="0" w:num="1">
            <w:col w:w="11240"/>
          </w:cols>
          <w:pgMar w:left="320" w:top="730" w:right="3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9"/>
          <w:szCs w:val="19"/>
          <w:color w:val="auto"/>
        </w:rPr>
        <w:t>ADMINISTRATIVE AGENT IN CONNECTION WITH THE COMMUNICATIONS OR THE APPROVED ELECTRONIC PLATFORM.</w:t>
      </w:r>
    </w:p>
    <w:p>
      <w:pPr>
        <w:spacing w:after="0" w:line="227" w:lineRule="exact"/>
        <w:rPr>
          <w:sz w:val="20"/>
          <w:szCs w:val="20"/>
          <w:color w:val="auto"/>
        </w:rPr>
      </w:pPr>
    </w:p>
    <w:p>
      <w:pPr>
        <w:jc w:val="both"/>
        <w:ind w:firstLine="1304"/>
        <w:spacing w:after="0" w:line="246" w:lineRule="auto"/>
        <w:tabs>
          <w:tab w:leader="none" w:pos="1713" w:val="left"/>
        </w:tabs>
        <w:numPr>
          <w:ilvl w:val="0"/>
          <w:numId w:val="109"/>
        </w:numPr>
        <w:rPr>
          <w:rFonts w:ascii="Arial" w:cs="Arial" w:eastAsia="Arial" w:hAnsi="Arial"/>
          <w:sz w:val="20"/>
          <w:szCs w:val="20"/>
          <w:color w:val="010000"/>
        </w:rPr>
      </w:pPr>
      <w:r>
        <w:rPr>
          <w:rFonts w:ascii="Arial" w:cs="Arial" w:eastAsia="Arial" w:hAnsi="Arial"/>
          <w:sz w:val="20"/>
          <w:szCs w:val="20"/>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19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10.3 </w:t>
      </w:r>
      <w:r>
        <w:rPr>
          <w:rFonts w:ascii="Arial" w:cs="Arial" w:eastAsia="Arial" w:hAnsi="Arial"/>
          <w:sz w:val="20"/>
          <w:szCs w:val="20"/>
          <w:color w:val="000000"/>
        </w:rPr>
        <w:t>No Waiver; Cumulative Remedies. No failure to exercise and no delay in exercising, on the part of any Agent or any</w:t>
      </w:r>
      <w:r>
        <w:rPr>
          <w:rFonts w:ascii="Arial" w:cs="Arial" w:eastAsia="Arial" w:hAnsi="Arial"/>
          <w:sz w:val="20"/>
          <w:szCs w:val="20"/>
          <w:color w:val="010000"/>
        </w:rPr>
        <w:t xml:space="preserve"> </w:t>
      </w:r>
      <w:r>
        <w:rPr>
          <w:rFonts w:ascii="Arial" w:cs="Arial" w:eastAsia="Arial" w:hAnsi="Arial"/>
          <w:sz w:val="20"/>
          <w:szCs w:val="20"/>
          <w:color w:val="000000"/>
        </w:rPr>
        <w:t>Lender or Ancillary Lender, any right, remedy, power or privilege hereunder or under the other Loan Documents or the Brazilian Intercreditor Agreement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10.4 </w:t>
      </w:r>
      <w:r>
        <w:rPr>
          <w:rFonts w:ascii="Arial" w:cs="Arial" w:eastAsia="Arial" w:hAnsi="Arial"/>
          <w:sz w:val="20"/>
          <w:szCs w:val="20"/>
          <w:color w:val="000000"/>
        </w:rPr>
        <w:t>Survival of Representations and Warranties. All representations and warranties made hereunder, in the other Loan</w:t>
      </w:r>
      <w:r>
        <w:rPr>
          <w:rFonts w:ascii="Arial" w:cs="Arial" w:eastAsia="Arial" w:hAnsi="Arial"/>
          <w:sz w:val="20"/>
          <w:szCs w:val="20"/>
          <w:color w:val="010000"/>
        </w:rPr>
        <w:t xml:space="preserve"> </w:t>
      </w:r>
      <w:r>
        <w:rPr>
          <w:rFonts w:ascii="Arial" w:cs="Arial" w:eastAsia="Arial" w:hAnsi="Arial"/>
          <w:sz w:val="20"/>
          <w:szCs w:val="20"/>
          <w:color w:val="000000"/>
        </w:rPr>
        <w:t>Documents and in any document, certificate or statement delivered pursuant hereto or in connection herewith shall survive the execution and delivery of this Agreement and the making of the Loans and other extensions of credit hereunder.</w:t>
      </w:r>
    </w:p>
    <w:p>
      <w:pPr>
        <w:spacing w:after="0" w:line="18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010000"/>
        </w:rPr>
        <w:t xml:space="preserve">10.5 </w:t>
      </w:r>
      <w:r>
        <w:rPr>
          <w:rFonts w:ascii="Arial" w:cs="Arial" w:eastAsia="Arial" w:hAnsi="Arial"/>
          <w:sz w:val="18"/>
          <w:szCs w:val="18"/>
          <w:color w:val="000000"/>
        </w:rPr>
        <w:t>Payment of Expenses. The Company agrees (a) to pay or reimburse the Administrative Agent, the Brazilian</w:t>
      </w:r>
      <w:r>
        <w:rPr>
          <w:rFonts w:ascii="Arial" w:cs="Arial" w:eastAsia="Arial" w:hAnsi="Arial"/>
          <w:sz w:val="18"/>
          <w:szCs w:val="18"/>
          <w:color w:val="010000"/>
        </w:rPr>
        <w:t xml:space="preserve"> </w:t>
      </w:r>
      <w:r>
        <w:rPr>
          <w:rFonts w:ascii="Arial" w:cs="Arial" w:eastAsia="Arial" w:hAnsi="Arial"/>
          <w:sz w:val="18"/>
          <w:szCs w:val="18"/>
          <w:color w:val="000000"/>
        </w:rPr>
        <w:t>Administrative Agent and the Arrangers for all their reasonable out-of-pocket 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Brazilian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Brazilian Administrative Agent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and the Brazilian Administrative Agent, one additional local counsel in each relevant jurisdiction which counsel shall act on behalf of all Lenders to be shared by the Administrative Agent and the Brazilian Administrative Agent and, in the event of a conflict, one separate counsel (and one local counsel in each relevant jurisdiction) for all persons similarly situated as required to address such conflict,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 Agreement, and (d) to pay, indemnify or reimburse each Lender, each Issuing Lender, the Brazilian Administrative Agent, the Administrative Agent, their respective affiliates, and their</w:t>
      </w:r>
    </w:p>
    <w:p>
      <w:pPr>
        <w:sectPr>
          <w:pgSz w:w="11900" w:h="16838" w:orient="portrait"/>
          <w:cols w:equalWidth="0" w:num="1">
            <w:col w:w="11240"/>
          </w:cols>
          <w:pgMar w:left="320" w:top="568" w:right="339" w:bottom="1440" w:gutter="0" w:footer="0" w:header="0"/>
        </w:sectPr>
      </w:pPr>
    </w:p>
    <w:bookmarkStart w:id="161" w:name="page162"/>
    <w:bookmarkEnd w:id="161"/>
    <w:p>
      <w:pPr>
        <w:jc w:val="both"/>
        <w:spacing w:after="0" w:line="267" w:lineRule="auto"/>
        <w:rPr>
          <w:sz w:val="20"/>
          <w:szCs w:val="20"/>
          <w:color w:val="auto"/>
        </w:rPr>
      </w:pPr>
      <w:r>
        <w:rPr>
          <w:rFonts w:ascii="Arial" w:cs="Arial" w:eastAsia="Arial" w:hAnsi="Arial"/>
          <w:sz w:val="18"/>
          <w:szCs w:val="18"/>
          <w:color w:val="auto"/>
        </w:rPr>
        <w:t>respective officers, directors, partners, employees, advisors, agents, controlling persons and trustees (each, an “</w:t>
      </w:r>
      <w:r>
        <w:rPr>
          <w:rFonts w:ascii="Arial" w:cs="Arial" w:eastAsia="Arial" w:hAnsi="Arial"/>
          <w:sz w:val="18"/>
          <w:szCs w:val="18"/>
          <w:u w:val="single" w:color="auto"/>
          <w:color w:val="auto"/>
        </w:rPr>
        <w:t>Indemnitee</w:t>
      </w:r>
      <w:r>
        <w:rPr>
          <w:rFonts w:ascii="Arial" w:cs="Arial" w:eastAsia="Arial" w:hAnsi="Arial"/>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the other Loan Documents, any Ancillary Facility Document and the Brazilian Intercreditor Agreement (all the foregoing in this clause (d), collectively, the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 judgment.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ectPr>
          <w:pgSz w:w="11900" w:h="16838" w:orient="portrait"/>
          <w:cols w:equalWidth="0" w:num="1">
            <w:col w:w="11240"/>
          </w:cols>
          <w:pgMar w:left="320" w:top="568" w:right="339" w:bottom="1440" w:gutter="0" w:footer="0" w:header="0"/>
        </w:sectPr>
      </w:pPr>
    </w:p>
    <w:bookmarkStart w:id="162" w:name="page163"/>
    <w:bookmarkEnd w:id="162"/>
    <w:p>
      <w:pPr>
        <w:jc w:val="both"/>
        <w:ind w:firstLine="1296"/>
        <w:spacing w:after="0" w:line="276" w:lineRule="auto"/>
        <w:rPr>
          <w:sz w:val="20"/>
          <w:szCs w:val="20"/>
          <w:color w:val="auto"/>
        </w:rPr>
      </w:pPr>
      <w:r>
        <w:rPr>
          <w:rFonts w:ascii="Arial" w:cs="Arial" w:eastAsia="Arial" w:hAnsi="Arial"/>
          <w:sz w:val="18"/>
          <w:szCs w:val="18"/>
          <w:color w:val="010000"/>
        </w:rPr>
        <w:t xml:space="preserve">10.6 </w:t>
      </w:r>
      <w:r>
        <w:rPr>
          <w:rFonts w:ascii="Arial" w:cs="Arial" w:eastAsia="Arial" w:hAnsi="Arial"/>
          <w:sz w:val="18"/>
          <w:szCs w:val="18"/>
          <w:color w:val="000000"/>
        </w:rPr>
        <w:t>Successors and Assigns; Participations and Assignments. (a) The provisions of this Agreement shall be binding upon</w:t>
      </w:r>
      <w:r>
        <w:rPr>
          <w:rFonts w:ascii="Arial" w:cs="Arial" w:eastAsia="Arial" w:hAnsi="Arial"/>
          <w:sz w:val="18"/>
          <w:szCs w:val="18"/>
          <w:color w:val="010000"/>
        </w:rPr>
        <w:t xml:space="preserve"> </w:t>
      </w:r>
      <w:r>
        <w:rPr>
          <w:rFonts w:ascii="Arial" w:cs="Arial" w:eastAsia="Arial" w:hAnsi="Arial"/>
          <w:sz w:val="18"/>
          <w:szCs w:val="18"/>
          <w:color w:val="000000"/>
        </w:rPr>
        <w:t>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65" w:lineRule="exact"/>
        <w:rPr>
          <w:sz w:val="20"/>
          <w:szCs w:val="20"/>
          <w:color w:val="auto"/>
        </w:rPr>
      </w:pPr>
    </w:p>
    <w:p>
      <w:pPr>
        <w:jc w:val="both"/>
        <w:ind w:right="20" w:firstLine="1304"/>
        <w:spacing w:after="0" w:line="263" w:lineRule="auto"/>
        <w:tabs>
          <w:tab w:leader="none" w:pos="1792"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9"/>
          <w:szCs w:val="19"/>
          <w:u w:val="single" w:color="auto"/>
          <w:color w:val="auto"/>
        </w:rPr>
        <w:t>Assignee</w:t>
      </w:r>
      <w:r>
        <w:rPr>
          <w:rFonts w:ascii="Arial" w:cs="Arial" w:eastAsia="Arial" w:hAnsi="Arial"/>
          <w:sz w:val="19"/>
          <w:szCs w:val="19"/>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176" w:lineRule="exact"/>
        <w:rPr>
          <w:rFonts w:ascii="Arial" w:cs="Arial" w:eastAsia="Arial" w:hAnsi="Arial"/>
          <w:sz w:val="19"/>
          <w:szCs w:val="19"/>
          <w:color w:val="010000"/>
        </w:rPr>
      </w:pPr>
    </w:p>
    <w:p>
      <w:pPr>
        <w:jc w:val="both"/>
        <w:ind w:left="1300" w:firstLine="652"/>
        <w:spacing w:after="0" w:line="309" w:lineRule="auto"/>
        <w:tabs>
          <w:tab w:leader="none" w:pos="242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Company (unless such assignment is to a Lender to which any two or more of the following ratings have been issued by the relevant rating agency: (a) in the case of S&amp;P, at least BBB; (b) in the case of Moody’s, at least Baa2; and</w:t>
      </w:r>
    </w:p>
    <w:p>
      <w:pPr>
        <w:spacing w:after="0" w:line="1" w:lineRule="exact"/>
        <w:rPr>
          <w:rFonts w:ascii="Arial" w:cs="Arial" w:eastAsia="Arial" w:hAnsi="Arial"/>
          <w:sz w:val="16"/>
          <w:szCs w:val="16"/>
          <w:color w:val="auto"/>
        </w:rPr>
      </w:pPr>
    </w:p>
    <w:p>
      <w:pPr>
        <w:ind w:left="1580" w:hanging="276"/>
        <w:spacing w:after="0"/>
        <w:tabs>
          <w:tab w:leader="none" w:pos="1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 the case of Fitch, at least BBB);</w:t>
      </w:r>
    </w:p>
    <w:p>
      <w:pPr>
        <w:spacing w:after="0" w:line="199" w:lineRule="exact"/>
        <w:rPr>
          <w:rFonts w:ascii="Arial" w:cs="Arial" w:eastAsia="Arial" w:hAnsi="Arial"/>
          <w:sz w:val="20"/>
          <w:szCs w:val="20"/>
          <w:color w:val="auto"/>
        </w:rPr>
      </w:pPr>
    </w:p>
    <w:p>
      <w:pPr>
        <w:ind w:left="2380" w:hanging="428"/>
        <w:spacing w:after="0"/>
        <w:tabs>
          <w:tab w:leader="none" w:pos="238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Administrative Agent;</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44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in the case of any assignment of any rights or interest under the L/C Tranche Facility, each Material Issuing Lender at such time (unless such assignment is to a Lender who has an investment grade rating from two of S&amp;P, Moody’s and Fitch); and</w:t>
      </w:r>
    </w:p>
    <w:p>
      <w:pPr>
        <w:spacing w:after="0" w:line="185" w:lineRule="exact"/>
        <w:rPr>
          <w:rFonts w:ascii="Arial" w:cs="Arial" w:eastAsia="Arial" w:hAnsi="Arial"/>
          <w:sz w:val="20"/>
          <w:szCs w:val="20"/>
          <w:color w:val="auto"/>
        </w:rPr>
      </w:pPr>
    </w:p>
    <w:p>
      <w:pPr>
        <w:ind w:left="2380" w:hanging="428"/>
        <w:spacing w:after="0"/>
        <w:tabs>
          <w:tab w:leader="none" w:pos="238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Brazilian Administrative Agent (in the case of any assignment of Brazilian Loans);</w:t>
      </w:r>
    </w:p>
    <w:p>
      <w:pPr>
        <w:spacing w:after="0" w:line="216" w:lineRule="exact"/>
        <w:rPr>
          <w:sz w:val="20"/>
          <w:szCs w:val="20"/>
          <w:color w:val="auto"/>
        </w:rPr>
      </w:pPr>
    </w:p>
    <w:p>
      <w:pPr>
        <w:ind w:left="1300"/>
        <w:spacing w:after="0" w:line="27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(x) no consent provided for in clause (2) above shall be required for an assignment to a Lender or an affiliate thereof, (y) no consents provided for in clause (3) above shall be required for an assignment to an L/C Tranche Lender and</w:t>
      </w:r>
    </w:p>
    <w:p>
      <w:pPr>
        <w:spacing w:after="0" w:line="1" w:lineRule="exact"/>
        <w:rPr>
          <w:sz w:val="20"/>
          <w:szCs w:val="20"/>
          <w:color w:val="auto"/>
        </w:rPr>
      </w:pPr>
    </w:p>
    <w:p>
      <w:pPr>
        <w:ind w:left="1580" w:hanging="276"/>
        <w:spacing w:after="0"/>
        <w:tabs>
          <w:tab w:leader="none" w:pos="1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consent of the Company provided for in clause (1) above shall be required if an Event of Default under Section 8(a) or</w:t>
      </w:r>
    </w:p>
    <w:p>
      <w:pPr>
        <w:spacing w:after="0" w:line="22" w:lineRule="exact"/>
        <w:rPr>
          <w:rFonts w:ascii="Arial" w:cs="Arial" w:eastAsia="Arial" w:hAnsi="Arial"/>
          <w:sz w:val="18"/>
          <w:szCs w:val="18"/>
          <w:color w:val="auto"/>
        </w:rPr>
      </w:pPr>
    </w:p>
    <w:p>
      <w:pPr>
        <w:ind w:left="1580" w:hanging="276"/>
        <w:spacing w:after="0"/>
        <w:tabs>
          <w:tab w:leader="none" w:pos="15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has occurred and is continuing.</w:t>
      </w:r>
    </w:p>
    <w:p>
      <w:pPr>
        <w:spacing w:after="0" w:line="20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86" w:lineRule="exact"/>
        <w:rPr>
          <w:sz w:val="20"/>
          <w:szCs w:val="20"/>
          <w:color w:val="auto"/>
        </w:rPr>
      </w:pPr>
    </w:p>
    <w:p>
      <w:pPr>
        <w:ind w:left="1740" w:hanging="436"/>
        <w:spacing w:after="0"/>
        <w:tabs>
          <w:tab w:leader="none" w:pos="1740" w:val="left"/>
        </w:tabs>
        <w:numPr>
          <w:ilvl w:val="0"/>
          <w:numId w:val="114"/>
        </w:numPr>
        <w:rPr>
          <w:rFonts w:ascii="Arial" w:cs="Arial" w:eastAsia="Arial" w:hAnsi="Arial"/>
          <w:sz w:val="20"/>
          <w:szCs w:val="20"/>
          <w:color w:val="010000"/>
        </w:rPr>
      </w:pPr>
      <w:r>
        <w:rPr>
          <w:rFonts w:ascii="Arial" w:cs="Arial" w:eastAsia="Arial" w:hAnsi="Arial"/>
          <w:sz w:val="20"/>
          <w:szCs w:val="20"/>
          <w:color w:val="auto"/>
        </w:rPr>
        <w:t>Assignments shall be subject to the following additional conditions:</w:t>
      </w:r>
    </w:p>
    <w:p>
      <w:pPr>
        <w:spacing w:after="0" w:line="215" w:lineRule="exact"/>
        <w:rPr>
          <w:rFonts w:ascii="Arial" w:cs="Arial" w:eastAsia="Arial" w:hAnsi="Arial"/>
          <w:sz w:val="20"/>
          <w:szCs w:val="20"/>
          <w:color w:val="010000"/>
        </w:rPr>
      </w:pPr>
    </w:p>
    <w:p>
      <w:pPr>
        <w:jc w:val="both"/>
        <w:ind w:left="1300" w:firstLine="652"/>
        <w:spacing w:after="0" w:line="243" w:lineRule="auto"/>
        <w:tabs>
          <w:tab w:leader="none" w:pos="2420" w:val="left"/>
        </w:tabs>
        <w:numPr>
          <w:ilvl w:val="1"/>
          <w:numId w:val="114"/>
        </w:numPr>
        <w:rPr>
          <w:rFonts w:ascii="Arial" w:cs="Arial" w:eastAsia="Arial" w:hAnsi="Arial"/>
          <w:sz w:val="20"/>
          <w:szCs w:val="20"/>
          <w:color w:val="010000"/>
        </w:rPr>
      </w:pPr>
      <w:r>
        <w:rPr>
          <w:rFonts w:ascii="Arial" w:cs="Arial" w:eastAsia="Arial" w:hAnsi="Arial"/>
          <w:sz w:val="20"/>
          <w:szCs w:val="20"/>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20"/>
          <w:szCs w:val="20"/>
          <w:u w:val="single" w:color="auto"/>
          <w:color w:val="auto"/>
        </w:rPr>
        <w:t>provided</w:t>
      </w:r>
      <w:r>
        <w:rPr>
          <w:rFonts w:ascii="Arial" w:cs="Arial" w:eastAsia="Arial" w:hAnsi="Arial"/>
          <w:sz w:val="20"/>
          <w:szCs w:val="20"/>
          <w:color w:val="auto"/>
        </w:rPr>
        <w:t>, that (1) no such consent of the Company shall be required if an Event of</w:t>
      </w:r>
    </w:p>
    <w:p>
      <w:pPr>
        <w:sectPr>
          <w:pgSz w:w="11900" w:h="16838" w:orient="portrait"/>
          <w:cols w:equalWidth="0" w:num="1">
            <w:col w:w="11240"/>
          </w:cols>
          <w:pgMar w:left="320" w:top="568" w:right="339" w:bottom="1440" w:gutter="0" w:footer="0" w:header="0"/>
        </w:sectPr>
      </w:pPr>
    </w:p>
    <w:bookmarkStart w:id="163" w:name="page164"/>
    <w:bookmarkEnd w:id="163"/>
    <w:p>
      <w:pPr>
        <w:ind w:left="180"/>
        <w:spacing w:after="0" w:line="260" w:lineRule="auto"/>
        <w:rPr>
          <w:sz w:val="20"/>
          <w:szCs w:val="20"/>
          <w:color w:val="auto"/>
        </w:rPr>
      </w:pPr>
      <w:r>
        <w:rPr>
          <w:rFonts w:ascii="Arial" w:cs="Arial" w:eastAsia="Arial" w:hAnsi="Arial"/>
          <w:sz w:val="20"/>
          <w:szCs w:val="20"/>
          <w:color w:val="auto"/>
        </w:rPr>
        <w:t>Default under Section 8(a) or (e) has occurred and is continuing and (2) such amounts shall be aggregated in respect of each Lender and its affiliates or Approved Funds, if any;</w:t>
      </w:r>
    </w:p>
    <w:p>
      <w:pPr>
        <w:spacing w:after="0" w:line="177" w:lineRule="exact"/>
        <w:rPr>
          <w:sz w:val="20"/>
          <w:szCs w:val="20"/>
          <w:color w:val="auto"/>
        </w:rPr>
      </w:pPr>
    </w:p>
    <w:p>
      <w:pPr>
        <w:jc w:val="both"/>
        <w:ind w:left="180" w:firstLine="652"/>
        <w:spacing w:after="0" w:line="278" w:lineRule="auto"/>
        <w:tabs>
          <w:tab w:leader="none" w:pos="1452" w:val="left"/>
        </w:tabs>
        <w:numPr>
          <w:ilvl w:val="1"/>
          <w:numId w:val="115"/>
        </w:numPr>
        <w:rPr>
          <w:rFonts w:ascii="Arial" w:cs="Arial" w:eastAsia="Arial" w:hAnsi="Arial"/>
          <w:sz w:val="18"/>
          <w:szCs w:val="18"/>
          <w:color w:val="010000"/>
        </w:rPr>
      </w:pPr>
      <w:r>
        <w:rPr>
          <w:rFonts w:ascii="Arial" w:cs="Arial" w:eastAsia="Arial" w:hAnsi="Arial"/>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164" w:lineRule="exact"/>
        <w:rPr>
          <w:rFonts w:ascii="Arial" w:cs="Arial" w:eastAsia="Arial" w:hAnsi="Arial"/>
          <w:sz w:val="18"/>
          <w:szCs w:val="18"/>
          <w:color w:val="010000"/>
        </w:rPr>
      </w:pPr>
    </w:p>
    <w:p>
      <w:pPr>
        <w:ind w:left="180" w:right="20" w:firstLine="652"/>
        <w:spacing w:after="0" w:line="260" w:lineRule="auto"/>
        <w:tabs>
          <w:tab w:leader="none" w:pos="1411" w:val="left"/>
        </w:tabs>
        <w:numPr>
          <w:ilvl w:val="1"/>
          <w:numId w:val="115"/>
        </w:numPr>
        <w:rPr>
          <w:rFonts w:ascii="Arial" w:cs="Arial" w:eastAsia="Arial" w:hAnsi="Arial"/>
          <w:sz w:val="20"/>
          <w:szCs w:val="20"/>
          <w:color w:val="010000"/>
        </w:rPr>
      </w:pPr>
      <w:r>
        <w:rPr>
          <w:rFonts w:ascii="Arial" w:cs="Arial" w:eastAsia="Arial" w:hAnsi="Arial"/>
          <w:sz w:val="20"/>
          <w:szCs w:val="20"/>
          <w:color w:val="auto"/>
        </w:rPr>
        <w:t>the Assignee, if it shall not be a Lender, shall deliver to the Administrative Agent and the Company an administrative questionnaire.</w:t>
      </w:r>
    </w:p>
    <w:p>
      <w:pPr>
        <w:spacing w:after="0" w:line="176" w:lineRule="exact"/>
        <w:rPr>
          <w:rFonts w:ascii="Arial" w:cs="Arial" w:eastAsia="Arial" w:hAnsi="Arial"/>
          <w:sz w:val="20"/>
          <w:szCs w:val="20"/>
          <w:color w:val="010000"/>
        </w:rPr>
      </w:pPr>
    </w:p>
    <w:p>
      <w:pPr>
        <w:jc w:val="both"/>
        <w:ind w:left="-460" w:firstLine="644"/>
        <w:spacing w:after="0" w:line="255" w:lineRule="auto"/>
        <w:tabs>
          <w:tab w:leader="none" w:pos="777"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89" w:lineRule="exact"/>
        <w:rPr>
          <w:rFonts w:ascii="Arial" w:cs="Arial" w:eastAsia="Arial" w:hAnsi="Arial"/>
          <w:sz w:val="19"/>
          <w:szCs w:val="19"/>
          <w:color w:val="010000"/>
        </w:rPr>
      </w:pPr>
    </w:p>
    <w:p>
      <w:pPr>
        <w:jc w:val="both"/>
        <w:ind w:left="-460" w:firstLine="644"/>
        <w:spacing w:after="0" w:line="271" w:lineRule="auto"/>
        <w:tabs>
          <w:tab w:leader="none" w:pos="725"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173" w:lineRule="exact"/>
        <w:rPr>
          <w:rFonts w:ascii="Arial" w:cs="Arial" w:eastAsia="Arial" w:hAnsi="Arial"/>
          <w:sz w:val="18"/>
          <w:szCs w:val="18"/>
          <w:color w:val="010000"/>
        </w:rPr>
      </w:pPr>
    </w:p>
    <w:p>
      <w:pPr>
        <w:jc w:val="both"/>
        <w:ind w:left="-460" w:firstLine="644"/>
        <w:spacing w:after="0" w:line="260" w:lineRule="auto"/>
        <w:tabs>
          <w:tab w:leader="none" w:pos="643"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w:t>
      </w:r>
    </w:p>
    <w:p>
      <w:pPr>
        <w:sectPr>
          <w:pgSz w:w="11900" w:h="16838" w:orient="portrait"/>
          <w:cols w:equalWidth="0" w:num="1">
            <w:col w:w="10120"/>
          </w:cols>
          <w:pgMar w:left="1440" w:top="568" w:right="339" w:bottom="1440" w:gutter="0" w:footer="0" w:header="0"/>
        </w:sectPr>
      </w:pPr>
    </w:p>
    <w:bookmarkStart w:id="164" w:name="page165"/>
    <w:bookmarkEnd w:id="164"/>
    <w:p>
      <w:pPr>
        <w:jc w:val="both"/>
        <w:ind w:left="652"/>
        <w:spacing w:after="0" w:line="385" w:lineRule="auto"/>
        <w:rPr>
          <w:sz w:val="20"/>
          <w:szCs w:val="20"/>
          <w:color w:val="auto"/>
        </w:rPr>
      </w:pPr>
      <w:r>
        <w:rPr>
          <w:rFonts w:ascii="Arial" w:cs="Arial" w:eastAsia="Arial" w:hAnsi="Arial"/>
          <w:sz w:val="16"/>
          <w:szCs w:val="16"/>
          <w:color w:val="auto"/>
        </w:rPr>
        <w:t>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85" w:lineRule="exact"/>
        <w:rPr>
          <w:sz w:val="20"/>
          <w:szCs w:val="20"/>
          <w:color w:val="auto"/>
        </w:rPr>
      </w:pPr>
    </w:p>
    <w:p>
      <w:pPr>
        <w:jc w:val="both"/>
        <w:ind w:left="-8" w:firstLine="1304"/>
        <w:spacing w:after="0" w:line="267" w:lineRule="auto"/>
        <w:tabs>
          <w:tab w:leader="none" w:pos="1759"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(i) Any Lender may, without the consent of the Company, any Issuing Lender, the Brazilian Administrative Agent or the Administrative Agent,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Commitments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(C) the Loan Parties, the Administrative Agent, the Brazilian Administrative Agent, the Issuing Lenders and the other Lenders shall continue to deal solely and directly with such Lender in connection with such Lender’s rights and obligations under this Agreement, the other Loan Documents and the Brazilian Intercreditor Agreement,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agreement may provide that such Lender will not, without the consent of the Participant, agree to any amendment, modification or waiver that (1) requires the consent of each Lender directly and adversely affected thereby pursuant to clause</w:t>
      </w:r>
    </w:p>
    <w:p>
      <w:pPr>
        <w:spacing w:after="0" w:line="5" w:lineRule="exact"/>
        <w:rPr>
          <w:rFonts w:ascii="Arial" w:cs="Arial" w:eastAsia="Arial" w:hAnsi="Arial"/>
          <w:sz w:val="18"/>
          <w:szCs w:val="18"/>
          <w:color w:val="010000"/>
        </w:rPr>
      </w:pPr>
    </w:p>
    <w:p>
      <w:pPr>
        <w:jc w:val="both"/>
        <w:ind w:left="-8" w:firstLine="8"/>
        <w:spacing w:after="0" w:line="268" w:lineRule="auto"/>
        <w:tabs>
          <w:tab w:leader="none" w:pos="32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of the proviso to the second sentence of Section 10.1(a) and (2) directly and adversely affects such Participant. Subject to paragraph (c) (ii)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in the absence of manifest error, and such Lender, the Company, the Brazilian Administrative Agent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0" w:lineRule="exact"/>
        <w:rPr>
          <w:rFonts w:ascii="Arial" w:cs="Arial" w:eastAsia="Arial" w:hAnsi="Arial"/>
          <w:sz w:val="18"/>
          <w:szCs w:val="18"/>
          <w:color w:val="auto"/>
        </w:rPr>
      </w:pPr>
    </w:p>
    <w:p>
      <w:pPr>
        <w:jc w:val="both"/>
        <w:ind w:left="652" w:firstLine="644"/>
        <w:spacing w:after="0" w:line="316" w:lineRule="auto"/>
        <w:tabs>
          <w:tab w:leader="none" w:pos="1739" w:val="left"/>
        </w:tabs>
        <w:numPr>
          <w:ilvl w:val="1"/>
          <w:numId w:val="118"/>
        </w:numPr>
        <w:rPr>
          <w:rFonts w:ascii="Arial" w:cs="Arial" w:eastAsia="Arial" w:hAnsi="Arial"/>
          <w:sz w:val="16"/>
          <w:szCs w:val="16"/>
          <w:color w:val="010000"/>
        </w:rPr>
      </w:pPr>
      <w:r>
        <w:rPr>
          <w:rFonts w:ascii="Arial" w:cs="Arial" w:eastAsia="Arial" w:hAnsi="Arial"/>
          <w:sz w:val="16"/>
          <w:szCs w:val="16"/>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ectPr>
          <w:pgSz w:w="11900" w:h="16838" w:orient="portrait"/>
          <w:cols w:equalWidth="0" w:num="1">
            <w:col w:w="11232"/>
          </w:cols>
          <w:pgMar w:left="328" w:top="568" w:right="339" w:bottom="1440" w:gutter="0" w:footer="0" w:header="0"/>
        </w:sectPr>
      </w:pPr>
    </w:p>
    <w:bookmarkStart w:id="165" w:name="page166"/>
    <w:bookmarkEnd w:id="165"/>
    <w:p>
      <w:pPr>
        <w:jc w:val="both"/>
        <w:ind w:firstLine="1304"/>
        <w:spacing w:after="0" w:line="259" w:lineRule="auto"/>
        <w:tabs>
          <w:tab w:leader="none" w:pos="1724"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 xml:space="preserve">Any Lender may, without the consent of the Company, the Brazilian Administrative Agent,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pledge or assignment of a security interest shall release a Lender from any of its obligations hereunder or substitute any such pledgee or Assignee for such Lender as a party hereto.</w:t>
      </w:r>
    </w:p>
    <w:p>
      <w:pPr>
        <w:spacing w:after="0" w:line="178" w:lineRule="exact"/>
        <w:rPr>
          <w:rFonts w:ascii="Arial" w:cs="Arial" w:eastAsia="Arial" w:hAnsi="Arial"/>
          <w:sz w:val="19"/>
          <w:szCs w:val="19"/>
          <w:color w:val="010000"/>
        </w:rPr>
      </w:pPr>
    </w:p>
    <w:p>
      <w:pPr>
        <w:jc w:val="both"/>
        <w:ind w:firstLine="1304"/>
        <w:spacing w:after="0" w:line="276" w:lineRule="auto"/>
        <w:tabs>
          <w:tab w:leader="none" w:pos="1767" w:val="left"/>
        </w:tabs>
        <w:numPr>
          <w:ilvl w:val="0"/>
          <w:numId w:val="119"/>
        </w:numPr>
        <w:rPr>
          <w:rFonts w:ascii="Arial" w:cs="Arial" w:eastAsia="Arial" w:hAnsi="Arial"/>
          <w:sz w:val="18"/>
          <w:szCs w:val="18"/>
          <w:color w:val="010000"/>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6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010000"/>
        </w:rPr>
        <w:t xml:space="preserve">10.7 </w:t>
      </w:r>
      <w:r>
        <w:rPr>
          <w:rFonts w:ascii="Arial" w:cs="Arial" w:eastAsia="Arial" w:hAnsi="Arial"/>
          <w:sz w:val="18"/>
          <w:szCs w:val="18"/>
          <w:color w:val="000000"/>
        </w:rPr>
        <w:t>Adjustments. If any Lender (a “</w:t>
      </w:r>
      <w:r>
        <w:rPr>
          <w:rFonts w:ascii="Arial" w:cs="Arial" w:eastAsia="Arial" w:hAnsi="Arial"/>
          <w:sz w:val="18"/>
          <w:szCs w:val="18"/>
          <w:u w:val="single" w:color="auto"/>
          <w:color w:val="000000"/>
        </w:rPr>
        <w:t>Benefitted Lender</w:t>
      </w:r>
      <w:r>
        <w:rPr>
          <w:rFonts w:ascii="Arial" w:cs="Arial" w:eastAsia="Arial" w:hAnsi="Arial"/>
          <w:sz w:val="18"/>
          <w:szCs w:val="18"/>
          <w:color w:val="000000"/>
        </w:rPr>
        <w:t>”) shall, at any time after the Loans and all other amounts payable</w:t>
      </w:r>
      <w:r>
        <w:rPr>
          <w:rFonts w:ascii="Arial" w:cs="Arial" w:eastAsia="Arial" w:hAnsi="Arial"/>
          <w:sz w:val="18"/>
          <w:szCs w:val="18"/>
          <w:color w:val="010000"/>
        </w:rPr>
        <w:t xml:space="preserve"> </w:t>
      </w:r>
      <w:r>
        <w:rPr>
          <w:rFonts w:ascii="Arial" w:cs="Arial" w:eastAsia="Arial" w:hAnsi="Arial"/>
          <w:sz w:val="18"/>
          <w:szCs w:val="18"/>
          <w:color w:val="000000"/>
        </w:rPr>
        <w:t xml:space="preserve">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no payments in respect of Obligations owing by any Foreign Subsidiary Borrower shall be utilized to satisfy any Obligations owing by the Company or any Domestic Subsidiary Borrower.</w:t>
      </w:r>
    </w:p>
    <w:p>
      <w:pPr>
        <w:spacing w:after="0" w:line="17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010000"/>
        </w:rPr>
        <w:t>10.8</w:t>
      </w:r>
      <w:r>
        <w:rPr>
          <w:sz w:val="20"/>
          <w:szCs w:val="20"/>
          <w:color w:val="auto"/>
        </w:rPr>
        <w:tab/>
      </w:r>
      <w:r>
        <w:rPr>
          <w:rFonts w:ascii="Arial" w:cs="Arial" w:eastAsia="Arial" w:hAnsi="Arial"/>
          <w:sz w:val="18"/>
          <w:szCs w:val="18"/>
          <w:color w:val="auto"/>
        </w:rPr>
        <w:t>Counterparts</w:t>
      </w:r>
      <w:r>
        <w:rPr>
          <w:rFonts w:ascii="Arial" w:cs="Arial" w:eastAsia="Arial" w:hAnsi="Arial"/>
          <w:sz w:val="18"/>
          <w:szCs w:val="18"/>
          <w:u w:val="single" w:color="auto"/>
          <w:color w:val="0000FF"/>
        </w:rPr>
        <w:t>; Electronic Execution</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4" w:lineRule="auto"/>
        <w:tabs>
          <w:tab w:leader="none" w:pos="1862" w:val="left"/>
        </w:tabs>
        <w:numPr>
          <w:ilvl w:val="0"/>
          <w:numId w:val="120"/>
        </w:numPr>
        <w:rPr>
          <w:rFonts w:ascii="Arial" w:cs="Arial" w:eastAsia="Arial" w:hAnsi="Arial"/>
          <w:sz w:val="20"/>
          <w:szCs w:val="20"/>
          <w:u w:val="single" w:color="auto"/>
          <w:color w:val="0000FF"/>
        </w:rPr>
      </w:pPr>
      <w:r>
        <w:rPr>
          <w:rFonts w:ascii="Arial" w:cs="Arial" w:eastAsia="Arial" w:hAnsi="Arial"/>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r>
        <w:rPr>
          <w:rFonts w:ascii="Arial" w:cs="Arial" w:eastAsia="Arial" w:hAnsi="Arial"/>
          <w:sz w:val="20"/>
          <w:szCs w:val="20"/>
          <w:color w:val="FF0000"/>
          <w:strike w:val="1"/>
        </w:rPr>
        <w:t>.</w:t>
      </w:r>
    </w:p>
    <w:p>
      <w:pPr>
        <w:spacing w:after="0" w:line="194" w:lineRule="exact"/>
        <w:rPr>
          <w:rFonts w:ascii="Arial" w:cs="Arial" w:eastAsia="Arial" w:hAnsi="Arial"/>
          <w:sz w:val="20"/>
          <w:szCs w:val="20"/>
          <w:u w:val="single" w:color="auto"/>
          <w:color w:val="0000FF"/>
        </w:rPr>
      </w:pPr>
    </w:p>
    <w:p>
      <w:pPr>
        <w:jc w:val="both"/>
        <w:ind w:firstLine="1304"/>
        <w:spacing w:after="0" w:line="291" w:lineRule="auto"/>
        <w:tabs>
          <w:tab w:leader="none" w:pos="1724" w:val="left"/>
        </w:tabs>
        <w:numPr>
          <w:ilvl w:val="0"/>
          <w:numId w:val="1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w:t>
      </w:r>
    </w:p>
    <w:p>
      <w:pPr>
        <w:sectPr>
          <w:pgSz w:w="11900" w:h="16838" w:orient="portrait"/>
          <w:cols w:equalWidth="0" w:num="1">
            <w:col w:w="11240"/>
          </w:cols>
          <w:pgMar w:left="320" w:top="568" w:right="339" w:bottom="1440" w:gutter="0" w:footer="0" w:header="0"/>
        </w:sectPr>
      </w:pPr>
    </w:p>
    <w:bookmarkStart w:id="166" w:name="page167"/>
    <w:bookmarkEnd w:id="166"/>
    <w:p>
      <w:pPr>
        <w:jc w:val="both"/>
        <w:spacing w:after="0" w:line="282" w:lineRule="auto"/>
        <w:rPr>
          <w:sz w:val="20"/>
          <w:szCs w:val="20"/>
          <w:color w:val="auto"/>
        </w:rPr>
      </w:pPr>
      <w:r>
        <w:rPr>
          <w:rFonts w:ascii="Arial" w:cs="Arial" w:eastAsia="Arial" w:hAnsi="Arial"/>
          <w:sz w:val="18"/>
          <w:szCs w:val="18"/>
          <w:u w:val="single" w:color="auto"/>
          <w:color w:val="0000FF"/>
        </w:rPr>
        <w:t>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16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010000"/>
        </w:rPr>
        <w:t xml:space="preserve">10.9 </w:t>
      </w:r>
      <w:r>
        <w:rPr>
          <w:rFonts w:ascii="Arial" w:cs="Arial" w:eastAsia="Arial" w:hAnsi="Arial"/>
          <w:sz w:val="18"/>
          <w:szCs w:val="18"/>
          <w:color w:val="000000"/>
        </w:rPr>
        <w:t>Severability. Any provision of this Agreement that is prohibited or unenforceable in any jurisdiction shall, as to such</w:t>
      </w:r>
      <w:r>
        <w:rPr>
          <w:rFonts w:ascii="Arial" w:cs="Arial" w:eastAsia="Arial" w:hAnsi="Arial"/>
          <w:sz w:val="18"/>
          <w:szCs w:val="18"/>
          <w:color w:val="010000"/>
        </w:rPr>
        <w:t xml:space="preserve"> </w:t>
      </w:r>
      <w:r>
        <w:rPr>
          <w:rFonts w:ascii="Arial" w:cs="Arial" w:eastAsia="Arial" w:hAnsi="Arial"/>
          <w:sz w:val="18"/>
          <w:szCs w:val="18"/>
          <w:color w:val="000000"/>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010000"/>
        </w:rPr>
        <w:t xml:space="preserve">10.10 </w:t>
      </w:r>
      <w:r>
        <w:rPr>
          <w:rFonts w:ascii="Arial" w:cs="Arial" w:eastAsia="Arial" w:hAnsi="Arial"/>
          <w:sz w:val="18"/>
          <w:szCs w:val="18"/>
          <w:color w:val="000000"/>
        </w:rPr>
        <w:t>Integration. This Agreement, the other Loan Documents and the Brazilian Intercreditor Agreement represent the</w:t>
      </w:r>
      <w:r>
        <w:rPr>
          <w:rFonts w:ascii="Arial" w:cs="Arial" w:eastAsia="Arial" w:hAnsi="Arial"/>
          <w:sz w:val="18"/>
          <w:szCs w:val="18"/>
          <w:color w:val="010000"/>
        </w:rPr>
        <w:t xml:space="preserve"> </w:t>
      </w:r>
      <w:r>
        <w:rPr>
          <w:rFonts w:ascii="Arial" w:cs="Arial" w:eastAsia="Arial" w:hAnsi="Arial"/>
          <w:sz w:val="18"/>
          <w:szCs w:val="18"/>
          <w:color w:val="000000"/>
        </w:rPr>
        <w:t>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16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010000"/>
        </w:rPr>
        <w:t xml:space="preserve">10.11 </w:t>
      </w:r>
      <w:r>
        <w:rPr>
          <w:rFonts w:ascii="Arial" w:cs="Arial" w:eastAsia="Arial" w:hAnsi="Arial"/>
          <w:sz w:val="20"/>
          <w:szCs w:val="20"/>
          <w:color w:val="000000"/>
        </w:rPr>
        <w:t>GOVERNING LAW. THIS AGREEMENT AND THE RIGHTS AND OBLIGATIONS OF THE PARTIES UNDER</w:t>
      </w:r>
      <w:r>
        <w:rPr>
          <w:rFonts w:ascii="Arial" w:cs="Arial" w:eastAsia="Arial" w:hAnsi="Arial"/>
          <w:sz w:val="20"/>
          <w:szCs w:val="20"/>
          <w:color w:val="010000"/>
        </w:rPr>
        <w:t xml:space="preserve"> </w:t>
      </w:r>
      <w:r>
        <w:rPr>
          <w:rFonts w:ascii="Arial" w:cs="Arial" w:eastAsia="Arial" w:hAnsi="Arial"/>
          <w:sz w:val="20"/>
          <w:szCs w:val="20"/>
          <w:color w:val="000000"/>
        </w:rPr>
        <w:t>THIS AGREEMENT SHALL BE GOVERNED BY, AND CONSTRUED AND INTERPRETED IN ACCORDANCE WITH, THE LAW OF THE STATE OF NEW YORK.</w:t>
      </w:r>
    </w:p>
    <w:p>
      <w:pPr>
        <w:spacing w:after="0" w:line="18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010000"/>
        </w:rPr>
        <w:t>10.12</w:t>
      </w:r>
      <w:r>
        <w:rPr>
          <w:sz w:val="20"/>
          <w:szCs w:val="20"/>
          <w:color w:val="auto"/>
        </w:rPr>
        <w:tab/>
      </w:r>
      <w:r>
        <w:rPr>
          <w:rFonts w:ascii="Arial" w:cs="Arial" w:eastAsia="Arial" w:hAnsi="Arial"/>
          <w:sz w:val="18"/>
          <w:szCs w:val="18"/>
          <w:color w:val="auto"/>
        </w:rPr>
        <w:t>Submission to Jurisdiction; Waivers. (a) Each of the Administrative Agent, the Brazilian Administrative Agent,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Lenders, the Issuing Lenders, the Company, each Subsidiary Borrower and each other Loan Party hereby irrevocably and unconditionally:</w:t>
      </w:r>
    </w:p>
    <w:p>
      <w:pPr>
        <w:spacing w:after="0" w:line="223" w:lineRule="exact"/>
        <w:rPr>
          <w:sz w:val="20"/>
          <w:szCs w:val="20"/>
          <w:color w:val="auto"/>
        </w:rPr>
      </w:pPr>
    </w:p>
    <w:p>
      <w:pPr>
        <w:jc w:val="both"/>
        <w:ind w:left="660" w:firstLine="644"/>
        <w:spacing w:after="0" w:line="263" w:lineRule="auto"/>
        <w:tabs>
          <w:tab w:leader="none" w:pos="1855"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submits for itself and its property in any legal action or proceeding relating to this Agreement, the other Loan Documents and the Brazilian Intercreditor Agreement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176" w:lineRule="exact"/>
        <w:rPr>
          <w:rFonts w:ascii="Arial" w:cs="Arial" w:eastAsia="Arial" w:hAnsi="Arial"/>
          <w:sz w:val="19"/>
          <w:szCs w:val="19"/>
          <w:color w:val="010000"/>
        </w:rPr>
      </w:pPr>
    </w:p>
    <w:p>
      <w:pPr>
        <w:jc w:val="both"/>
        <w:ind w:left="660" w:firstLine="644"/>
        <w:spacing w:after="0" w:line="250" w:lineRule="auto"/>
        <w:tabs>
          <w:tab w:leader="none" w:pos="1747" w:val="left"/>
        </w:tabs>
        <w:numPr>
          <w:ilvl w:val="0"/>
          <w:numId w:val="121"/>
        </w:numPr>
        <w:rPr>
          <w:rFonts w:ascii="Arial" w:cs="Arial" w:eastAsia="Arial" w:hAnsi="Arial"/>
          <w:sz w:val="20"/>
          <w:szCs w:val="20"/>
          <w:color w:val="010000"/>
        </w:rPr>
      </w:pPr>
      <w:r>
        <w:rPr>
          <w:rFonts w:ascii="Arial" w:cs="Arial" w:eastAsia="Arial" w:hAnsi="Arial"/>
          <w:sz w:val="20"/>
          <w:szCs w:val="20"/>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85" w:lineRule="exact"/>
        <w:rPr>
          <w:rFonts w:ascii="Arial" w:cs="Arial" w:eastAsia="Arial" w:hAnsi="Arial"/>
          <w:sz w:val="20"/>
          <w:szCs w:val="20"/>
          <w:color w:val="010000"/>
        </w:rPr>
      </w:pPr>
    </w:p>
    <w:p>
      <w:pPr>
        <w:ind w:left="660" w:firstLine="644"/>
        <w:spacing w:after="0" w:line="260" w:lineRule="auto"/>
        <w:tabs>
          <w:tab w:leader="none" w:pos="1829" w:val="left"/>
        </w:tabs>
        <w:numPr>
          <w:ilvl w:val="0"/>
          <w:numId w:val="121"/>
        </w:numPr>
        <w:rPr>
          <w:rFonts w:ascii="Arial" w:cs="Arial" w:eastAsia="Arial" w:hAnsi="Arial"/>
          <w:sz w:val="20"/>
          <w:szCs w:val="20"/>
          <w:color w:val="010000"/>
        </w:rPr>
      </w:pPr>
      <w:r>
        <w:rPr>
          <w:rFonts w:ascii="Arial" w:cs="Arial" w:eastAsia="Arial" w:hAnsi="Arial"/>
          <w:sz w:val="20"/>
          <w:szCs w:val="20"/>
          <w:color w:val="auto"/>
        </w:rPr>
        <w:t>waives, to the maximum extent not prohibited by law, any right it may have to claim or recover in any legal action or proceeding referred to in this Section 10.12 any special, exemplary, punitive or consequential damages.</w:t>
      </w:r>
    </w:p>
    <w:p>
      <w:pPr>
        <w:spacing w:after="0" w:line="177" w:lineRule="exact"/>
        <w:rPr>
          <w:sz w:val="20"/>
          <w:szCs w:val="20"/>
          <w:color w:val="auto"/>
        </w:rPr>
      </w:pPr>
    </w:p>
    <w:p>
      <w:pPr>
        <w:jc w:val="both"/>
        <w:ind w:firstLine="1304"/>
        <w:spacing w:after="0" w:line="291" w:lineRule="auto"/>
        <w:tabs>
          <w:tab w:leader="none" w:pos="1724"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w:t>
      </w:r>
    </w:p>
    <w:p>
      <w:pPr>
        <w:sectPr>
          <w:pgSz w:w="11900" w:h="16838" w:orient="portrait"/>
          <w:cols w:equalWidth="0" w:num="1">
            <w:col w:w="11240"/>
          </w:cols>
          <w:pgMar w:left="320" w:top="568" w:right="339" w:bottom="1440" w:gutter="0" w:footer="0" w:header="0"/>
        </w:sectPr>
      </w:pPr>
    </w:p>
    <w:bookmarkStart w:id="167" w:name="page168"/>
    <w:bookmarkEnd w:id="167"/>
    <w:p>
      <w:pPr>
        <w:jc w:val="both"/>
        <w:spacing w:after="0" w:line="273" w:lineRule="auto"/>
        <w:rPr>
          <w:sz w:val="20"/>
          <w:szCs w:val="20"/>
          <w:color w:val="auto"/>
        </w:rPr>
      </w:pPr>
      <w:r>
        <w:rPr>
          <w:rFonts w:ascii="Arial" w:cs="Arial" w:eastAsia="Arial" w:hAnsi="Arial"/>
          <w:sz w:val="18"/>
          <w:szCs w:val="18"/>
          <w:color w:val="auto"/>
        </w:rPr>
        <w:t>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68" w:lineRule="exact"/>
        <w:rPr>
          <w:sz w:val="20"/>
          <w:szCs w:val="20"/>
          <w:color w:val="auto"/>
        </w:rPr>
      </w:pPr>
    </w:p>
    <w:p>
      <w:pPr>
        <w:jc w:val="both"/>
        <w:ind w:firstLine="1304"/>
        <w:spacing w:after="0" w:line="244" w:lineRule="auto"/>
        <w:tabs>
          <w:tab w:leader="none" w:pos="1754" w:val="left"/>
        </w:tabs>
        <w:numPr>
          <w:ilvl w:val="0"/>
          <w:numId w:val="123"/>
        </w:numPr>
        <w:rPr>
          <w:rFonts w:ascii="Arial" w:cs="Arial" w:eastAsia="Arial" w:hAnsi="Arial"/>
          <w:sz w:val="20"/>
          <w:szCs w:val="20"/>
          <w:color w:val="010000"/>
        </w:rPr>
      </w:pPr>
      <w:r>
        <w:rPr>
          <w:rFonts w:ascii="Arial" w:cs="Arial" w:eastAsia="Arial" w:hAnsi="Arial"/>
          <w:sz w:val="20"/>
          <w:szCs w:val="20"/>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9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010000"/>
        </w:rPr>
        <w:t xml:space="preserve">10.13 </w:t>
      </w:r>
      <w:r>
        <w:rPr>
          <w:rFonts w:ascii="Arial" w:cs="Arial" w:eastAsia="Arial" w:hAnsi="Arial"/>
          <w:sz w:val="18"/>
          <w:szCs w:val="18"/>
          <w:color w:val="000000"/>
        </w:rPr>
        <w:t>Judgment. The obligations of the Company or any Subsidiary Borrower in respect of this Agreement and the other</w:t>
      </w:r>
      <w:r>
        <w:rPr>
          <w:rFonts w:ascii="Arial" w:cs="Arial" w:eastAsia="Arial" w:hAnsi="Arial"/>
          <w:sz w:val="18"/>
          <w:szCs w:val="18"/>
          <w:color w:val="010000"/>
        </w:rPr>
        <w:t xml:space="preserve"> </w:t>
      </w:r>
      <w:r>
        <w:rPr>
          <w:rFonts w:ascii="Arial" w:cs="Arial" w:eastAsia="Arial" w:hAnsi="Arial"/>
          <w:sz w:val="18"/>
          <w:szCs w:val="18"/>
          <w:color w:val="000000"/>
        </w:rPr>
        <w:t>Loan Documents due to any party hereto shall, notwithstanding any judgment in a currency (the “</w:t>
      </w:r>
      <w:r>
        <w:rPr>
          <w:rFonts w:ascii="Arial" w:cs="Arial" w:eastAsia="Arial" w:hAnsi="Arial"/>
          <w:sz w:val="18"/>
          <w:szCs w:val="18"/>
          <w:u w:val="single" w:color="auto"/>
          <w:color w:val="000000"/>
        </w:rPr>
        <w:t>Judgment Currency</w:t>
      </w:r>
      <w:r>
        <w:rPr>
          <w:rFonts w:ascii="Arial" w:cs="Arial" w:eastAsia="Arial" w:hAnsi="Arial"/>
          <w:sz w:val="18"/>
          <w:szCs w:val="18"/>
          <w:color w:val="000000"/>
        </w:rPr>
        <w:t>”) other than the currency in which the sum originally due to such party is denominated (the “</w:t>
      </w:r>
      <w:r>
        <w:rPr>
          <w:rFonts w:ascii="Arial" w:cs="Arial" w:eastAsia="Arial" w:hAnsi="Arial"/>
          <w:sz w:val="18"/>
          <w:szCs w:val="18"/>
          <w:u w:val="single" w:color="auto"/>
          <w:color w:val="000000"/>
        </w:rPr>
        <w:t>Original Currency</w:t>
      </w:r>
      <w:r>
        <w:rPr>
          <w:rFonts w:ascii="Arial" w:cs="Arial" w:eastAsia="Arial" w:hAnsi="Arial"/>
          <w:sz w:val="18"/>
          <w:szCs w:val="18"/>
          <w:color w:val="000000"/>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and Facility Fees payable hereunder or under any other Loan Document.</w:t>
      </w:r>
    </w:p>
    <w:p>
      <w:pPr>
        <w:spacing w:after="0" w:line="174" w:lineRule="exact"/>
        <w:rPr>
          <w:sz w:val="20"/>
          <w:szCs w:val="20"/>
          <w:color w:val="auto"/>
        </w:rPr>
      </w:pPr>
    </w:p>
    <w:p>
      <w:pPr>
        <w:jc w:val="center"/>
        <w:ind w:right="120"/>
        <w:spacing w:after="0"/>
        <w:tabs>
          <w:tab w:leader="none" w:pos="180" w:val="left"/>
        </w:tabs>
        <w:rPr>
          <w:sz w:val="20"/>
          <w:szCs w:val="20"/>
          <w:color w:val="auto"/>
        </w:rPr>
      </w:pPr>
      <w:r>
        <w:rPr>
          <w:rFonts w:ascii="Arial" w:cs="Arial" w:eastAsia="Arial" w:hAnsi="Arial"/>
          <w:sz w:val="20"/>
          <w:szCs w:val="20"/>
          <w:color w:val="010000"/>
        </w:rPr>
        <w:t>10.14</w:t>
      </w:r>
      <w:r>
        <w:rPr>
          <w:sz w:val="20"/>
          <w:szCs w:val="20"/>
          <w:color w:val="auto"/>
        </w:rPr>
        <w:tab/>
      </w:r>
      <w:r>
        <w:rPr>
          <w:rFonts w:ascii="Arial" w:cs="Arial" w:eastAsia="Arial" w:hAnsi="Arial"/>
          <w:sz w:val="16"/>
          <w:szCs w:val="16"/>
          <w:color w:val="auto"/>
        </w:rPr>
        <w:t>Acknowledgments. Each of the Company and the Subsidiary Borrowers hereby acknowledges that:</w:t>
      </w:r>
    </w:p>
    <w:p>
      <w:pPr>
        <w:spacing w:after="0" w:line="216" w:lineRule="exact"/>
        <w:rPr>
          <w:sz w:val="20"/>
          <w:szCs w:val="20"/>
          <w:color w:val="auto"/>
        </w:rPr>
      </w:pPr>
    </w:p>
    <w:p>
      <w:pPr>
        <w:ind w:left="1860" w:hanging="556"/>
        <w:spacing w:after="0"/>
        <w:tabs>
          <w:tab w:leader="none" w:pos="1860"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it has been advised by counsel in the negotiation, execution and delivery of this Agreement and the other Loan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200" w:lineRule="exact"/>
        <w:rPr>
          <w:sz w:val="20"/>
          <w:szCs w:val="20"/>
          <w:color w:val="auto"/>
        </w:rPr>
      </w:pPr>
    </w:p>
    <w:p>
      <w:pPr>
        <w:jc w:val="both"/>
        <w:ind w:firstLine="1304"/>
        <w:spacing w:after="0" w:line="244" w:lineRule="auto"/>
        <w:tabs>
          <w:tab w:leader="none" w:pos="1724" w:val="left"/>
        </w:tabs>
        <w:numPr>
          <w:ilvl w:val="0"/>
          <w:numId w:val="125"/>
        </w:numPr>
        <w:rPr>
          <w:rFonts w:ascii="Arial" w:cs="Arial" w:eastAsia="Arial" w:hAnsi="Arial"/>
          <w:sz w:val="20"/>
          <w:szCs w:val="20"/>
          <w:color w:val="010000"/>
        </w:rPr>
      </w:pPr>
      <w:r>
        <w:rPr>
          <w:rFonts w:ascii="Arial" w:cs="Arial" w:eastAsia="Arial" w:hAnsi="Arial"/>
          <w:sz w:val="20"/>
          <w:szCs w:val="20"/>
          <w:color w:val="auto"/>
        </w:rPr>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194" w:lineRule="exact"/>
        <w:rPr>
          <w:rFonts w:ascii="Arial" w:cs="Arial" w:eastAsia="Arial" w:hAnsi="Arial"/>
          <w:sz w:val="20"/>
          <w:szCs w:val="20"/>
          <w:color w:val="010000"/>
        </w:rPr>
      </w:pPr>
    </w:p>
    <w:p>
      <w:pPr>
        <w:ind w:right="20" w:firstLine="1304"/>
        <w:spacing w:after="0" w:line="316" w:lineRule="auto"/>
        <w:tabs>
          <w:tab w:leader="none" w:pos="1740"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no joint venture is created hereby or by the other Loan Documents, the Brazilian Intercreditor Agreement or otherwise exists by virtue of the transactions contemplated hereby among the Lenders or among the Company or any Subsidiary and the Lenders.</w:t>
      </w:r>
    </w:p>
    <w:p>
      <w:pPr>
        <w:spacing w:after="0" w:line="13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10.15</w:t>
      </w:r>
      <w:r>
        <w:rPr>
          <w:sz w:val="20"/>
          <w:szCs w:val="20"/>
          <w:color w:val="auto"/>
        </w:rPr>
        <w:tab/>
      </w:r>
      <w:r>
        <w:rPr>
          <w:rFonts w:ascii="Arial" w:cs="Arial" w:eastAsia="Arial" w:hAnsi="Arial"/>
          <w:sz w:val="16"/>
          <w:szCs w:val="16"/>
          <w:color w:val="auto"/>
        </w:rPr>
        <w:t>Releases of Guarantees .</w:t>
      </w:r>
    </w:p>
    <w:p>
      <w:pPr>
        <w:sectPr>
          <w:pgSz w:w="11900" w:h="16838" w:orient="portrait"/>
          <w:cols w:equalWidth="0" w:num="1">
            <w:col w:w="11240"/>
          </w:cols>
          <w:pgMar w:left="320" w:top="568" w:right="339" w:bottom="1440" w:gutter="0" w:footer="0" w:header="0"/>
        </w:sectPr>
      </w:pPr>
    </w:p>
    <w:bookmarkStart w:id="168" w:name="page169"/>
    <w:bookmarkEnd w:id="168"/>
    <w:p>
      <w:pPr>
        <w:jc w:val="both"/>
        <w:ind w:firstLine="1304"/>
        <w:spacing w:after="0" w:line="243" w:lineRule="auto"/>
        <w:tabs>
          <w:tab w:leader="none" w:pos="1713" w:val="left"/>
        </w:tabs>
        <w:numPr>
          <w:ilvl w:val="0"/>
          <w:numId w:val="126"/>
        </w:numPr>
        <w:rPr>
          <w:rFonts w:ascii="Arial" w:cs="Arial" w:eastAsia="Arial" w:hAnsi="Arial"/>
          <w:sz w:val="20"/>
          <w:szCs w:val="20"/>
          <w:color w:val="010000"/>
        </w:rPr>
      </w:pPr>
      <w:r>
        <w:rPr>
          <w:rFonts w:ascii="Arial" w:cs="Arial" w:eastAsia="Arial" w:hAnsi="Arial"/>
          <w:sz w:val="20"/>
          <w:szCs w:val="20"/>
          <w:color w:val="auto"/>
        </w:rPr>
        <w:t>Notwithstanding anything to the contrary contained herein or in any other Loan Document or the Brazilian Intercreditor Agreement, the Administrative Agent is hereby irrevocably authorized by each Lender, each Ancillary Lender and each Issuing Lender (without requirement of notice to or consent of any Lender, any Ancillary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92" w:lineRule="exact"/>
        <w:rPr>
          <w:rFonts w:ascii="Arial" w:cs="Arial" w:eastAsia="Arial" w:hAnsi="Arial"/>
          <w:sz w:val="20"/>
          <w:szCs w:val="20"/>
          <w:color w:val="010000"/>
        </w:rPr>
      </w:pPr>
    </w:p>
    <w:p>
      <w:pPr>
        <w:jc w:val="both"/>
        <w:ind w:firstLine="1304"/>
        <w:spacing w:after="0" w:line="270" w:lineRule="auto"/>
        <w:tabs>
          <w:tab w:leader="none" w:pos="1724"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At such time as the Loans, the Reimbursement Obligations, Ancillary Facility Outstandings and interest and fees owing hereunder and under any other Loan Document and any Ancillary Facility Document shall have been paid in full, the Commitments and Ancillary Commitments have been terminated (unless otherwise agreed by the relevant Ancillary Lender)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 provided, however, that amounts under any Ancillary Facility Documents may remain outstanding and the Commitments thereunder may remain available with the consent of the applicable Ancillary Lender if cash collateral arrangements are made or other arrangements are made to the reasonable satisfaction of the applicable Ancillary Lender (which may take the form of an agreement for the relevant facilities to continue on a bilateral basis and not under the Loan Documents after such date) so long as,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w:t>
      </w:r>
    </w:p>
    <w:p>
      <w:pPr>
        <w:spacing w:after="0" w:line="172" w:lineRule="exact"/>
        <w:rPr>
          <w:rFonts w:ascii="Arial" w:cs="Arial" w:eastAsia="Arial" w:hAnsi="Arial"/>
          <w:sz w:val="18"/>
          <w:szCs w:val="18"/>
          <w:color w:val="010000"/>
        </w:rPr>
      </w:pPr>
    </w:p>
    <w:p>
      <w:pPr>
        <w:jc w:val="both"/>
        <w:ind w:firstLine="1304"/>
        <w:spacing w:after="0" w:line="257" w:lineRule="auto"/>
        <w:tabs>
          <w:tab w:leader="none" w:pos="1808" w:val="left"/>
        </w:tabs>
        <w:numPr>
          <w:ilvl w:val="0"/>
          <w:numId w:val="126"/>
        </w:numPr>
        <w:rPr>
          <w:rFonts w:ascii="Arial" w:cs="Arial" w:eastAsia="Arial" w:hAnsi="Arial"/>
          <w:sz w:val="19"/>
          <w:szCs w:val="19"/>
          <w:color w:val="010000"/>
        </w:rPr>
      </w:pPr>
      <w:r>
        <w:rPr>
          <w:rFonts w:ascii="Arial" w:cs="Arial" w:eastAsia="Arial" w:hAnsi="Arial"/>
          <w:sz w:val="19"/>
          <w:szCs w:val="19"/>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184" w:lineRule="exact"/>
        <w:rPr>
          <w:rFonts w:ascii="Arial" w:cs="Arial" w:eastAsia="Arial" w:hAnsi="Arial"/>
          <w:sz w:val="19"/>
          <w:szCs w:val="19"/>
          <w:color w:val="010000"/>
        </w:rPr>
      </w:pPr>
    </w:p>
    <w:p>
      <w:pPr>
        <w:jc w:val="both"/>
        <w:ind w:firstLine="1304"/>
        <w:spacing w:after="0" w:line="269" w:lineRule="auto"/>
        <w:tabs>
          <w:tab w:leader="none" w:pos="1900" w:val="left"/>
        </w:tabs>
        <w:numPr>
          <w:ilvl w:val="0"/>
          <w:numId w:val="126"/>
        </w:numPr>
        <w:rPr>
          <w:rFonts w:ascii="Arial" w:cs="Arial" w:eastAsia="Arial" w:hAnsi="Arial"/>
          <w:sz w:val="19"/>
          <w:szCs w:val="19"/>
          <w:color w:val="010000"/>
        </w:rPr>
      </w:pPr>
      <w:r>
        <w:rPr>
          <w:rFonts w:ascii="Arial" w:cs="Arial" w:eastAsia="Arial" w:hAnsi="Arial"/>
          <w:sz w:val="19"/>
          <w:szCs w:val="19"/>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010000"/>
        </w:rPr>
        <w:t xml:space="preserve">10.16 </w:t>
      </w:r>
      <w:r>
        <w:rPr>
          <w:rFonts w:ascii="Arial" w:cs="Arial" w:eastAsia="Arial" w:hAnsi="Arial"/>
          <w:sz w:val="19"/>
          <w:szCs w:val="19"/>
          <w:color w:val="000000"/>
        </w:rPr>
        <w:t>Confidentiality. Each of the Administrative Agent, the Brazilian Administrative Agent, each Issuing Lender, each</w:t>
      </w:r>
      <w:r>
        <w:rPr>
          <w:rFonts w:ascii="Arial" w:cs="Arial" w:eastAsia="Arial" w:hAnsi="Arial"/>
          <w:sz w:val="19"/>
          <w:szCs w:val="19"/>
          <w:color w:val="010000"/>
        </w:rPr>
        <w:t xml:space="preserve"> </w:t>
      </w:r>
      <w:r>
        <w:rPr>
          <w:rFonts w:ascii="Arial" w:cs="Arial" w:eastAsia="Arial" w:hAnsi="Arial"/>
          <w:sz w:val="19"/>
          <w:szCs w:val="19"/>
          <w:color w:val="000000"/>
        </w:rPr>
        <w:t>Lender and each Transferee (each a “</w:t>
      </w:r>
      <w:r>
        <w:rPr>
          <w:rFonts w:ascii="Arial" w:cs="Arial" w:eastAsia="Arial" w:hAnsi="Arial"/>
          <w:sz w:val="19"/>
          <w:szCs w:val="19"/>
          <w:u w:val="single" w:color="auto"/>
          <w:color w:val="000000"/>
        </w:rPr>
        <w:t>Receiving Party</w:t>
      </w:r>
      <w:r>
        <w:rPr>
          <w:rFonts w:ascii="Arial" w:cs="Arial" w:eastAsia="Arial" w:hAnsi="Arial"/>
          <w:sz w:val="19"/>
          <w:szCs w:val="19"/>
          <w:color w:val="000000"/>
        </w:rPr>
        <w:t xml:space="preserve">”) agrees to keep 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9"/>
          <w:szCs w:val="19"/>
          <w:u w:val="single" w:color="auto"/>
          <w:color w:val="000000"/>
        </w:rPr>
        <w:t>provided</w:t>
      </w:r>
      <w:r>
        <w:rPr>
          <w:rFonts w:ascii="Arial" w:cs="Arial" w:eastAsia="Arial" w:hAnsi="Arial"/>
          <w:sz w:val="19"/>
          <w:szCs w:val="19"/>
          <w:color w:val="000000"/>
        </w:rPr>
        <w:t>, that nothing herein shall prevent a Receiving Party from disclosing any such information (a) to the Administrative Agent, the Brazilian Administrative</w:t>
      </w:r>
    </w:p>
    <w:p>
      <w:pPr>
        <w:sectPr>
          <w:pgSz w:w="11900" w:h="16838" w:orient="portrait"/>
          <w:cols w:equalWidth="0" w:num="1">
            <w:col w:w="11240"/>
          </w:cols>
          <w:pgMar w:left="320" w:top="568" w:right="339" w:bottom="1440" w:gutter="0" w:footer="0" w:header="0"/>
        </w:sectPr>
      </w:pPr>
    </w:p>
    <w:bookmarkStart w:id="169" w:name="page170"/>
    <w:bookmarkEnd w:id="169"/>
    <w:p>
      <w:pPr>
        <w:jc w:val="both"/>
        <w:spacing w:after="0" w:line="267" w:lineRule="auto"/>
        <w:rPr>
          <w:sz w:val="20"/>
          <w:szCs w:val="20"/>
          <w:color w:val="auto"/>
        </w:rPr>
      </w:pPr>
      <w:r>
        <w:rPr>
          <w:rFonts w:ascii="Arial" w:cs="Arial" w:eastAsia="Arial" w:hAnsi="Arial"/>
          <w:sz w:val="18"/>
          <w:szCs w:val="18"/>
          <w:color w:val="auto"/>
        </w:rPr>
        <w:t xml:space="preserve">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w:t>
      </w:r>
      <w:r>
        <w:rPr>
          <w:rFonts w:ascii="Arial" w:cs="Arial" w:eastAsia="Arial" w:hAnsi="Arial"/>
          <w:sz w:val="18"/>
          <w:szCs w:val="18"/>
          <w:u w:val="single" w:color="auto"/>
          <w:color w:val="0000FF"/>
        </w:rPr>
        <w:t>officers,</w:t>
      </w:r>
      <w:r>
        <w:rPr>
          <w:rFonts w:ascii="Arial" w:cs="Arial" w:eastAsia="Arial" w:hAnsi="Arial"/>
          <w:sz w:val="18"/>
          <w:szCs w:val="18"/>
          <w:color w:val="auto"/>
        </w:rPr>
        <w:t xml:space="preserve">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w:t>
      </w:r>
    </w:p>
    <w:p>
      <w:pPr>
        <w:spacing w:after="0" w:line="7" w:lineRule="exact"/>
        <w:rPr>
          <w:sz w:val="20"/>
          <w:szCs w:val="20"/>
          <w:color w:val="auto"/>
        </w:rPr>
      </w:pPr>
    </w:p>
    <w:p>
      <w:pPr>
        <w:jc w:val="both"/>
        <w:ind w:firstLine="8"/>
        <w:spacing w:after="0" w:line="241" w:lineRule="auto"/>
        <w:tabs>
          <w:tab w:leader="none" w:pos="30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the Brazilian Intercreditor Agreement or (j) with the consent of the Borrower.</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010000"/>
        </w:rPr>
        <w:t xml:space="preserve">10.17 </w:t>
      </w:r>
      <w:r>
        <w:rPr>
          <w:rFonts w:ascii="Arial" w:cs="Arial" w:eastAsia="Arial" w:hAnsi="Arial"/>
          <w:sz w:val="20"/>
          <w:szCs w:val="20"/>
          <w:color w:val="000000"/>
        </w:rPr>
        <w:t>WAIVERS OF JURY TRIAL. THE COMPANY, EACH SUBSIDIARY BORROWER, THE ADMINISTRATIVE</w:t>
      </w:r>
      <w:r>
        <w:rPr>
          <w:rFonts w:ascii="Arial" w:cs="Arial" w:eastAsia="Arial" w:hAnsi="Arial"/>
          <w:sz w:val="20"/>
          <w:szCs w:val="20"/>
          <w:color w:val="010000"/>
        </w:rPr>
        <w:t xml:space="preserve"> </w:t>
      </w:r>
      <w:r>
        <w:rPr>
          <w:rFonts w:ascii="Arial" w:cs="Arial" w:eastAsia="Arial" w:hAnsi="Arial"/>
          <w:sz w:val="20"/>
          <w:szCs w:val="20"/>
          <w:color w:val="000000"/>
        </w:rPr>
        <w:t>AGENT, THE BRAZILIAN ADMINISTRATIVE AGENT, 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19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010000"/>
        </w:rPr>
        <w:t xml:space="preserve">10.18 </w:t>
      </w:r>
      <w:r>
        <w:rPr>
          <w:rFonts w:ascii="Arial" w:cs="Arial" w:eastAsia="Arial" w:hAnsi="Arial"/>
          <w:sz w:val="20"/>
          <w:szCs w:val="20"/>
          <w:color w:val="000000"/>
        </w:rPr>
        <w:t>USA Patriot Act</w:t>
      </w:r>
      <w:r>
        <w:rPr>
          <w:rFonts w:ascii="Arial" w:cs="Arial" w:eastAsia="Arial" w:hAnsi="Arial"/>
          <w:sz w:val="20"/>
          <w:szCs w:val="20"/>
          <w:color w:val="010000"/>
        </w:rPr>
        <w:t xml:space="preserve"> </w:t>
      </w:r>
      <w:r>
        <w:rPr>
          <w:rFonts w:ascii="Arial" w:cs="Arial" w:eastAsia="Arial" w:hAnsi="Arial"/>
          <w:sz w:val="20"/>
          <w:szCs w:val="20"/>
          <w:u w:val="single" w:color="auto"/>
          <w:color w:val="0000FF"/>
        </w:rPr>
        <w:t>and the Beneficial Ownership Regulation</w:t>
      </w:r>
      <w:r>
        <w:rPr>
          <w:rFonts w:ascii="Arial" w:cs="Arial" w:eastAsia="Arial" w:hAnsi="Arial"/>
          <w:sz w:val="20"/>
          <w:szCs w:val="20"/>
          <w:color w:val="000000"/>
        </w:rPr>
        <w:t>. Each Lender hereby notifies the Company and each</w:t>
      </w:r>
      <w:r>
        <w:rPr>
          <w:rFonts w:ascii="Arial" w:cs="Arial" w:eastAsia="Arial" w:hAnsi="Arial"/>
          <w:sz w:val="20"/>
          <w:szCs w:val="20"/>
          <w:color w:val="010000"/>
        </w:rPr>
        <w:t xml:space="preserve"> </w:t>
      </w:r>
      <w:r>
        <w:rPr>
          <w:rFonts w:ascii="Arial" w:cs="Arial" w:eastAsia="Arial" w:hAnsi="Arial"/>
          <w:sz w:val="20"/>
          <w:szCs w:val="20"/>
          <w:color w:val="000000"/>
        </w:rPr>
        <w:t>Subsidiary Borrower that pursuant to the requirements of the USA Patriot Act (Title III of Pub. L. 107-56 (signed into law October 26, 2001)) (the “</w:t>
      </w:r>
      <w:r>
        <w:rPr>
          <w:rFonts w:ascii="Arial" w:cs="Arial" w:eastAsia="Arial" w:hAnsi="Arial"/>
          <w:sz w:val="20"/>
          <w:szCs w:val="20"/>
          <w:u w:val="single" w:color="auto"/>
          <w:color w:val="000000"/>
        </w:rPr>
        <w:t>USA Patriot Act</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and the Beneficial Ownership Regulation</w:t>
      </w:r>
      <w:r>
        <w:rPr>
          <w:rFonts w:ascii="Arial" w:cs="Arial" w:eastAsia="Arial" w:hAnsi="Arial"/>
          <w:sz w:val="20"/>
          <w:szCs w:val="20"/>
          <w:color w:val="000000"/>
        </w:rPr>
        <w:t xml:space="preserve">,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w:t>
      </w:r>
      <w:r>
        <w:rPr>
          <w:rFonts w:ascii="Arial" w:cs="Arial" w:eastAsia="Arial" w:hAnsi="Arial"/>
          <w:sz w:val="20"/>
          <w:szCs w:val="20"/>
          <w:u w:val="single" w:color="auto"/>
          <w:color w:val="0000FF"/>
        </w:rPr>
        <w:t>and the Beneficial Ownership Regulation</w:t>
      </w:r>
      <w:r>
        <w:rPr>
          <w:rFonts w:ascii="Arial" w:cs="Arial" w:eastAsia="Arial" w:hAnsi="Arial"/>
          <w:sz w:val="20"/>
          <w:szCs w:val="20"/>
          <w:color w:val="000000"/>
        </w:rPr>
        <w:t>.</w:t>
      </w:r>
    </w:p>
    <w:p>
      <w:pPr>
        <w:spacing w:after="0" w:line="19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010000"/>
        </w:rPr>
        <w:t xml:space="preserve">10.19 </w:t>
      </w:r>
      <w:r>
        <w:rPr>
          <w:rFonts w:ascii="Arial" w:cs="Arial" w:eastAsia="Arial" w:hAnsi="Arial"/>
          <w:sz w:val="18"/>
          <w:szCs w:val="18"/>
          <w:color w:val="000000"/>
        </w:rPr>
        <w:t>No Novation. The terms and conditions of the Existing Three Year Credit Agreement are amended as set forth in,</w:t>
      </w:r>
      <w:r>
        <w:rPr>
          <w:rFonts w:ascii="Arial" w:cs="Arial" w:eastAsia="Arial" w:hAnsi="Arial"/>
          <w:sz w:val="18"/>
          <w:szCs w:val="18"/>
          <w:color w:val="010000"/>
        </w:rPr>
        <w:t xml:space="preserve"> </w:t>
      </w:r>
      <w:r>
        <w:rPr>
          <w:rFonts w:ascii="Arial" w:cs="Arial" w:eastAsia="Arial" w:hAnsi="Arial"/>
          <w:sz w:val="18"/>
          <w:szCs w:val="18"/>
          <w:color w:val="000000"/>
        </w:rPr>
        <w:t>and restated in their entirety and superseded by, this Agreement. Nothing in this Agreement shall be deemed to be a novation of any of the Obligations as defined in the Existing Three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Three Year Credit Agreement. From and after the Closing Date, each reference to the “Agreement”, “Credit Agreement” or other reference originally applicable to the Existing Three Year Credit Agreement contained in any Loan Document or the Brazilian Intercreditor Agreement shall be a reference to this Agreement, as amended, supplemented, restated or otherwise modified from time to time.</w:t>
      </w:r>
    </w:p>
    <w:p>
      <w:pPr>
        <w:spacing w:after="0" w:line="168"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010000"/>
        </w:rPr>
        <w:t xml:space="preserve">10.20 </w:t>
      </w:r>
      <w:r>
        <w:rPr>
          <w:rFonts w:ascii="Arial" w:cs="Arial" w:eastAsia="Arial" w:hAnsi="Arial"/>
          <w:sz w:val="20"/>
          <w:szCs w:val="20"/>
          <w:color w:val="000000"/>
        </w:rPr>
        <w:t>Acknowledgement and Consent to Bail-In of</w:t>
      </w:r>
      <w:r>
        <w:rPr>
          <w:rFonts w:ascii="Arial" w:cs="Arial" w:eastAsia="Arial" w:hAnsi="Arial"/>
          <w:sz w:val="20"/>
          <w:szCs w:val="20"/>
          <w:color w:val="010000"/>
        </w:rPr>
        <w:t xml:space="preserve">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010000"/>
        </w:rPr>
        <w:t xml:space="preserve"> </w:t>
      </w:r>
      <w:r>
        <w:rPr>
          <w:rFonts w:ascii="Arial" w:cs="Arial" w:eastAsia="Arial" w:hAnsi="Arial"/>
          <w:sz w:val="20"/>
          <w:szCs w:val="20"/>
          <w:color w:val="000000"/>
        </w:rPr>
        <w:t>Financial Institutions</w:t>
      </w:r>
      <w:r>
        <w:rPr>
          <w:rFonts w:ascii="Arial" w:cs="Arial" w:eastAsia="Arial" w:hAnsi="Arial"/>
          <w:sz w:val="20"/>
          <w:szCs w:val="20"/>
          <w:color w:val="FF0000"/>
          <w:strike w:val="1"/>
        </w:rPr>
        <w:t>.</w:t>
      </w:r>
      <w:r>
        <w:rPr>
          <w:rFonts w:ascii="Arial" w:cs="Arial" w:eastAsia="Arial" w:hAnsi="Arial"/>
          <w:sz w:val="20"/>
          <w:szCs w:val="20"/>
          <w:color w:val="000000"/>
        </w:rPr>
        <w:t>. Notwithstanding anything to the</w:t>
      </w:r>
      <w:r>
        <w:rPr>
          <w:rFonts w:ascii="Arial" w:cs="Arial" w:eastAsia="Arial" w:hAnsi="Arial"/>
          <w:sz w:val="20"/>
          <w:szCs w:val="20"/>
          <w:color w:val="010000"/>
        </w:rPr>
        <w:t xml:space="preserve"> </w:t>
      </w:r>
      <w:r>
        <w:rPr>
          <w:rFonts w:ascii="Arial" w:cs="Arial" w:eastAsia="Arial" w:hAnsi="Arial"/>
          <w:sz w:val="20"/>
          <w:szCs w:val="20"/>
          <w:color w:val="000000"/>
        </w:rPr>
        <w:t>contrary in any Loan Document or in any other agreement, arrangement or</w:t>
      </w:r>
    </w:p>
    <w:p>
      <w:pPr>
        <w:sectPr>
          <w:pgSz w:w="11900" w:h="16838" w:orient="portrait"/>
          <w:cols w:equalWidth="0" w:num="1">
            <w:col w:w="11240"/>
          </w:cols>
          <w:pgMar w:left="320" w:top="568" w:right="339" w:bottom="1440" w:gutter="0" w:footer="0" w:header="0"/>
        </w:sectPr>
      </w:pPr>
    </w:p>
    <w:bookmarkStart w:id="170" w:name="page171"/>
    <w:bookmarkEnd w:id="170"/>
    <w:p>
      <w:pPr>
        <w:jc w:val="both"/>
        <w:spacing w:after="0" w:line="250" w:lineRule="auto"/>
        <w:rPr>
          <w:sz w:val="20"/>
          <w:szCs w:val="20"/>
          <w:color w:val="auto"/>
        </w:rPr>
      </w:pPr>
      <w:r>
        <w:rPr>
          <w:rFonts w:ascii="Arial" w:cs="Arial" w:eastAsia="Arial" w:hAnsi="Arial"/>
          <w:sz w:val="20"/>
          <w:szCs w:val="20"/>
          <w:color w:val="auto"/>
        </w:rPr>
        <w:t xml:space="preserve">understanding among any such parties, each party hereto acknowledges that any liability of any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 arising under any Loan Document may be subject to the write-down and conversion powers of an </w:t>
      </w:r>
      <w:r>
        <w:rPr>
          <w:rFonts w:ascii="Arial" w:cs="Arial" w:eastAsia="Arial" w:hAnsi="Arial"/>
          <w:sz w:val="20"/>
          <w:szCs w:val="20"/>
          <w:color w:val="FF0000"/>
          <w:strike w:val="1"/>
        </w:rPr>
        <w:t>EEA Resolution Authority</w:t>
      </w:r>
      <w:r>
        <w:rPr>
          <w:rFonts w:ascii="Arial" w:cs="Arial" w:eastAsia="Arial" w:hAnsi="Arial"/>
          <w:sz w:val="20"/>
          <w:szCs w:val="20"/>
          <w:u w:val="single" w:color="auto"/>
          <w:color w:val="0000FF"/>
        </w:rPr>
        <w:t>Affected Financial</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Institution</w:t>
      </w:r>
      <w:r>
        <w:rPr>
          <w:rFonts w:ascii="Arial" w:cs="Arial" w:eastAsia="Arial" w:hAnsi="Arial"/>
          <w:sz w:val="20"/>
          <w:szCs w:val="20"/>
          <w:color w:val="0000FF"/>
        </w:rPr>
        <w:t xml:space="preserve"> </w:t>
      </w:r>
      <w:r>
        <w:rPr>
          <w:rFonts w:ascii="Arial" w:cs="Arial" w:eastAsia="Arial" w:hAnsi="Arial"/>
          <w:sz w:val="20"/>
          <w:szCs w:val="20"/>
          <w:color w:val="000000"/>
        </w:rPr>
        <w:t>and agrees and consents to, and acknowledges and agrees to be bound by:</w:t>
      </w:r>
    </w:p>
    <w:p>
      <w:pPr>
        <w:spacing w:after="0" w:line="186" w:lineRule="exact"/>
        <w:rPr>
          <w:sz w:val="20"/>
          <w:szCs w:val="20"/>
          <w:color w:val="auto"/>
        </w:rPr>
      </w:pPr>
    </w:p>
    <w:p>
      <w:pPr>
        <w:ind w:firstLine="1304"/>
        <w:spacing w:after="0" w:line="287" w:lineRule="auto"/>
        <w:tabs>
          <w:tab w:leader="none" w:pos="1727"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 xml:space="preserve">the application of any Write-Down and Conversion Powers by </w:t>
      </w:r>
      <w:r>
        <w:rPr>
          <w:rFonts w:ascii="Arial" w:cs="Arial" w:eastAsia="Arial" w:hAnsi="Arial"/>
          <w:sz w:val="19"/>
          <w:szCs w:val="19"/>
          <w:color w:val="FF0000"/>
          <w:strike w:val="1"/>
        </w:rPr>
        <w:t>an EEA</w:t>
      </w:r>
      <w:r>
        <w:rPr>
          <w:rFonts w:ascii="Arial" w:cs="Arial" w:eastAsia="Arial" w:hAnsi="Arial"/>
          <w:sz w:val="19"/>
          <w:szCs w:val="19"/>
          <w:u w:val="single" w:color="auto"/>
          <w:color w:val="0000FF"/>
        </w:rPr>
        <w:t>the applicable</w:t>
      </w:r>
      <w:r>
        <w:rPr>
          <w:rFonts w:ascii="Arial" w:cs="Arial" w:eastAsia="Arial" w:hAnsi="Arial"/>
          <w:sz w:val="19"/>
          <w:szCs w:val="19"/>
          <w:color w:val="auto"/>
        </w:rPr>
        <w:t xml:space="preserve"> Resolution Authority to any such liabilities arising hereunder which may be payable to it by any party hereto that is an </w:t>
      </w:r>
      <w:r>
        <w:rPr>
          <w:rFonts w:ascii="Arial" w:cs="Arial" w:eastAsia="Arial" w:hAnsi="Arial"/>
          <w:sz w:val="19"/>
          <w:szCs w:val="19"/>
          <w:color w:val="FF0000"/>
          <w:strike w:val="1"/>
        </w:rPr>
        <w:t>EEA</w:t>
      </w:r>
      <w:r>
        <w:rPr>
          <w:rFonts w:ascii="Arial" w:cs="Arial" w:eastAsia="Arial" w:hAnsi="Arial"/>
          <w:sz w:val="19"/>
          <w:szCs w:val="19"/>
          <w:u w:val="single" w:color="auto"/>
          <w:color w:val="0000FF"/>
        </w:rPr>
        <w:t>Affected</w:t>
      </w:r>
      <w:r>
        <w:rPr>
          <w:rFonts w:ascii="Arial" w:cs="Arial" w:eastAsia="Arial" w:hAnsi="Arial"/>
          <w:sz w:val="19"/>
          <w:szCs w:val="19"/>
          <w:color w:val="auto"/>
        </w:rPr>
        <w:t xml:space="preserve"> Financial Institution; and</w:t>
      </w:r>
    </w:p>
    <w:p>
      <w:pPr>
        <w:spacing w:after="0" w:line="152" w:lineRule="exact"/>
        <w:rPr>
          <w:rFonts w:ascii="Arial" w:cs="Arial" w:eastAsia="Arial" w:hAnsi="Arial"/>
          <w:sz w:val="19"/>
          <w:szCs w:val="19"/>
          <w:color w:val="010000"/>
        </w:rPr>
      </w:pPr>
    </w:p>
    <w:p>
      <w:pPr>
        <w:ind w:left="1740" w:hanging="436"/>
        <w:spacing w:after="0"/>
        <w:tabs>
          <w:tab w:leader="none" w:pos="1740" w:val="left"/>
        </w:tabs>
        <w:numPr>
          <w:ilvl w:val="0"/>
          <w:numId w:val="128"/>
        </w:numPr>
        <w:rPr>
          <w:rFonts w:ascii="Arial" w:cs="Arial" w:eastAsia="Arial" w:hAnsi="Arial"/>
          <w:sz w:val="20"/>
          <w:szCs w:val="20"/>
          <w:color w:val="010000"/>
        </w:rPr>
      </w:pPr>
      <w:r>
        <w:rPr>
          <w:rFonts w:ascii="Arial" w:cs="Arial" w:eastAsia="Arial" w:hAnsi="Arial"/>
          <w:sz w:val="20"/>
          <w:szCs w:val="20"/>
          <w:color w:val="auto"/>
        </w:rPr>
        <w:t>the effects of any Bail-In Action on any such liability, including, if applicable:</w:t>
      </w:r>
    </w:p>
    <w:p>
      <w:pPr>
        <w:spacing w:after="0" w:line="216" w:lineRule="exact"/>
        <w:rPr>
          <w:sz w:val="20"/>
          <w:szCs w:val="20"/>
          <w:color w:val="auto"/>
        </w:rPr>
      </w:pPr>
    </w:p>
    <w:p>
      <w:pPr>
        <w:ind w:left="1680" w:hanging="376"/>
        <w:spacing w:after="0"/>
        <w:tabs>
          <w:tab w:leader="none" w:pos="1680"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010000"/>
        </w:rPr>
      </w:pPr>
    </w:p>
    <w:p>
      <w:pPr>
        <w:jc w:val="both"/>
        <w:ind w:left="660" w:firstLine="644"/>
        <w:spacing w:after="0" w:line="246" w:lineRule="auto"/>
        <w:tabs>
          <w:tab w:leader="none" w:pos="1788"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a conversion of all, or a portion of, such liability into shares or other instruments of ownership in such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010000"/>
        </w:rPr>
      </w:pPr>
    </w:p>
    <w:p>
      <w:pPr>
        <w:ind w:left="660" w:firstLine="644"/>
        <w:spacing w:after="0" w:line="260" w:lineRule="auto"/>
        <w:tabs>
          <w:tab w:leader="none" w:pos="1816"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the variation of the terms of such liability in connection with the exercise of the write-down and conversion powers of </w:t>
      </w:r>
      <w:r>
        <w:rPr>
          <w:rFonts w:ascii="Arial" w:cs="Arial" w:eastAsia="Arial" w:hAnsi="Arial"/>
          <w:sz w:val="20"/>
          <w:szCs w:val="20"/>
          <w:color w:val="FF0000"/>
          <w:strike w:val="1"/>
        </w:rPr>
        <w:t>any EEA</w:t>
      </w:r>
      <w:r>
        <w:rPr>
          <w:rFonts w:ascii="Arial" w:cs="Arial" w:eastAsia="Arial" w:hAnsi="Arial"/>
          <w:sz w:val="20"/>
          <w:szCs w:val="20"/>
          <w:u w:val="single" w:color="auto"/>
          <w:color w:val="0000FF"/>
        </w:rPr>
        <w:t>the applicable</w:t>
      </w:r>
      <w:r>
        <w:rPr>
          <w:rFonts w:ascii="Arial" w:cs="Arial" w:eastAsia="Arial" w:hAnsi="Arial"/>
          <w:sz w:val="20"/>
          <w:szCs w:val="20"/>
          <w:color w:val="FF0000"/>
        </w:rPr>
        <w:t xml:space="preserve"> </w:t>
      </w:r>
      <w:r>
        <w:rPr>
          <w:rFonts w:ascii="Arial" w:cs="Arial" w:eastAsia="Arial" w:hAnsi="Arial"/>
          <w:sz w:val="20"/>
          <w:szCs w:val="20"/>
          <w:color w:val="000000"/>
        </w:rPr>
        <w:t>Resolution Authority.</w:t>
      </w:r>
    </w:p>
    <w:p>
      <w:pPr>
        <w:spacing w:after="0" w:line="177"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u w:val="single" w:color="auto"/>
          <w:color w:val="0000FF"/>
        </w:rPr>
        <w:t>10.21 Acknowledgement Regarding Any Supported QFCs. To the extent that the Credit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26" w:lineRule="exact"/>
        <w:rPr>
          <w:sz w:val="20"/>
          <w:szCs w:val="20"/>
          <w:color w:val="auto"/>
        </w:rPr>
      </w:pPr>
    </w:p>
    <w:p>
      <w:pPr>
        <w:jc w:val="both"/>
        <w:ind w:right="240" w:firstLine="1296"/>
        <w:spacing w:after="0" w:line="304" w:lineRule="auto"/>
        <w:rPr>
          <w:sz w:val="20"/>
          <w:szCs w:val="20"/>
          <w:color w:val="auto"/>
        </w:rPr>
      </w:pPr>
      <w:r>
        <w:rPr>
          <w:rFonts w:ascii="Arial" w:cs="Arial" w:eastAsia="Arial" w:hAnsi="Arial"/>
          <w:sz w:val="16"/>
          <w:szCs w:val="16"/>
          <w:u w:val="single" w:color="auto"/>
          <w:color w:val="0000FF"/>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w:t>
      </w:r>
    </w:p>
    <w:p>
      <w:pPr>
        <w:spacing w:after="0" w:line="2"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u w:val="single" w:color="auto"/>
          <w:color w:val="0000FF"/>
        </w:rPr>
        <w:t>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ectPr>
          <w:pgSz w:w="11900" w:h="16838" w:orient="portrait"/>
          <w:cols w:equalWidth="0" w:num="1">
            <w:col w:w="11240"/>
          </w:cols>
          <w:pgMar w:left="320" w:top="568" w:right="3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sectPr>
      <w:pgSz w:w="11900" w:h="16838" w:orient="portrait"/>
      <w:cols w:equalWidth="0" w:num="1">
        <w:col w:w="9019"/>
      </w:cols>
      <w:pgMar w:left="1440" w:top="9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1)"/>
      <w:numFmt w:val="upperLetter"/>
      <w:start w:val="1"/>
    </w:lvl>
  </w:abstractNum>
  <w:abstractNum w:abstractNumId="3">
    <w:nsid w:val="4AD084E9"/>
    <w:multiLevelType w:val="hybridMultilevel"/>
    <w:lvl w:ilvl="0">
      <w:lvlJc w:val="left"/>
      <w:lvlText w:val="(%1)"/>
      <w:numFmt w:val="lowerLetter"/>
      <w:start w:val="1"/>
    </w:lvl>
  </w:abstractNum>
  <w:abstractNum w:abstractNumId="4">
    <w:nsid w:val="1F48EAA1"/>
    <w:multiLevelType w:val="hybridMultilevel"/>
    <w:lvl w:ilvl="0">
      <w:lvlJc w:val="left"/>
      <w:lvlText w:val="(%1)"/>
      <w:numFmt w:val="lowerLetter"/>
      <w:start w:val="2"/>
    </w:lvl>
  </w:abstractNum>
  <w:abstractNum w:abstractNumId="5">
    <w:nsid w:val="1381823A"/>
    <w:multiLevelType w:val="hybridMultilevel"/>
    <w:lvl w:ilvl="0">
      <w:lvlJc w:val="left"/>
      <w:lvlText w:val="(%1)"/>
      <w:numFmt w:val="lowerLetter"/>
      <w:start w:val="1"/>
    </w:lvl>
  </w:abstractNum>
  <w:abstractNum w:abstractNumId="6">
    <w:nsid w:val="5DB70AE5"/>
    <w:multiLevelType w:val="hybridMultilevel"/>
    <w:lvl w:ilvl="0">
      <w:lvlJc w:val="left"/>
      <w:lvlText w:val="%1"/>
      <w:numFmt w:val="lowerLetter"/>
      <w:start w:val="1"/>
    </w:lvl>
    <w:lvl w:ilvl="1">
      <w:lvlJc w:val="left"/>
      <w:lvlText w:val="(%2)"/>
      <w:numFmt w:val="lowerLetter"/>
      <w:start w:val="5"/>
    </w:lvl>
  </w:abstractNum>
  <w:abstractNum w:abstractNumId="7">
    <w:nsid w:val="100F8FCA"/>
    <w:multiLevelType w:val="hybridMultilevel"/>
    <w:lvl w:ilvl="0">
      <w:lvlJc w:val="left"/>
      <w:lvlText w:val="(%1)"/>
      <w:numFmt w:val="lowerLetter"/>
      <w:start w:val="35"/>
    </w:lvl>
    <w:lvl w:ilvl="1">
      <w:lvlJc w:val="left"/>
      <w:lvlText w:val="(%2)"/>
      <w:numFmt w:val="lowerLetter"/>
      <w:start w:val="6"/>
    </w:lvl>
  </w:abstractNum>
  <w:abstractNum w:abstractNumId="8">
    <w:nsid w:val="6590700B"/>
    <w:multiLevelType w:val="hybridMultilevel"/>
    <w:lvl w:ilvl="0">
      <w:lvlJc w:val="left"/>
      <w:lvlText w:val="B"/>
      <w:numFmt w:val="bullet"/>
      <w:start w:val="1"/>
    </w:lvl>
  </w:abstractNum>
  <w:abstractNum w:abstractNumId="9">
    <w:nsid w:val="15014ACB"/>
    <w:multiLevelType w:val="hybridMultilevel"/>
    <w:lvl w:ilvl="0">
      <w:lvlJc w:val="left"/>
      <w:lvlText w:val="(%1)"/>
      <w:numFmt w:val="lowerLetter"/>
      <w:start w:val="2"/>
    </w:lvl>
  </w:abstractNum>
  <w:abstractNum w:abstractNumId="10">
    <w:nsid w:val="5F5E7FD0"/>
    <w:multiLevelType w:val="hybridMultilevel"/>
    <w:lvl w:ilvl="0">
      <w:lvlJc w:val="left"/>
      <w:lvlText w:val="(%1)"/>
      <w:numFmt w:val="lowerLetter"/>
      <w:start w:val="3"/>
    </w:lvl>
  </w:abstractNum>
  <w:abstractNum w:abstractNumId="11">
    <w:nsid w:val="98A3148"/>
    <w:multiLevelType w:val="hybridMultilevel"/>
    <w:lvl w:ilvl="0">
      <w:lvlJc w:val="left"/>
      <w:lvlText w:val="(%1)"/>
      <w:numFmt w:val="lowerRoman"/>
      <w:start w:val="2"/>
    </w:lvl>
  </w:abstractNum>
  <w:abstractNum w:abstractNumId="12">
    <w:nsid w:val="799D0247"/>
    <w:multiLevelType w:val="hybridMultilevel"/>
    <w:lvl w:ilvl="0">
      <w:lvlJc w:val="left"/>
      <w:lvlText w:val="(%1)"/>
      <w:numFmt w:val="lowerLetter"/>
      <w:start w:val="6"/>
    </w:lvl>
  </w:abstractNum>
  <w:abstractNum w:abstractNumId="13">
    <w:nsid w:val="6B94764"/>
    <w:multiLevelType w:val="hybridMultilevel"/>
    <w:lvl w:ilvl="0">
      <w:lvlJc w:val="left"/>
      <w:lvlText w:val="(%1)"/>
      <w:numFmt w:val="lowerRoman"/>
      <w:start w:val="2"/>
    </w:lvl>
  </w:abstractNum>
  <w:abstractNum w:abstractNumId="14">
    <w:nsid w:val="42C296BD"/>
    <w:multiLevelType w:val="hybridMultilevel"/>
    <w:lvl w:ilvl="0">
      <w:lvlJc w:val="left"/>
      <w:lvlText w:val="(%1)"/>
      <w:numFmt w:val="upperLetter"/>
      <w:start w:val="1"/>
    </w:lvl>
  </w:abstractNum>
  <w:abstractNum w:abstractNumId="15">
    <w:nsid w:val="168E121F"/>
    <w:multiLevelType w:val="hybridMultilevel"/>
    <w:lvl w:ilvl="0">
      <w:lvlJc w:val="left"/>
      <w:lvlText w:val="(%1)"/>
      <w:numFmt w:val="lowerLetter"/>
      <w:start w:val="1"/>
    </w:lvl>
  </w:abstractNum>
  <w:abstractNum w:abstractNumId="16">
    <w:nsid w:val="1EBA5D23"/>
    <w:multiLevelType w:val="hybridMultilevel"/>
    <w:lvl w:ilvl="0">
      <w:lvlJc w:val="left"/>
      <w:lvlText w:val="(%1)"/>
      <w:numFmt w:val="lowerLetter"/>
      <w:start w:val="7"/>
    </w:lvl>
  </w:abstractNum>
  <w:abstractNum w:abstractNumId="17">
    <w:nsid w:val="661E3F1E"/>
    <w:multiLevelType w:val="hybridMultilevel"/>
    <w:lvl w:ilvl="0">
      <w:lvlJc w:val="left"/>
      <w:lvlText w:val="%1"/>
      <w:numFmt w:val="upperLetter"/>
      <w:start w:val="1"/>
    </w:lvl>
    <w:lvl w:ilvl="1">
      <w:lvlJc w:val="left"/>
      <w:lvlText w:val="(%2)"/>
      <w:numFmt w:val="lowerLetter"/>
      <w:start w:val="14"/>
    </w:lvl>
  </w:abstractNum>
  <w:abstractNum w:abstractNumId="18">
    <w:nsid w:val="5DC79EA8"/>
    <w:multiLevelType w:val="hybridMultilevel"/>
    <w:lvl w:ilvl="0">
      <w:lvlJc w:val="left"/>
      <w:lvlText w:val="(%1)"/>
      <w:numFmt w:val="upperLetter"/>
      <w:start w:val="1"/>
    </w:lvl>
    <w:lvl w:ilvl="1">
      <w:lvlJc w:val="left"/>
      <w:lvlText w:val="(%2)"/>
      <w:numFmt w:val="lowerLetter"/>
      <w:start w:val="18"/>
    </w:lvl>
  </w:abstractNum>
  <w:abstractNum w:abstractNumId="19">
    <w:nsid w:val="540A471C"/>
    <w:multiLevelType w:val="hybridMultilevel"/>
    <w:lvl w:ilvl="0">
      <w:lvlJc w:val="left"/>
      <w:lvlText w:val="(%1)"/>
      <w:numFmt w:val="lowerLetter"/>
      <w:start w:val="25"/>
    </w:lvl>
  </w:abstractNum>
  <w:abstractNum w:abstractNumId="20">
    <w:nsid w:val="7BD3EE7B"/>
    <w:multiLevelType w:val="hybridMultilevel"/>
    <w:lvl w:ilvl="0">
      <w:lvlJc w:val="left"/>
      <w:lvlText w:val="(%1)"/>
      <w:numFmt w:val="lowerLetter"/>
      <w:start w:val="2"/>
    </w:lvl>
  </w:abstractNum>
  <w:abstractNum w:abstractNumId="21">
    <w:nsid w:val="51D9C564"/>
    <w:multiLevelType w:val="hybridMultilevel"/>
    <w:lvl w:ilvl="0">
      <w:lvlJc w:val="left"/>
      <w:lvlText w:val="(%1)"/>
      <w:numFmt w:val="lowerLetter"/>
      <w:start w:val="3"/>
    </w:lvl>
  </w:abstractNum>
  <w:abstractNum w:abstractNumId="22">
    <w:nsid w:val="613EFDC5"/>
    <w:multiLevelType w:val="hybridMultilevel"/>
    <w:lvl w:ilvl="0">
      <w:lvlJc w:val="left"/>
      <w:lvlText w:val="(%1)"/>
      <w:numFmt w:val="lowerLetter"/>
      <w:start w:val="1"/>
    </w:lvl>
  </w:abstractNum>
  <w:abstractNum w:abstractNumId="23">
    <w:nsid w:val="BF72B14"/>
    <w:multiLevelType w:val="hybridMultilevel"/>
    <w:lvl w:ilvl="0">
      <w:lvlJc w:val="left"/>
      <w:lvlText w:val="(%1)"/>
      <w:numFmt w:val="lowerRoman"/>
      <w:start w:val="3"/>
    </w:lvl>
  </w:abstractNum>
  <w:abstractNum w:abstractNumId="24">
    <w:nsid w:val="11447B73"/>
    <w:multiLevelType w:val="hybridMultilevel"/>
    <w:lvl w:ilvl="0">
      <w:lvlJc w:val="left"/>
      <w:lvlText w:val="(%1)"/>
      <w:numFmt w:val="lowerLetter"/>
      <w:start w:val="2"/>
    </w:lvl>
  </w:abstractNum>
  <w:abstractNum w:abstractNumId="25">
    <w:nsid w:val="42963E5A"/>
    <w:multiLevelType w:val="hybridMultilevel"/>
    <w:lvl w:ilvl="0">
      <w:lvlJc w:val="left"/>
      <w:lvlText w:val="(%1)"/>
      <w:numFmt w:val="lowerLetter"/>
      <w:start w:val="2"/>
    </w:lvl>
  </w:abstractNum>
  <w:abstractNum w:abstractNumId="26">
    <w:nsid w:val="A0382C5"/>
    <w:multiLevelType w:val="hybridMultilevel"/>
    <w:lvl w:ilvl="0">
      <w:lvlJc w:val="left"/>
      <w:lvlText w:val="(%1)"/>
      <w:numFmt w:val="lowerRoman"/>
      <w:start w:val="1"/>
    </w:lvl>
  </w:abstractNum>
  <w:abstractNum w:abstractNumId="27">
    <w:nsid w:val="8F2B15E"/>
    <w:multiLevelType w:val="hybridMultilevel"/>
    <w:lvl w:ilvl="0">
      <w:lvlJc w:val="left"/>
      <w:lvlText w:val="(%1)"/>
      <w:numFmt w:val="lowerLetter"/>
      <w:start w:val="2"/>
    </w:lvl>
  </w:abstractNum>
  <w:abstractNum w:abstractNumId="28">
    <w:nsid w:val="1A32234B"/>
    <w:multiLevelType w:val="hybridMultilevel"/>
    <w:lvl w:ilvl="0">
      <w:lvlJc w:val="left"/>
      <w:lvlText w:val="(%1)"/>
      <w:numFmt w:val="lowerLetter"/>
      <w:start w:val="2"/>
    </w:lvl>
  </w:abstractNum>
  <w:abstractNum w:abstractNumId="29">
    <w:nsid w:val="3B0FD379"/>
    <w:multiLevelType w:val="hybridMultilevel"/>
    <w:lvl w:ilvl="0">
      <w:lvlJc w:val="left"/>
      <w:lvlText w:val="(%1)"/>
      <w:numFmt w:val="upperLetter"/>
      <w:start w:val="2"/>
    </w:lvl>
    <w:lvl w:ilvl="1">
      <w:lvlJc w:val="left"/>
      <w:lvlText w:val="(%2)"/>
      <w:numFmt w:val="lowerRoman"/>
      <w:start w:val="2"/>
    </w:lvl>
  </w:abstractNum>
  <w:abstractNum w:abstractNumId="30">
    <w:nsid w:val="68EB2F63"/>
    <w:multiLevelType w:val="hybridMultilevel"/>
    <w:lvl w:ilvl="0">
      <w:lvlJc w:val="left"/>
      <w:lvlText w:val="(%1)"/>
      <w:numFmt w:val="lowerLetter"/>
      <w:start w:val="2"/>
    </w:lvl>
  </w:abstractNum>
  <w:abstractNum w:abstractNumId="31">
    <w:nsid w:val="4962813B"/>
    <w:multiLevelType w:val="hybridMultilevel"/>
    <w:lvl w:ilvl="0">
      <w:lvlJc w:val="left"/>
      <w:lvlText w:val="(%1)"/>
      <w:numFmt w:val="lowerLetter"/>
      <w:start w:val="4"/>
    </w:lvl>
  </w:abstractNum>
  <w:abstractNum w:abstractNumId="32">
    <w:nsid w:val="60B6DF70"/>
    <w:multiLevelType w:val="hybridMultilevel"/>
    <w:lvl w:ilvl="0">
      <w:lvlJc w:val="left"/>
      <w:lvlText w:val="(%1)"/>
      <w:numFmt w:val="lowerLetter"/>
      <w:start w:val="6"/>
    </w:lvl>
  </w:abstractNum>
  <w:abstractNum w:abstractNumId="33">
    <w:nsid w:val="6A5EE64"/>
    <w:multiLevelType w:val="hybridMultilevel"/>
    <w:lvl w:ilvl="0">
      <w:lvlJc w:val="left"/>
      <w:lvlText w:val="(%1)"/>
      <w:numFmt w:val="lowerLetter"/>
      <w:start w:val="2"/>
    </w:lvl>
  </w:abstractNum>
  <w:abstractNum w:abstractNumId="34">
    <w:nsid w:val="14330624"/>
    <w:multiLevelType w:val="hybridMultilevel"/>
    <w:lvl w:ilvl="0">
      <w:lvlJc w:val="left"/>
      <w:lvlText w:val="(%1)"/>
      <w:numFmt w:val="lowerLetter"/>
      <w:start w:val="4"/>
    </w:lvl>
  </w:abstractNum>
  <w:abstractNum w:abstractNumId="35">
    <w:nsid w:val="7FFFCA11"/>
    <w:multiLevelType w:val="hybridMultilevel"/>
    <w:lvl w:ilvl="0">
      <w:lvlJc w:val="left"/>
      <w:lvlText w:val="(%1)"/>
      <w:numFmt w:val="lowerLetter"/>
      <w:start w:val="1"/>
    </w:lvl>
  </w:abstractNum>
  <w:abstractNum w:abstractNumId="36">
    <w:nsid w:val="1A27709E"/>
    <w:multiLevelType w:val="hybridMultilevel"/>
    <w:lvl w:ilvl="0">
      <w:lvlJc w:val="left"/>
      <w:lvlText w:val="%1"/>
      <w:numFmt w:val="lowerLetter"/>
      <w:start w:val="1"/>
    </w:lvl>
    <w:lvl w:ilvl="1">
      <w:lvlJc w:val="left"/>
      <w:lvlText w:val="(%2)"/>
      <w:numFmt w:val="lowerLetter"/>
      <w:start w:val="3"/>
    </w:lvl>
  </w:abstractNum>
  <w:abstractNum w:abstractNumId="37">
    <w:nsid w:val="71EA1109"/>
    <w:multiLevelType w:val="hybridMultilevel"/>
    <w:lvl w:ilvl="0">
      <w:lvlJc w:val="left"/>
      <w:lvlText w:val="(%1)"/>
      <w:numFmt w:val="lowerLetter"/>
      <w:start w:val="3"/>
    </w:lvl>
    <w:lvl w:ilvl="1">
      <w:lvlJc w:val="left"/>
      <w:lvlText w:val="%2"/>
      <w:numFmt w:val="lowerLetter"/>
      <w:start w:val="1"/>
    </w:lvl>
  </w:abstractNum>
  <w:abstractNum w:abstractNumId="38">
    <w:nsid w:val="100F59DC"/>
    <w:multiLevelType w:val="hybridMultilevel"/>
    <w:lvl w:ilvl="0">
      <w:lvlJc w:val="left"/>
      <w:lvlText w:val="(%1)"/>
      <w:numFmt w:val="lowerLetter"/>
      <w:start w:val="4"/>
    </w:lvl>
  </w:abstractNum>
  <w:abstractNum w:abstractNumId="39">
    <w:nsid w:val="7FB7E0AA"/>
    <w:multiLevelType w:val="hybridMultilevel"/>
    <w:lvl w:ilvl="0">
      <w:lvlJc w:val="left"/>
      <w:lvlText w:val="(%1)"/>
      <w:numFmt w:val="lowerLetter"/>
      <w:start w:val="2"/>
    </w:lvl>
  </w:abstractNum>
  <w:abstractNum w:abstractNumId="40">
    <w:nsid w:val="6EB5BD4"/>
    <w:multiLevelType w:val="hybridMultilevel"/>
    <w:lvl w:ilvl="0">
      <w:lvlJc w:val="left"/>
      <w:lvlText w:val="(%1)"/>
      <w:numFmt w:val="lowerLetter"/>
      <w:start w:val="2"/>
    </w:lvl>
  </w:abstractNum>
  <w:abstractNum w:abstractNumId="41">
    <w:nsid w:val="6F6DD9AC"/>
    <w:multiLevelType w:val="hybridMultilevel"/>
    <w:lvl w:ilvl="0">
      <w:lvlJc w:val="left"/>
      <w:lvlText w:val="(%1)"/>
      <w:numFmt w:val="lowerLetter"/>
      <w:start w:val="2"/>
    </w:lvl>
  </w:abstractNum>
  <w:abstractNum w:abstractNumId="42">
    <w:nsid w:val="94211F2"/>
    <w:multiLevelType w:val="hybridMultilevel"/>
    <w:lvl w:ilvl="0">
      <w:lvlJc w:val="left"/>
      <w:lvlText w:val="(%1)"/>
      <w:numFmt w:val="lowerLetter"/>
      <w:start w:val="2"/>
    </w:lvl>
  </w:abstractNum>
  <w:abstractNum w:abstractNumId="43">
    <w:nsid w:val="885E1B"/>
    <w:multiLevelType w:val="hybridMultilevel"/>
    <w:lvl w:ilvl="0">
      <w:lvlJc w:val="left"/>
      <w:lvlText w:val="(%1)"/>
      <w:numFmt w:val="lowerRoman"/>
      <w:start w:val="1"/>
    </w:lvl>
  </w:abstractNum>
  <w:abstractNum w:abstractNumId="44">
    <w:nsid w:val="76272110"/>
    <w:multiLevelType w:val="hybridMultilevel"/>
    <w:lvl w:ilvl="0">
      <w:lvlJc w:val="left"/>
      <w:lvlText w:val="(%1)"/>
      <w:numFmt w:val="lowerLetter"/>
      <w:start w:val="2"/>
    </w:lvl>
  </w:abstractNum>
  <w:abstractNum w:abstractNumId="45">
    <w:nsid w:val="4C04A8AF"/>
    <w:multiLevelType w:val="hybridMultilevel"/>
    <w:lvl w:ilvl="0">
      <w:lvlJc w:val="left"/>
      <w:lvlText w:val="(%1)"/>
      <w:numFmt w:val="lowerLetter"/>
      <w:start w:val="2"/>
    </w:lvl>
  </w:abstractNum>
  <w:abstractNum w:abstractNumId="46">
    <w:nsid w:val="1716703B"/>
    <w:multiLevelType w:val="hybridMultilevel"/>
    <w:lvl w:ilvl="0">
      <w:lvlJc w:val="left"/>
      <w:lvlText w:val="(%1)"/>
      <w:numFmt w:val="lowerLetter"/>
      <w:start w:val="5"/>
    </w:lvl>
  </w:abstractNum>
  <w:abstractNum w:abstractNumId="47">
    <w:nsid w:val="14E17E33"/>
    <w:multiLevelType w:val="hybridMultilevel"/>
    <w:lvl w:ilvl="0">
      <w:lvlJc w:val="left"/>
      <w:lvlText w:val="(%1)"/>
      <w:numFmt w:val="lowerLetter"/>
      <w:start w:val="1"/>
    </w:lvl>
  </w:abstractNum>
  <w:abstractNum w:abstractNumId="48">
    <w:nsid w:val="3222E7CD"/>
    <w:multiLevelType w:val="hybridMultilevel"/>
    <w:lvl w:ilvl="0">
      <w:lvlJc w:val="left"/>
      <w:lvlText w:val="(%1)"/>
      <w:numFmt w:val="lowerRoman"/>
      <w:start w:val="1"/>
    </w:lvl>
  </w:abstractNum>
  <w:abstractNum w:abstractNumId="49">
    <w:nsid w:val="74DE0EE3"/>
    <w:multiLevelType w:val="hybridMultilevel"/>
    <w:lvl w:ilvl="0">
      <w:lvlJc w:val="left"/>
      <w:lvlText w:val="(%1)"/>
      <w:numFmt w:val="lowerLetter"/>
      <w:start w:val="2"/>
    </w:lvl>
  </w:abstractNum>
  <w:abstractNum w:abstractNumId="50">
    <w:nsid w:val="68EBC550"/>
    <w:multiLevelType w:val="hybridMultilevel"/>
    <w:lvl w:ilvl="0">
      <w:lvlJc w:val="left"/>
      <w:lvlText w:val="(%1)"/>
      <w:numFmt w:val="lowerLetter"/>
      <w:start w:val="2"/>
    </w:lvl>
  </w:abstractNum>
  <w:abstractNum w:abstractNumId="51">
    <w:nsid w:val="2DF6D648"/>
    <w:multiLevelType w:val="hybridMultilevel"/>
    <w:lvl w:ilvl="0">
      <w:lvlJc w:val="left"/>
      <w:lvlText w:val="(%1)"/>
      <w:numFmt w:val="lowerLetter"/>
      <w:start w:val="3"/>
    </w:lvl>
  </w:abstractNum>
  <w:abstractNum w:abstractNumId="52">
    <w:nsid w:val="46B7D447"/>
    <w:multiLevelType w:val="hybridMultilevel"/>
    <w:lvl w:ilvl="0">
      <w:lvlJc w:val="left"/>
      <w:lvlText w:val="(%1)"/>
      <w:numFmt w:val="lowerLetter"/>
      <w:start w:val="4"/>
    </w:lvl>
  </w:abstractNum>
  <w:abstractNum w:abstractNumId="53">
    <w:nsid w:val="4A2AC315"/>
    <w:multiLevelType w:val="hybridMultilevel"/>
    <w:lvl w:ilvl="0">
      <w:lvlJc w:val="left"/>
      <w:lvlText w:val="(%1)"/>
      <w:numFmt w:val="lowerRoman"/>
      <w:start w:val="1"/>
    </w:lvl>
    <w:lvl w:ilvl="1">
      <w:lvlJc w:val="left"/>
      <w:lvlText w:val="(%2)"/>
      <w:numFmt w:val="upperLetter"/>
      <w:start w:val="2"/>
    </w:lvl>
  </w:abstractNum>
  <w:abstractNum w:abstractNumId="54">
    <w:nsid w:val="39EE015C"/>
    <w:multiLevelType w:val="hybridMultilevel"/>
    <w:lvl w:ilvl="0">
      <w:lvlJc w:val="left"/>
      <w:lvlText w:val="(%1)"/>
      <w:numFmt w:val="lowerRoman"/>
      <w:start w:val="3"/>
    </w:lvl>
    <w:lvl w:ilvl="1">
      <w:lvlJc w:val="left"/>
      <w:lvlText w:val="%2"/>
      <w:numFmt w:val="upperLetter"/>
      <w:start w:val="1"/>
    </w:lvl>
  </w:abstractNum>
  <w:abstractNum w:abstractNumId="55">
    <w:nsid w:val="57FC4FBB"/>
    <w:multiLevelType w:val="hybridMultilevel"/>
    <w:lvl w:ilvl="0">
      <w:lvlJc w:val="left"/>
      <w:lvlText w:val="(%1)"/>
      <w:numFmt w:val="lowerRoman"/>
      <w:start w:val="5"/>
    </w:lvl>
    <w:lvl w:ilvl="1">
      <w:lvlJc w:val="left"/>
      <w:lvlText w:val="(%2)"/>
      <w:numFmt w:val="upperLetter"/>
      <w:start w:val="1"/>
    </w:lvl>
  </w:abstractNum>
  <w:abstractNum w:abstractNumId="56">
    <w:nsid w:val="CC1016F"/>
    <w:multiLevelType w:val="hybridMultilevel"/>
    <w:lvl w:ilvl="0">
      <w:lvlJc w:val="left"/>
      <w:lvlText w:val="(%1)"/>
      <w:numFmt w:val="lowerRoman"/>
      <w:start w:val="6"/>
    </w:lvl>
  </w:abstractNum>
  <w:abstractNum w:abstractNumId="57">
    <w:nsid w:val="43F18422"/>
    <w:multiLevelType w:val="hybridMultilevel"/>
    <w:lvl w:ilvl="0">
      <w:lvlJc w:val="left"/>
      <w:lvlText w:val="(%1)"/>
      <w:numFmt w:val="lowerLetter"/>
      <w:start w:val="1"/>
    </w:lvl>
  </w:abstractNum>
  <w:abstractNum w:abstractNumId="58">
    <w:nsid w:val="60EF0119"/>
    <w:multiLevelType w:val="hybridMultilevel"/>
    <w:lvl w:ilvl="0">
      <w:lvlJc w:val="left"/>
      <w:lvlText w:val="(%1)"/>
      <w:numFmt w:val="lowerLetter"/>
      <w:start w:val="2"/>
    </w:lvl>
  </w:abstractNum>
  <w:abstractNum w:abstractNumId="59">
    <w:nsid w:val="26F324BA"/>
    <w:multiLevelType w:val="hybridMultilevel"/>
    <w:lvl w:ilvl="0">
      <w:lvlJc w:val="left"/>
      <w:lvlText w:val="(%1)"/>
      <w:numFmt w:val="lowerLetter"/>
      <w:start w:val="61"/>
    </w:lvl>
    <w:lvl w:ilvl="1">
      <w:lvlJc w:val="left"/>
      <w:lvlText w:val="(%2)"/>
      <w:numFmt w:val="lowerLetter"/>
      <w:start w:val="3"/>
    </w:lvl>
  </w:abstractNum>
  <w:abstractNum w:abstractNumId="60">
    <w:nsid w:val="7F01579B"/>
    <w:multiLevelType w:val="hybridMultilevel"/>
    <w:lvl w:ilvl="0">
      <w:lvlJc w:val="left"/>
      <w:lvlText w:val="(%1)"/>
      <w:numFmt w:val="lowerRoman"/>
      <w:start w:val="1"/>
    </w:lvl>
  </w:abstractNum>
  <w:abstractNum w:abstractNumId="61">
    <w:nsid w:val="49DA307D"/>
    <w:multiLevelType w:val="hybridMultilevel"/>
    <w:lvl w:ilvl="0">
      <w:lvlJc w:val="left"/>
      <w:lvlText w:val="(%1)"/>
      <w:numFmt w:val="lowerLetter"/>
      <w:start w:val="4"/>
    </w:lvl>
  </w:abstractNum>
  <w:abstractNum w:abstractNumId="62">
    <w:nsid w:val="7055A5F5"/>
    <w:multiLevelType w:val="hybridMultilevel"/>
    <w:lvl w:ilvl="0">
      <w:lvlJc w:val="left"/>
      <w:lvlText w:val="(%1)"/>
      <w:numFmt w:val="lowerLetter"/>
      <w:start w:val="2"/>
    </w:lvl>
  </w:abstractNum>
  <w:abstractNum w:abstractNumId="63">
    <w:nsid w:val="5FB8370B"/>
    <w:multiLevelType w:val="hybridMultilevel"/>
    <w:lvl w:ilvl="0">
      <w:lvlJc w:val="left"/>
      <w:lvlText w:val="(%1)"/>
      <w:numFmt w:val="lowerLetter"/>
      <w:start w:val="2"/>
    </w:lvl>
  </w:abstractNum>
  <w:abstractNum w:abstractNumId="64">
    <w:nsid w:val="50801EE1"/>
    <w:multiLevelType w:val="hybridMultilevel"/>
    <w:lvl w:ilvl="0">
      <w:lvlJc w:val="left"/>
      <w:lvlText w:val="(%1)"/>
      <w:numFmt w:val="lowerLetter"/>
      <w:start w:val="2"/>
    </w:lvl>
  </w:abstractNum>
  <w:abstractNum w:abstractNumId="65">
    <w:nsid w:val="488AC1A"/>
    <w:multiLevelType w:val="hybridMultilevel"/>
    <w:lvl w:ilvl="0">
      <w:lvlJc w:val="left"/>
      <w:lvlText w:val="(%1)"/>
      <w:numFmt w:val="lowerLetter"/>
      <w:start w:val="2"/>
    </w:lvl>
  </w:abstractNum>
  <w:abstractNum w:abstractNumId="66">
    <w:nsid w:val="5FB8011C"/>
    <w:multiLevelType w:val="hybridMultilevel"/>
    <w:lvl w:ilvl="0">
      <w:lvlJc w:val="left"/>
      <w:lvlText w:val="(%1)"/>
      <w:numFmt w:val="lowerRoman"/>
      <w:start w:val="1"/>
    </w:lvl>
    <w:lvl w:ilvl="1">
      <w:lvlJc w:val="left"/>
      <w:lvlText w:val="(%2)"/>
      <w:numFmt w:val="upperLetter"/>
      <w:start w:val="1"/>
    </w:lvl>
  </w:abstractNum>
  <w:abstractNum w:abstractNumId="67">
    <w:nsid w:val="6AA78F7F"/>
    <w:multiLevelType w:val="hybridMultilevel"/>
    <w:lvl w:ilvl="0">
      <w:lvlJc w:val="left"/>
      <w:lvlText w:val="%1"/>
      <w:numFmt w:val="lowerRoman"/>
      <w:start w:val="1"/>
    </w:lvl>
    <w:lvl w:ilvl="1">
      <w:lvlJc w:val="left"/>
      <w:lvlText w:val="(%2)"/>
      <w:numFmt w:val="upperLetter"/>
      <w:start w:val="2"/>
    </w:lvl>
  </w:abstractNum>
  <w:abstractNum w:abstractNumId="68">
    <w:nsid w:val="7672BD23"/>
    <w:multiLevelType w:val="hybridMultilevel"/>
    <w:lvl w:ilvl="0">
      <w:lvlJc w:val="left"/>
      <w:lvlText w:val="(%1)"/>
      <w:numFmt w:val="lowerRoman"/>
      <w:start w:val="2"/>
    </w:lvl>
    <w:lvl w:ilvl="1">
      <w:lvlJc w:val="left"/>
      <w:lvlText w:val="%2"/>
      <w:numFmt w:val="upperLetter"/>
      <w:start w:val="1"/>
    </w:lvl>
  </w:abstractNum>
  <w:abstractNum w:abstractNumId="69">
    <w:nsid w:val="6FC75AF8"/>
    <w:multiLevelType w:val="hybridMultilevel"/>
    <w:lvl w:ilvl="0">
      <w:lvlJc w:val="left"/>
      <w:lvlText w:val="(%1)"/>
      <w:numFmt w:val="lowerLetter"/>
      <w:start w:val="3"/>
    </w:lvl>
  </w:abstractNum>
  <w:abstractNum w:abstractNumId="70">
    <w:nsid w:val="6A5F7029"/>
    <w:multiLevelType w:val="hybridMultilevel"/>
    <w:lvl w:ilvl="0">
      <w:lvlJc w:val="left"/>
      <w:lvlText w:val="(%1)"/>
      <w:numFmt w:val="lowerRoman"/>
      <w:start w:val="2"/>
    </w:lvl>
  </w:abstractNum>
  <w:abstractNum w:abstractNumId="71">
    <w:nsid w:val="7D5E18F8"/>
    <w:multiLevelType w:val="hybridMultilevel"/>
    <w:lvl w:ilvl="0">
      <w:lvlJc w:val="left"/>
      <w:lvlText w:val="(%1)"/>
      <w:numFmt w:val="lowerLetter"/>
      <w:start w:val="4"/>
    </w:lvl>
  </w:abstractNum>
  <w:abstractNum w:abstractNumId="72">
    <w:nsid w:val="5F3534A4"/>
    <w:multiLevelType w:val="hybridMultilevel"/>
    <w:lvl w:ilvl="0">
      <w:lvlJc w:val="left"/>
      <w:lvlText w:val="(%1)"/>
      <w:numFmt w:val="lowerRoman"/>
      <w:start w:val="2"/>
    </w:lvl>
  </w:abstractNum>
  <w:abstractNum w:abstractNumId="73">
    <w:nsid w:val="73A1821B"/>
    <w:multiLevelType w:val="hybridMultilevel"/>
    <w:lvl w:ilvl="0">
      <w:lvlJc w:val="left"/>
      <w:lvlText w:val="(%1)"/>
      <w:numFmt w:val="lowerLetter"/>
      <w:start w:val="5"/>
    </w:lvl>
  </w:abstractNum>
  <w:abstractNum w:abstractNumId="74">
    <w:nsid w:val="7DE67713"/>
    <w:multiLevelType w:val="hybridMultilevel"/>
    <w:lvl w:ilvl="0">
      <w:lvlJc w:val="left"/>
      <w:lvlText w:val="(%1)"/>
      <w:numFmt w:val="lowerRoman"/>
      <w:start w:val="2"/>
    </w:lvl>
    <w:lvl w:ilvl="1">
      <w:lvlJc w:val="left"/>
      <w:lvlText w:val="(%2)"/>
      <w:numFmt w:val="upperLetter"/>
      <w:start w:val="1"/>
    </w:lvl>
  </w:abstractNum>
  <w:abstractNum w:abstractNumId="75">
    <w:nsid w:val="555C55B5"/>
    <w:multiLevelType w:val="hybridMultilevel"/>
    <w:lvl w:ilvl="0">
      <w:lvlJc w:val="left"/>
      <w:lvlText w:val="%1"/>
      <w:numFmt w:val="lowerLetter"/>
      <w:start w:val="1"/>
    </w:lvl>
    <w:lvl w:ilvl="1">
      <w:lvlJc w:val="left"/>
      <w:lvlText w:val="(%2)"/>
      <w:numFmt w:val="upperLetter"/>
      <w:start w:val="2"/>
    </w:lvl>
  </w:abstractNum>
  <w:abstractNum w:abstractNumId="76">
    <w:nsid w:val="3FA62ACA"/>
    <w:multiLevelType w:val="hybridMultilevel"/>
    <w:lvl w:ilvl="0">
      <w:lvlJc w:val="left"/>
      <w:lvlText w:val="(%1)"/>
      <w:numFmt w:val="lowerLetter"/>
      <w:start w:val="6"/>
    </w:lvl>
    <w:lvl w:ilvl="1">
      <w:lvlJc w:val="left"/>
      <w:lvlText w:val="(%2)"/>
      <w:numFmt w:val="upperLetter"/>
      <w:start w:val="1"/>
    </w:lvl>
  </w:abstractNum>
  <w:abstractNum w:abstractNumId="77">
    <w:nsid w:val="14FCE74E"/>
    <w:multiLevelType w:val="hybridMultilevel"/>
    <w:lvl w:ilvl="0">
      <w:lvlJc w:val="left"/>
      <w:lvlText w:val="(%1)"/>
      <w:numFmt w:val="lowerLetter"/>
      <w:start w:val="10"/>
    </w:lvl>
  </w:abstractNum>
  <w:abstractNum w:abstractNumId="78">
    <w:nsid w:val="6A3DD3E8"/>
    <w:multiLevelType w:val="hybridMultilevel"/>
    <w:lvl w:ilvl="0">
      <w:lvlJc w:val="left"/>
      <w:lvlText w:val="(%1)"/>
      <w:numFmt w:val="upperLetter"/>
      <w:start w:val="2"/>
    </w:lvl>
  </w:abstractNum>
  <w:abstractNum w:abstractNumId="79">
    <w:nsid w:val="71C91298"/>
    <w:multiLevelType w:val="hybridMultilevel"/>
    <w:lvl w:ilvl="0">
      <w:lvlJc w:val="left"/>
      <w:lvlText w:val="(%1)"/>
      <w:numFmt w:val="lowerLetter"/>
      <w:start w:val="2"/>
    </w:lvl>
  </w:abstractNum>
  <w:abstractNum w:abstractNumId="80">
    <w:nsid w:val="9DAF632"/>
    <w:multiLevelType w:val="hybridMultilevel"/>
    <w:lvl w:ilvl="0">
      <w:lvlJc w:val="left"/>
      <w:lvlText w:val="(%1)"/>
      <w:numFmt w:val="lowerLetter"/>
      <w:start w:val="2"/>
    </w:lvl>
  </w:abstractNum>
  <w:abstractNum w:abstractNumId="81">
    <w:nsid w:val="53299938"/>
    <w:multiLevelType w:val="hybridMultilevel"/>
    <w:lvl w:ilvl="0">
      <w:lvlJc w:val="left"/>
      <w:lvlText w:val="(%1)"/>
      <w:numFmt w:val="lowerLetter"/>
      <w:start w:val="2"/>
    </w:lvl>
  </w:abstractNum>
  <w:abstractNum w:abstractNumId="82">
    <w:nsid w:val="1FBFE8E0"/>
    <w:multiLevelType w:val="hybridMultilevel"/>
    <w:lvl w:ilvl="0">
      <w:lvlJc w:val="left"/>
      <w:lvlText w:val="(%1)"/>
      <w:numFmt w:val="lowerLetter"/>
      <w:start w:val="3"/>
    </w:lvl>
  </w:abstractNum>
  <w:abstractNum w:abstractNumId="83">
    <w:nsid w:val="5092CA79"/>
    <w:multiLevelType w:val="hybridMultilevel"/>
    <w:lvl w:ilvl="0">
      <w:lvlJc w:val="left"/>
      <w:lvlText w:val="(%1)"/>
      <w:numFmt w:val="lowerLetter"/>
      <w:start w:val="2"/>
    </w:lvl>
  </w:abstractNum>
  <w:abstractNum w:abstractNumId="84">
    <w:nsid w:val="1D545C4D"/>
    <w:multiLevelType w:val="hybridMultilevel"/>
    <w:lvl w:ilvl="0">
      <w:lvlJc w:val="left"/>
      <w:lvlText w:val="(%1)"/>
      <w:numFmt w:val="lowerLetter"/>
      <w:start w:val="2"/>
    </w:lvl>
  </w:abstractNum>
  <w:abstractNum w:abstractNumId="85">
    <w:nsid w:val="59ADEA3D"/>
    <w:multiLevelType w:val="hybridMultilevel"/>
    <w:lvl w:ilvl="0">
      <w:lvlJc w:val="left"/>
      <w:lvlText w:val="(%1)"/>
      <w:numFmt w:val="lowerLetter"/>
      <w:start w:val="2"/>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1"/>
    </w:lvl>
  </w:abstractNum>
  <w:abstractNum w:abstractNumId="88">
    <w:nsid w:val="1D9F6E5F"/>
    <w:multiLevelType w:val="hybridMultilevel"/>
    <w:lvl w:ilvl="0">
      <w:lvlJc w:val="left"/>
      <w:lvlText w:val="(%1)"/>
      <w:numFmt w:val="lowerLetter"/>
      <w:start w:val="2"/>
    </w:lvl>
  </w:abstractNum>
  <w:abstractNum w:abstractNumId="89">
    <w:nsid w:val="97E1B4E"/>
    <w:multiLevelType w:val="hybridMultilevel"/>
    <w:lvl w:ilvl="0">
      <w:lvlJc w:val="left"/>
      <w:lvlText w:val="(%1)"/>
      <w:numFmt w:val="lowerLetter"/>
      <w:start w:val="3"/>
    </w:lvl>
  </w:abstractNum>
  <w:abstractNum w:abstractNumId="90">
    <w:nsid w:val="51088277"/>
    <w:multiLevelType w:val="hybridMultilevel"/>
    <w:lvl w:ilvl="0">
      <w:lvlJc w:val="left"/>
      <w:lvlText w:val="(%1)"/>
      <w:numFmt w:val="lowerLetter"/>
      <w:start w:val="1"/>
    </w:lvl>
  </w:abstractNum>
  <w:abstractNum w:abstractNumId="91">
    <w:nsid w:val="1CA0C5FA"/>
    <w:multiLevelType w:val="hybridMultilevel"/>
    <w:lvl w:ilvl="0">
      <w:lvlJc w:val="left"/>
      <w:lvlText w:val="(%1)"/>
      <w:numFmt w:val="lowerLetter"/>
      <w:start w:val="2"/>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lowerLetter"/>
      <w:start w:val="1"/>
    </w:lvl>
  </w:abstractNum>
  <w:abstractNum w:abstractNumId="94">
    <w:nsid w:val="7C58FD05"/>
    <w:multiLevelType w:val="hybridMultilevel"/>
    <w:lvl w:ilvl="0">
      <w:lvlJc w:val="left"/>
      <w:lvlText w:val="(%1)"/>
      <w:numFmt w:val="lowerLetter"/>
      <w:start w:val="1"/>
    </w:lvl>
  </w:abstractNum>
  <w:abstractNum w:abstractNumId="95">
    <w:nsid w:val="23D86AAC"/>
    <w:multiLevelType w:val="hybridMultilevel"/>
    <w:lvl w:ilvl="0">
      <w:lvlJc w:val="left"/>
      <w:lvlText w:val="(%1)"/>
      <w:numFmt w:val="lowerLetter"/>
      <w:start w:val="2"/>
    </w:lvl>
  </w:abstractNum>
  <w:abstractNum w:abstractNumId="96">
    <w:nsid w:val="45E6D486"/>
    <w:multiLevelType w:val="hybridMultilevel"/>
    <w:lvl w:ilvl="0">
      <w:lvlJc w:val="left"/>
      <w:lvlText w:val="(%1)"/>
      <w:numFmt w:val="lowerLetter"/>
      <w:start w:val="8"/>
    </w:lvl>
  </w:abstractNum>
  <w:abstractNum w:abstractNumId="97">
    <w:nsid w:val="5C10FE21"/>
    <w:multiLevelType w:val="hybridMultilevel"/>
    <w:lvl w:ilvl="0">
      <w:lvlJc w:val="left"/>
      <w:lvlText w:val="(%1)"/>
      <w:numFmt w:val="lowerRoman"/>
      <w:start w:val="1"/>
    </w:lvl>
  </w:abstractNum>
  <w:abstractNum w:abstractNumId="98">
    <w:nsid w:val="E7FFA2B"/>
    <w:multiLevelType w:val="hybridMultilevel"/>
    <w:lvl w:ilvl="0">
      <w:lvlJc w:val="left"/>
      <w:lvlText w:val="%1"/>
      <w:numFmt w:val="lowerLetter"/>
      <w:start w:val="1"/>
    </w:lvl>
    <w:lvl w:ilvl="1">
      <w:lvlJc w:val="left"/>
      <w:lvlText w:val="(%2)"/>
      <w:numFmt w:val="lowerRoman"/>
      <w:start w:val="4"/>
    </w:lvl>
  </w:abstractNum>
  <w:abstractNum w:abstractNumId="99">
    <w:nsid w:val="3C5991AA"/>
    <w:multiLevelType w:val="hybridMultilevel"/>
    <w:lvl w:ilvl="0">
      <w:lvlJc w:val="left"/>
      <w:lvlText w:val="(%1)"/>
      <w:numFmt w:val="lowerLetter"/>
      <w:start w:val="2"/>
    </w:lvl>
    <w:lvl w:ilvl="1">
      <w:lvlJc w:val="left"/>
      <w:lvlText w:val="%2"/>
      <w:numFmt w:val="lowerRoman"/>
      <w:start w:val="1"/>
    </w:lvl>
  </w:abstractNum>
  <w:abstractNum w:abstractNumId="100">
    <w:nsid w:val="4BD8591A"/>
    <w:multiLevelType w:val="hybridMultilevel"/>
    <w:lvl w:ilvl="0">
      <w:lvlJc w:val="left"/>
      <w:lvlText w:val="(%1)"/>
      <w:numFmt w:val="lowerRoman"/>
      <w:start w:val="1"/>
    </w:lvl>
    <w:lvl w:ilvl="1">
      <w:lvlJc w:val="left"/>
      <w:lvlText w:val="(%2)"/>
      <w:numFmt w:val="lowerRoman"/>
      <w:start w:val="2"/>
    </w:lvl>
  </w:abstractNum>
  <w:abstractNum w:abstractNumId="101">
    <w:nsid w:val="78DF6A55"/>
    <w:multiLevelType w:val="hybridMultilevel"/>
    <w:lvl w:ilvl="0">
      <w:lvlJc w:val="left"/>
      <w:lvlText w:val="(%1)"/>
      <w:numFmt w:val="lowerLetter"/>
      <w:start w:val="3"/>
    </w:lvl>
  </w:abstractNum>
  <w:abstractNum w:abstractNumId="102">
    <w:nsid w:val="39B7AAA2"/>
    <w:multiLevelType w:val="hybridMultilevel"/>
    <w:lvl w:ilvl="0">
      <w:lvlJc w:val="left"/>
      <w:lvlText w:val="(%1)"/>
      <w:numFmt w:val="upperLetter"/>
      <w:start w:val="1"/>
    </w:lvl>
  </w:abstractNum>
  <w:abstractNum w:abstractNumId="103">
    <w:nsid w:val="2B0D8DBE"/>
    <w:multiLevelType w:val="hybridMultilevel"/>
    <w:lvl w:ilvl="0">
      <w:lvlJc w:val="left"/>
      <w:lvlText w:val="(%1)"/>
      <w:numFmt w:val="upperLetter"/>
      <w:start w:val="4"/>
    </w:lvl>
  </w:abstractNum>
  <w:abstractNum w:abstractNumId="104">
    <w:nsid w:val="6C80EC70"/>
    <w:multiLevelType w:val="hybridMultilevel"/>
    <w:lvl w:ilvl="0">
      <w:lvlJc w:val="left"/>
      <w:lvlText w:val="(%1)"/>
      <w:numFmt w:val="lowerLetter"/>
      <w:start w:val="2"/>
    </w:lvl>
  </w:abstractNum>
  <w:abstractNum w:abstractNumId="105">
    <w:nsid w:val="379E21B5"/>
    <w:multiLevelType w:val="hybridMultilevel"/>
    <w:lvl w:ilvl="0">
      <w:lvlJc w:val="left"/>
      <w:lvlText w:val="(%1)"/>
      <w:numFmt w:val="lowerLetter"/>
      <w:start w:val="3"/>
    </w:lvl>
  </w:abstractNum>
  <w:abstractNum w:abstractNumId="106">
    <w:nsid w:val="69E373"/>
    <w:multiLevelType w:val="hybridMultilevel"/>
    <w:lvl w:ilvl="0">
      <w:lvlJc w:val="left"/>
      <w:lvlText w:val="(%1)"/>
      <w:numFmt w:val="lowerRoman"/>
      <w:start w:val="1"/>
    </w:lvl>
  </w:abstractNum>
  <w:abstractNum w:abstractNumId="107">
    <w:nsid w:val="2C27173B"/>
    <w:multiLevelType w:val="hybridMultilevel"/>
    <w:lvl w:ilvl="0">
      <w:lvlJc w:val="left"/>
      <w:lvlText w:val="(%1)"/>
      <w:numFmt w:val="lowerLetter"/>
      <w:start w:val="2"/>
    </w:lvl>
  </w:abstractNum>
  <w:abstractNum w:abstractNumId="108">
    <w:nsid w:val="4C9B0904"/>
    <w:multiLevelType w:val="hybridMultilevel"/>
    <w:lvl w:ilvl="0">
      <w:lvlJc w:val="left"/>
      <w:lvlText w:val="(%1)"/>
      <w:numFmt w:val="lowerLetter"/>
      <w:start w:val="5"/>
    </w:lvl>
  </w:abstractNum>
  <w:abstractNum w:abstractNumId="109">
    <w:nsid w:val="6AA7B75C"/>
    <w:multiLevelType w:val="hybridMultilevel"/>
    <w:lvl w:ilvl="0">
      <w:lvlJc w:val="left"/>
      <w:lvlText w:val="(%1)"/>
      <w:numFmt w:val="lowerLetter"/>
      <w:start w:val="2"/>
    </w:lvl>
    <w:lvl w:ilvl="1">
      <w:lvlJc w:val="left"/>
      <w:lvlText w:val="(%2)"/>
      <w:numFmt w:val="decimal"/>
      <w:start w:val="1"/>
    </w:lvl>
  </w:abstractNum>
  <w:abstractNum w:abstractNumId="110">
    <w:nsid w:val="1DF029D3"/>
    <w:multiLevelType w:val="hybridMultilevel"/>
    <w:lvl w:ilvl="0">
      <w:lvlJc w:val="left"/>
      <w:lvlText w:val="%1"/>
      <w:numFmt w:val="lowerLetter"/>
      <w:start w:val="1"/>
    </w:lvl>
    <w:lvl w:ilvl="1">
      <w:lvlJc w:val="left"/>
      <w:lvlText w:val="(%2)"/>
      <w:numFmt w:val="decimal"/>
      <w:start w:val="2"/>
    </w:lvl>
  </w:abstractNum>
  <w:abstractNum w:abstractNumId="111">
    <w:nsid w:val="5675FF36"/>
    <w:multiLevelType w:val="hybridMultilevel"/>
    <w:lvl w:ilvl="0">
      <w:lvlJc w:val="left"/>
      <w:lvlText w:val="(%1)"/>
      <w:numFmt w:val="lowerLetter"/>
      <w:start w:val="26"/>
    </w:lvl>
  </w:abstractNum>
  <w:abstractNum w:abstractNumId="112">
    <w:nsid w:val="3DD15094"/>
    <w:multiLevelType w:val="hybridMultilevel"/>
    <w:lvl w:ilvl="0">
      <w:lvlJc w:val="left"/>
      <w:lvlText w:val="(%1)"/>
      <w:numFmt w:val="lowerLetter"/>
      <w:start w:val="5"/>
    </w:lvl>
  </w:abstractNum>
  <w:abstractNum w:abstractNumId="113">
    <w:nsid w:val="3DB012B3"/>
    <w:multiLevelType w:val="hybridMultilevel"/>
    <w:lvl w:ilvl="0">
      <w:lvlJc w:val="left"/>
      <w:lvlText w:val="(%1)"/>
      <w:numFmt w:val="lowerRoman"/>
      <w:start w:val="2"/>
    </w:lvl>
    <w:lvl w:ilvl="1">
      <w:lvlJc w:val="left"/>
      <w:lvlText w:val="(%2)"/>
      <w:numFmt w:val="upperLetter"/>
      <w:start w:val="1"/>
    </w:lvl>
  </w:abstractNum>
  <w:abstractNum w:abstractNumId="114">
    <w:nsid w:val="2708C9AF"/>
    <w:multiLevelType w:val="hybridMultilevel"/>
    <w:lvl w:ilvl="0">
      <w:lvlJc w:val="left"/>
      <w:lvlText w:val="%1"/>
      <w:numFmt w:val="lowerRoman"/>
      <w:start w:val="1"/>
    </w:lvl>
    <w:lvl w:ilvl="1">
      <w:lvlJc w:val="left"/>
      <w:lvlText w:val="(%2)"/>
      <w:numFmt w:val="upperLetter"/>
      <w:start w:val="2"/>
    </w:lvl>
  </w:abstractNum>
  <w:abstractNum w:abstractNumId="115">
    <w:nsid w:val="5B25ACE2"/>
    <w:multiLevelType w:val="hybridMultilevel"/>
    <w:lvl w:ilvl="0">
      <w:lvlJc w:val="left"/>
      <w:lvlText w:val="(%1)"/>
      <w:numFmt w:val="lowerRoman"/>
      <w:start w:val="3"/>
    </w:lvl>
    <w:lvl w:ilvl="1">
      <w:lvlJc w:val="left"/>
      <w:lvlText w:val="%2"/>
      <w:numFmt w:val="upperLetter"/>
      <w:start w:val="1"/>
    </w:lvl>
  </w:abstractNum>
  <w:abstractNum w:abstractNumId="116">
    <w:nsid w:val="175DFCF0"/>
    <w:multiLevelType w:val="hybridMultilevel"/>
    <w:lvl w:ilvl="0">
      <w:lvlJc w:val="left"/>
      <w:lvlText w:val="%1"/>
      <w:numFmt w:val="upperLetter"/>
      <w:start w:val="1"/>
    </w:lvl>
    <w:lvl w:ilvl="1">
      <w:lvlJc w:val="left"/>
      <w:lvlText w:val="(%2)"/>
      <w:numFmt w:val="lowerLetter"/>
      <w:start w:val="3"/>
    </w:lvl>
  </w:abstractNum>
  <w:abstractNum w:abstractNumId="117">
    <w:nsid w:val="4F97E3E4"/>
    <w:multiLevelType w:val="hybridMultilevel"/>
    <w:lvl w:ilvl="0">
      <w:lvlJc w:val="left"/>
      <w:lvlText w:val="(%1)"/>
      <w:numFmt w:val="upperLetter"/>
      <w:start w:val="1"/>
    </w:lvl>
    <w:lvl w:ilvl="1">
      <w:lvlJc w:val="left"/>
      <w:lvlText w:val="(%2)"/>
      <w:numFmt w:val="lowerLetter"/>
      <w:start w:val="35"/>
    </w:lvl>
  </w:abstractNum>
  <w:abstractNum w:abstractNumId="118">
    <w:nsid w:val="53B0A9E"/>
    <w:multiLevelType w:val="hybridMultilevel"/>
    <w:lvl w:ilvl="0">
      <w:lvlJc w:val="left"/>
      <w:lvlText w:val="(%1)"/>
      <w:numFmt w:val="lowerLetter"/>
      <w:start w:val="4"/>
    </w:lvl>
  </w:abstractNum>
  <w:abstractNum w:abstractNumId="119">
    <w:nsid w:val="34FD6B4F"/>
    <w:multiLevelType w:val="hybridMultilevel"/>
    <w:lvl w:ilvl="0">
      <w:lvlJc w:val="left"/>
      <w:lvlText w:val="(%1)"/>
      <w:numFmt w:val="lowerLetter"/>
      <w:start w:val="1"/>
    </w:lvl>
  </w:abstractNum>
  <w:abstractNum w:abstractNumId="120">
    <w:nsid w:val="5915FF32"/>
    <w:multiLevelType w:val="hybridMultilevel"/>
    <w:lvl w:ilvl="0">
      <w:lvlJc w:val="left"/>
      <w:lvlText w:val="(%1)"/>
      <w:numFmt w:val="lowerRoman"/>
      <w:start w:val="1"/>
    </w:lvl>
  </w:abstractNum>
  <w:abstractNum w:abstractNumId="121">
    <w:nsid w:val="56438D15"/>
    <w:multiLevelType w:val="hybridMultilevel"/>
    <w:lvl w:ilvl="0">
      <w:lvlJc w:val="left"/>
      <w:lvlText w:val="(%1)"/>
      <w:numFmt w:val="lowerLetter"/>
      <w:start w:val="2"/>
    </w:lvl>
  </w:abstractNum>
  <w:abstractNum w:abstractNumId="122">
    <w:nsid w:val="519E3149"/>
    <w:multiLevelType w:val="hybridMultilevel"/>
    <w:lvl w:ilvl="0">
      <w:lvlJc w:val="left"/>
      <w:lvlText w:val="(%1)"/>
      <w:numFmt w:val="lowerLetter"/>
      <w:start w:val="3"/>
    </w:lvl>
  </w:abstractNum>
  <w:abstractNum w:abstractNumId="123">
    <w:nsid w:val="2C6E4AFD"/>
    <w:multiLevelType w:val="hybridMultilevel"/>
    <w:lvl w:ilvl="0">
      <w:lvlJc w:val="left"/>
      <w:lvlText w:val="(%1)"/>
      <w:numFmt w:val="lowerLetter"/>
      <w:start w:val="1"/>
    </w:lvl>
  </w:abstractNum>
  <w:abstractNum w:abstractNumId="124">
    <w:nsid w:val="17A1B582"/>
    <w:multiLevelType w:val="hybridMultilevel"/>
    <w:lvl w:ilvl="0">
      <w:lvlJc w:val="left"/>
      <w:lvlText w:val="(%1)"/>
      <w:numFmt w:val="lowerLetter"/>
      <w:start w:val="2"/>
    </w:lvl>
  </w:abstractNum>
  <w:abstractNum w:abstractNumId="125">
    <w:nsid w:val="4DF72E4E"/>
    <w:multiLevelType w:val="hybridMultilevel"/>
    <w:lvl w:ilvl="0">
      <w:lvlJc w:val="left"/>
      <w:lvlText w:val="(%1)"/>
      <w:numFmt w:val="lowerLetter"/>
      <w:start w:val="1"/>
    </w:lvl>
  </w:abstractNum>
  <w:abstractNum w:abstractNumId="126">
    <w:nsid w:val="5046B5A9"/>
    <w:multiLevelType w:val="hybridMultilevel"/>
    <w:lvl w:ilvl="0">
      <w:lvlJc w:val="left"/>
      <w:lvlText w:val="(%1)"/>
      <w:numFmt w:val="lowerLetter"/>
      <w:start w:val="8"/>
    </w:lvl>
  </w:abstractNum>
  <w:abstractNum w:abstractNumId="127">
    <w:nsid w:val="5D888A08"/>
    <w:multiLevelType w:val="hybridMultilevel"/>
    <w:lvl w:ilvl="0">
      <w:lvlJc w:val="left"/>
      <w:lvlText w:val="(%1)"/>
      <w:numFmt w:val="lowerLetter"/>
      <w:start w:val="1"/>
    </w:lvl>
  </w:abstractNum>
  <w:abstractNum w:abstractNumId="128">
    <w:nsid w:val="2A082C7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2020-04-27T07:20:27Z</dcterms:created>
  <dcterms:modified xsi:type="dcterms:W3CDTF">2020-04-27T07:20:27Z</dcterms:modified>
</cp:coreProperties>
</file>