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1"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21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40" w:type="dxa"/>
            <w:vAlign w:val="bottom"/>
            <w:vMerge w:val="restart"/>
          </w:tcPr>
          <w:p>
            <w:pPr>
              <w:jc w:val="center"/>
              <w:ind w:right="1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-645795</wp:posOffset>
            </wp:positionV>
            <wp:extent cx="59055" cy="6591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13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-645795</wp:posOffset>
            </wp:positionV>
            <wp:extent cx="59055" cy="6591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13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-1710055</wp:posOffset>
            </wp:positionH>
            <wp:positionV relativeFrom="paragraph">
              <wp:posOffset>19685</wp:posOffset>
            </wp:positionV>
            <wp:extent cx="7324090" cy="61252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12521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340" w:space="340"/>
            <w:col w:w="8840"/>
          </w:cols>
          <w:pgMar w:left="240" w:top="225" w:right="139" w:bottom="142"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Barra Mary T</w:t>
        </w:r>
      </w:hyperlink>
    </w:p>
    <w:p>
      <w:pPr>
        <w:spacing w:after="0" w:line="320"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000"/>
        <w:spacing w:after="0" w:line="315"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09/30/2011</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2" w:right="680" w:firstLine="2"/>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8" w:type="dxa"/>
        <w:tblCellMar>
          <w:top w:w="0" w:type="dxa"/>
          <w:left w:w="0" w:type="dxa"/>
          <w:bottom w:w="0" w:type="dxa"/>
          <w:right w:w="0" w:type="dxa"/>
        </w:tblCellMar>
      </w:tblPr>
      <w:tr>
        <w:trPr>
          <w:trHeight w:val="160"/>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898"/>
        <w:spacing w:after="0"/>
        <w:rPr>
          <w:sz w:val="20"/>
          <w:szCs w:val="20"/>
          <w:color w:val="auto"/>
        </w:rPr>
      </w:pPr>
      <w:r>
        <w:rPr>
          <w:rFonts w:ascii="Arial" w:cs="Arial" w:eastAsia="Arial" w:hAnsi="Arial"/>
          <w:sz w:val="17"/>
          <w:szCs w:val="17"/>
          <w:color w:val="0000FF"/>
        </w:rPr>
        <w:t>Senior Vice President</w:t>
      </w:r>
    </w:p>
    <w:p>
      <w:pPr>
        <w:spacing w:after="0" w:line="451" w:lineRule="exact"/>
        <w:rPr>
          <w:sz w:val="24"/>
          <w:szCs w:val="24"/>
          <w:color w:val="auto"/>
        </w:rPr>
      </w:pPr>
    </w:p>
    <w:p>
      <w:pPr>
        <w:sectPr>
          <w:pgSz w:w="11900" w:h="16838" w:orient="portrait"/>
          <w:cols w:equalWidth="0" w:num="3">
            <w:col w:w="3340" w:space="720"/>
            <w:col w:w="3262" w:space="720"/>
            <w:col w:w="3478"/>
          </w:cols>
          <w:pgMar w:left="240" w:top="225" w:right="139" w:bottom="142" w:gutter="0" w:footer="0" w:header="0"/>
          <w:type w:val="continuous"/>
        </w:sect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820" w:type="dxa"/>
            <w:vAlign w:val="bottom"/>
            <w:gridSpan w:val="6"/>
          </w:tcPr>
          <w:p>
            <w:pPr>
              <w:jc w:val="center"/>
              <w:ind w:right="51"/>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0"/>
          </w:tcPr>
          <w:p>
            <w:pPr>
              <w:ind w:left="32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800" w:type="dxa"/>
            <w:vAlign w:val="bottom"/>
            <w:gridSpan w:val="10"/>
            <w:vMerge w:val="restart"/>
          </w:tcPr>
          <w:p>
            <w:pPr>
              <w:ind w:left="5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ind w:left="20"/>
              <w:spacing w:after="0"/>
              <w:rPr>
                <w:sz w:val="20"/>
                <w:szCs w:val="20"/>
                <w:color w:val="auto"/>
              </w:rPr>
            </w:pPr>
            <w:r>
              <w:rPr>
                <w:rFonts w:ascii="Arial" w:cs="Arial" w:eastAsia="Arial" w:hAnsi="Arial"/>
                <w:sz w:val="17"/>
                <w:szCs w:val="17"/>
                <w:color w:val="0000FF"/>
                <w:w w:val="95"/>
              </w:rPr>
              <w:t>MI</w:t>
            </w:r>
          </w:p>
        </w:tc>
        <w:tc>
          <w:tcPr>
            <w:tcW w:w="1020" w:type="dxa"/>
            <w:vAlign w:val="bottom"/>
          </w:tcPr>
          <w:p>
            <w:pPr>
              <w:spacing w:after="0"/>
              <w:rPr>
                <w:sz w:val="11"/>
                <w:szCs w:val="11"/>
                <w:color w:val="auto"/>
              </w:rPr>
            </w:pP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700" w:type="dxa"/>
            <w:vAlign w:val="bottom"/>
            <w:tcBorders>
              <w:bottom w:val="single" w:sz="8" w:color="2C2C2C"/>
            </w:tcBorders>
            <w:gridSpan w:val="3"/>
          </w:tcPr>
          <w:p>
            <w:pPr>
              <w:spacing w:after="0"/>
              <w:rPr>
                <w:sz w:val="10"/>
                <w:szCs w:val="10"/>
                <w:color w:val="auto"/>
              </w:rPr>
            </w:pPr>
          </w:p>
        </w:tc>
        <w:tc>
          <w:tcPr>
            <w:tcW w:w="272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750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ind w:left="820"/>
              <w:spacing w:after="0" w:line="130"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Transaction</w:t>
            </w:r>
          </w:p>
        </w:tc>
        <w:tc>
          <w:tcPr>
            <w:tcW w:w="20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w w:val="99"/>
              </w:rPr>
              <w:t>Disposed Of (D) (Instr. 3, 4 and 5)</w:t>
            </w:r>
          </w:p>
        </w:tc>
        <w:tc>
          <w:tcPr>
            <w:tcW w:w="6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920" w:type="dxa"/>
            <w:vAlign w:val="bottom"/>
            <w:gridSpan w:val="3"/>
          </w:tcPr>
          <w:p>
            <w:pPr>
              <w:jc w:val="center"/>
              <w:ind w:left="62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0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09/30/2011</w:t>
            </w:r>
          </w:p>
        </w:tc>
        <w:tc>
          <w:tcPr>
            <w:tcW w:w="10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16"/>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150"/>
              <w:spacing w:after="0"/>
              <w:rPr>
                <w:sz w:val="20"/>
                <w:szCs w:val="20"/>
                <w:color w:val="auto"/>
              </w:rPr>
            </w:pPr>
            <w:r>
              <w:rPr>
                <w:rFonts w:ascii="Arial" w:cs="Arial" w:eastAsia="Arial" w:hAnsi="Arial"/>
                <w:sz w:val="17"/>
                <w:szCs w:val="17"/>
                <w:color w:val="0000FF"/>
                <w:w w:val="85"/>
              </w:rPr>
              <w:t>1,386</w:t>
            </w:r>
            <w:r>
              <w:rPr>
                <w:rFonts w:ascii="Arial" w:cs="Arial" w:eastAsia="Arial" w:hAnsi="Arial"/>
                <w:sz w:val="22"/>
                <w:szCs w:val="22"/>
                <w:color w:val="008000"/>
                <w:w w:val="85"/>
                <w:vertAlign w:val="superscript"/>
              </w:rPr>
              <w:t>(2)</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right"/>
              <w:spacing w:after="0" w:line="320" w:lineRule="exact"/>
              <w:rPr>
                <w:sz w:val="20"/>
                <w:szCs w:val="20"/>
                <w:color w:val="auto"/>
              </w:rPr>
            </w:pPr>
            <w:r>
              <w:rPr>
                <w:rFonts w:ascii="Arial" w:cs="Arial" w:eastAsia="Arial" w:hAnsi="Arial"/>
                <w:sz w:val="34"/>
                <w:szCs w:val="34"/>
                <w:color w:val="000000"/>
                <w:vertAlign w:val="subscript"/>
              </w:rPr>
              <w:t>$</w:t>
            </w:r>
            <w:r>
              <w:rPr>
                <w:rFonts w:ascii="Arial" w:cs="Arial" w:eastAsia="Arial" w:hAnsi="Arial"/>
                <w:sz w:val="34"/>
                <w:szCs w:val="34"/>
                <w:color w:val="0000FF"/>
                <w:vertAlign w:val="subscript"/>
              </w:rPr>
              <w:t>0</w:t>
            </w:r>
            <w:r>
              <w:rPr>
                <w:rFonts w:ascii="Arial" w:cs="Arial" w:eastAsia="Arial" w:hAnsi="Arial"/>
                <w:sz w:val="11"/>
                <w:szCs w:val="11"/>
                <w:color w:val="008000"/>
              </w:rPr>
              <w:t>(3)</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41,136</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09/30/2011</w:t>
            </w:r>
          </w:p>
        </w:tc>
        <w:tc>
          <w:tcPr>
            <w:tcW w:w="10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16"/>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130"/>
              <w:spacing w:after="0"/>
              <w:rPr>
                <w:sz w:val="20"/>
                <w:szCs w:val="20"/>
                <w:color w:val="auto"/>
              </w:rPr>
            </w:pPr>
            <w:r>
              <w:rPr>
                <w:rFonts w:ascii="Arial" w:cs="Arial" w:eastAsia="Arial" w:hAnsi="Arial"/>
                <w:sz w:val="17"/>
                <w:szCs w:val="17"/>
                <w:color w:val="0000FF"/>
                <w:w w:val="91"/>
              </w:rPr>
              <w:t>427</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66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20.3</w:t>
            </w:r>
            <w:r>
              <w:rPr>
                <w:rFonts w:ascii="Arial" w:cs="Arial" w:eastAsia="Arial" w:hAnsi="Arial"/>
                <w:sz w:val="22"/>
                <w:szCs w:val="22"/>
                <w:color w:val="008000"/>
                <w:w w:val="85"/>
                <w:vertAlign w:val="superscript"/>
              </w:rPr>
              <w:t>(3)</w:t>
            </w:r>
          </w:p>
        </w:tc>
        <w:tc>
          <w:tcPr>
            <w:tcW w:w="132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40,709</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(4)</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09/30/2011</w:t>
            </w:r>
          </w:p>
        </w:tc>
        <w:tc>
          <w:tcPr>
            <w:tcW w:w="10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16"/>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150"/>
              <w:spacing w:after="0"/>
              <w:rPr>
                <w:sz w:val="20"/>
                <w:szCs w:val="20"/>
                <w:color w:val="auto"/>
              </w:rPr>
            </w:pPr>
            <w:r>
              <w:rPr>
                <w:rFonts w:ascii="Arial" w:cs="Arial" w:eastAsia="Arial" w:hAnsi="Arial"/>
                <w:sz w:val="17"/>
                <w:szCs w:val="17"/>
                <w:color w:val="0000FF"/>
                <w:w w:val="85"/>
              </w:rPr>
              <w:t>4,329</w:t>
            </w:r>
            <w:r>
              <w:rPr>
                <w:rFonts w:ascii="Arial" w:cs="Arial" w:eastAsia="Arial" w:hAnsi="Arial"/>
                <w:sz w:val="22"/>
                <w:szCs w:val="22"/>
                <w:color w:val="008000"/>
                <w:w w:val="85"/>
                <w:vertAlign w:val="superscript"/>
              </w:rPr>
              <w:t>(5)</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right"/>
              <w:spacing w:after="0" w:line="320" w:lineRule="exact"/>
              <w:rPr>
                <w:sz w:val="20"/>
                <w:szCs w:val="20"/>
                <w:color w:val="auto"/>
              </w:rPr>
            </w:pPr>
            <w:r>
              <w:rPr>
                <w:rFonts w:ascii="Arial" w:cs="Arial" w:eastAsia="Arial" w:hAnsi="Arial"/>
                <w:sz w:val="34"/>
                <w:szCs w:val="34"/>
                <w:color w:val="000000"/>
                <w:vertAlign w:val="subscript"/>
              </w:rPr>
              <w:t>$</w:t>
            </w:r>
            <w:r>
              <w:rPr>
                <w:rFonts w:ascii="Arial" w:cs="Arial" w:eastAsia="Arial" w:hAnsi="Arial"/>
                <w:sz w:val="34"/>
                <w:szCs w:val="34"/>
                <w:color w:val="0000FF"/>
                <w:vertAlign w:val="subscript"/>
              </w:rPr>
              <w:t>0</w:t>
            </w:r>
            <w:r>
              <w:rPr>
                <w:rFonts w:ascii="Arial" w:cs="Arial" w:eastAsia="Arial" w:hAnsi="Arial"/>
                <w:sz w:val="11"/>
                <w:szCs w:val="11"/>
                <w:color w:val="008000"/>
              </w:rPr>
              <w:t>(3)</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45,038</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09/30/2011</w:t>
            </w:r>
          </w:p>
        </w:tc>
        <w:tc>
          <w:tcPr>
            <w:tcW w:w="10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16"/>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130"/>
              <w:spacing w:after="0"/>
              <w:rPr>
                <w:sz w:val="20"/>
                <w:szCs w:val="20"/>
                <w:color w:val="auto"/>
              </w:rPr>
            </w:pPr>
            <w:r>
              <w:rPr>
                <w:rFonts w:ascii="Arial" w:cs="Arial" w:eastAsia="Arial" w:hAnsi="Arial"/>
                <w:sz w:val="17"/>
                <w:szCs w:val="17"/>
                <w:color w:val="0000FF"/>
                <w:w w:val="89"/>
              </w:rPr>
              <w:t>1,334</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66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20.3</w:t>
            </w:r>
            <w:r>
              <w:rPr>
                <w:rFonts w:ascii="Arial" w:cs="Arial" w:eastAsia="Arial" w:hAnsi="Arial"/>
                <w:sz w:val="22"/>
                <w:szCs w:val="22"/>
                <w:color w:val="008000"/>
                <w:w w:val="85"/>
                <w:vertAlign w:val="superscript"/>
              </w:rPr>
              <w:t>(3)</w:t>
            </w:r>
          </w:p>
        </w:tc>
        <w:tc>
          <w:tcPr>
            <w:tcW w:w="132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43,704</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(6)</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09/30/2011</w:t>
            </w:r>
          </w:p>
        </w:tc>
        <w:tc>
          <w:tcPr>
            <w:tcW w:w="10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16"/>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130"/>
              <w:spacing w:after="0"/>
              <w:rPr>
                <w:sz w:val="20"/>
                <w:szCs w:val="20"/>
                <w:color w:val="auto"/>
              </w:rPr>
            </w:pPr>
            <w:r>
              <w:rPr>
                <w:rFonts w:ascii="Arial" w:cs="Arial" w:eastAsia="Arial" w:hAnsi="Arial"/>
                <w:sz w:val="17"/>
                <w:szCs w:val="17"/>
                <w:color w:val="0000FF"/>
                <w:w w:val="88"/>
              </w:rPr>
              <w:t>25,247</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right"/>
              <w:spacing w:after="0" w:line="320" w:lineRule="exact"/>
              <w:rPr>
                <w:sz w:val="20"/>
                <w:szCs w:val="20"/>
                <w:color w:val="auto"/>
              </w:rPr>
            </w:pPr>
            <w:r>
              <w:rPr>
                <w:rFonts w:ascii="Arial" w:cs="Arial" w:eastAsia="Arial" w:hAnsi="Arial"/>
                <w:sz w:val="34"/>
                <w:szCs w:val="34"/>
                <w:color w:val="000000"/>
                <w:vertAlign w:val="subscript"/>
              </w:rPr>
              <w:t>$</w:t>
            </w:r>
            <w:r>
              <w:rPr>
                <w:rFonts w:ascii="Arial" w:cs="Arial" w:eastAsia="Arial" w:hAnsi="Arial"/>
                <w:sz w:val="34"/>
                <w:szCs w:val="34"/>
                <w:color w:val="0000FF"/>
                <w:vertAlign w:val="subscript"/>
              </w:rPr>
              <w:t>0</w:t>
            </w:r>
            <w:r>
              <w:rPr>
                <w:rFonts w:ascii="Arial" w:cs="Arial" w:eastAsia="Arial" w:hAnsi="Arial"/>
                <w:sz w:val="11"/>
                <w:szCs w:val="11"/>
                <w:color w:val="008000"/>
              </w:rPr>
              <w:t>(3)</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68,951</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2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60" w:type="dxa"/>
            <w:vAlign w:val="bottom"/>
            <w:gridSpan w:val="10"/>
          </w:tcPr>
          <w:p>
            <w:pPr>
              <w:jc w:val="center"/>
              <w:ind w:left="46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000" w:type="dxa"/>
            <w:vAlign w:val="bottom"/>
          </w:tcPr>
          <w:p>
            <w:pPr>
              <w:ind w:left="14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w w:val="95"/>
              </w:rPr>
              <w:t>Underlying</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ind w:right="70"/>
              <w:spacing w:after="0" w:line="133"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00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4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0" w:type="dxa"/>
            <w:vAlign w:val="bottom"/>
            <w:vMerge w:val="restart"/>
          </w:tcPr>
          <w:p>
            <w:pPr>
              <w:ind w:left="440"/>
              <w:spacing w:after="0"/>
              <w:rPr>
                <w:sz w:val="20"/>
                <w:szCs w:val="20"/>
                <w:color w:val="auto"/>
              </w:rPr>
            </w:pPr>
            <w:r>
              <w:rPr>
                <w:rFonts w:ascii="Arial" w:cs="Arial" w:eastAsia="Arial" w:hAnsi="Arial"/>
                <w:sz w:val="13"/>
                <w:szCs w:val="13"/>
                <w:color w:val="0000FF"/>
              </w:rPr>
              <w:t>1,386</w:t>
            </w:r>
            <w:r>
              <w:rPr>
                <w:rFonts w:ascii="Arial" w:cs="Arial" w:eastAsia="Arial" w:hAnsi="Arial"/>
                <w:sz w:val="22"/>
                <w:szCs w:val="22"/>
                <w:color w:val="008000"/>
                <w:vertAlign w:val="superscript"/>
              </w:rPr>
              <w:t>(2)</w:t>
            </w: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right"/>
              <w:spacing w:after="0"/>
              <w:rPr>
                <w:sz w:val="20"/>
                <w:szCs w:val="20"/>
                <w:color w:val="auto"/>
              </w:rPr>
            </w:pPr>
            <w:r>
              <w:rPr>
                <w:rFonts w:ascii="Arial" w:cs="Arial" w:eastAsia="Arial" w:hAnsi="Arial"/>
                <w:sz w:val="17"/>
                <w:szCs w:val="17"/>
                <w:color w:val="0000FF"/>
                <w:w w:val="85"/>
              </w:rPr>
              <w:t>1,386</w:t>
            </w:r>
            <w:r>
              <w:rPr>
                <w:rFonts w:ascii="Arial" w:cs="Arial" w:eastAsia="Arial" w:hAnsi="Arial"/>
                <w:sz w:val="22"/>
                <w:szCs w:val="22"/>
                <w:color w:val="008000"/>
                <w:w w:val="85"/>
                <w:vertAlign w:val="superscript"/>
              </w:rPr>
              <w:t>(2)</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gridSpan w:val="2"/>
            <w:vMerge w:val="restart"/>
          </w:tcPr>
          <w:p>
            <w:pPr>
              <w:ind w:left="200"/>
              <w:spacing w:after="0"/>
              <w:rPr>
                <w:sz w:val="20"/>
                <w:szCs w:val="20"/>
                <w:color w:val="auto"/>
              </w:rPr>
            </w:pPr>
            <w:r>
              <w:rPr>
                <w:rFonts w:ascii="Arial" w:cs="Arial" w:eastAsia="Arial" w:hAnsi="Arial"/>
                <w:sz w:val="13"/>
                <w:szCs w:val="13"/>
                <w:color w:val="0000FF"/>
              </w:rPr>
              <w:t>1,386</w:t>
            </w:r>
            <w:r>
              <w:rPr>
                <w:rFonts w:ascii="Arial" w:cs="Arial" w:eastAsia="Arial" w:hAnsi="Arial"/>
                <w:sz w:val="22"/>
                <w:szCs w:val="22"/>
                <w:color w:val="008000"/>
                <w:vertAlign w:val="superscript"/>
              </w:rPr>
              <w:t>(2)</w:t>
            </w: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ind w:right="153"/>
              <w:spacing w:after="0"/>
              <w:rPr>
                <w:sz w:val="20"/>
                <w:szCs w:val="20"/>
                <w:color w:val="auto"/>
              </w:rPr>
            </w:pPr>
            <w:r>
              <w:rPr>
                <w:rFonts w:ascii="Arial" w:cs="Arial" w:eastAsia="Arial" w:hAnsi="Arial"/>
                <w:sz w:val="13"/>
                <w:szCs w:val="13"/>
                <w:color w:val="0000FF"/>
              </w:rPr>
              <w:t>09/30/2011</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ind w:left="40"/>
              <w:spacing w:after="0"/>
              <w:rPr>
                <w:sz w:val="20"/>
                <w:szCs w:val="20"/>
                <w:color w:val="auto"/>
              </w:rPr>
            </w:pPr>
            <w:r>
              <w:rPr>
                <w:rFonts w:ascii="Arial" w:cs="Arial" w:eastAsia="Arial" w:hAnsi="Arial"/>
                <w:sz w:val="13"/>
                <w:szCs w:val="13"/>
                <w:color w:val="0000FF"/>
              </w:rPr>
              <w:t>M</w:t>
            </w:r>
          </w:p>
        </w:tc>
        <w:tc>
          <w:tcPr>
            <w:tcW w:w="1000" w:type="dxa"/>
            <w:vAlign w:val="bottom"/>
            <w:vMerge w:val="continue"/>
          </w:tcPr>
          <w:p>
            <w:pPr>
              <w:spacing w:after="0"/>
              <w:rPr>
                <w:sz w:val="13"/>
                <w:szCs w:val="13"/>
                <w:color w:val="auto"/>
              </w:rPr>
            </w:pPr>
          </w:p>
        </w:tc>
        <w:tc>
          <w:tcPr>
            <w:tcW w:w="82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40" w:type="dxa"/>
            <w:vAlign w:val="bottom"/>
          </w:tcPr>
          <w:p>
            <w:pPr>
              <w:jc w:val="center"/>
              <w:ind w:right="70"/>
              <w:spacing w:after="0"/>
              <w:rPr>
                <w:sz w:val="20"/>
                <w:szCs w:val="20"/>
                <w:color w:val="auto"/>
              </w:rPr>
            </w:pPr>
            <w:r>
              <w:rPr>
                <w:rFonts w:ascii="Arial" w:cs="Arial" w:eastAsia="Arial" w:hAnsi="Arial"/>
                <w:sz w:val="11"/>
                <w:szCs w:val="11"/>
                <w:color w:val="008000"/>
                <w:w w:val="88"/>
              </w:rPr>
              <w:t>(1)</w:t>
            </w:r>
          </w:p>
        </w:tc>
        <w:tc>
          <w:tcPr>
            <w:tcW w:w="62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ind w:left="240"/>
              <w:spacing w:after="0"/>
              <w:rPr>
                <w:sz w:val="20"/>
                <w:szCs w:val="20"/>
                <w:color w:val="auto"/>
              </w:rPr>
            </w:pPr>
            <w:r>
              <w:rPr>
                <w:rFonts w:ascii="Arial" w:cs="Arial" w:eastAsia="Arial" w:hAnsi="Arial"/>
                <w:sz w:val="11"/>
                <w:szCs w:val="11"/>
                <w:color w:val="008000"/>
              </w:rPr>
              <w:t>(3)</w:t>
            </w:r>
          </w:p>
        </w:tc>
        <w:tc>
          <w:tcPr>
            <w:tcW w:w="900" w:type="dxa"/>
            <w:vAlign w:val="bottom"/>
            <w:gridSpan w:val="2"/>
            <w:vMerge w:val="continue"/>
          </w:tcPr>
          <w:p>
            <w:pPr>
              <w:spacing w:after="0"/>
              <w:rPr>
                <w:sz w:val="13"/>
                <w:szCs w:val="13"/>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vMerge w:val="restart"/>
          </w:tcPr>
          <w:p>
            <w:pPr>
              <w:ind w:left="60"/>
              <w:spacing w:after="0" w:line="226"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ind w:left="100"/>
              <w:spacing w:after="0" w:line="146" w:lineRule="exact"/>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Borders>
              <w:bottom w:val="single" w:sz="8" w:color="2C2C2C"/>
            </w:tcBorders>
            <w:gridSpan w:val="2"/>
            <w:vMerge w:val="continue"/>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4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0" w:type="dxa"/>
            <w:vAlign w:val="bottom"/>
            <w:vMerge w:val="restart"/>
          </w:tcPr>
          <w:p>
            <w:pPr>
              <w:ind w:left="440"/>
              <w:spacing w:after="0"/>
              <w:rPr>
                <w:sz w:val="20"/>
                <w:szCs w:val="20"/>
                <w:color w:val="auto"/>
              </w:rPr>
            </w:pPr>
            <w:r>
              <w:rPr>
                <w:rFonts w:ascii="Arial" w:cs="Arial" w:eastAsia="Arial" w:hAnsi="Arial"/>
                <w:sz w:val="13"/>
                <w:szCs w:val="13"/>
                <w:color w:val="0000FF"/>
              </w:rPr>
              <w:t>4,329</w:t>
            </w:r>
            <w:r>
              <w:rPr>
                <w:rFonts w:ascii="Arial" w:cs="Arial" w:eastAsia="Arial" w:hAnsi="Arial"/>
                <w:sz w:val="22"/>
                <w:szCs w:val="22"/>
                <w:color w:val="008000"/>
                <w:vertAlign w:val="superscript"/>
              </w:rPr>
              <w:t>(5)</w:t>
            </w: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right"/>
              <w:spacing w:after="0"/>
              <w:rPr>
                <w:sz w:val="20"/>
                <w:szCs w:val="20"/>
                <w:color w:val="auto"/>
              </w:rPr>
            </w:pPr>
            <w:r>
              <w:rPr>
                <w:rFonts w:ascii="Arial" w:cs="Arial" w:eastAsia="Arial" w:hAnsi="Arial"/>
                <w:sz w:val="17"/>
                <w:szCs w:val="17"/>
                <w:color w:val="0000FF"/>
                <w:w w:val="85"/>
              </w:rPr>
              <w:t>4,329</w:t>
            </w:r>
            <w:r>
              <w:rPr>
                <w:rFonts w:ascii="Arial" w:cs="Arial" w:eastAsia="Arial" w:hAnsi="Arial"/>
                <w:sz w:val="22"/>
                <w:szCs w:val="22"/>
                <w:color w:val="008000"/>
                <w:w w:val="85"/>
                <w:vertAlign w:val="superscript"/>
              </w:rPr>
              <w:t>(2)</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gridSpan w:val="2"/>
            <w:vMerge w:val="restart"/>
          </w:tcPr>
          <w:p>
            <w:pPr>
              <w:ind w:left="200"/>
              <w:spacing w:after="0"/>
              <w:rPr>
                <w:sz w:val="20"/>
                <w:szCs w:val="20"/>
                <w:color w:val="auto"/>
              </w:rPr>
            </w:pPr>
            <w:r>
              <w:rPr>
                <w:rFonts w:ascii="Arial" w:cs="Arial" w:eastAsia="Arial" w:hAnsi="Arial"/>
                <w:sz w:val="13"/>
                <w:szCs w:val="13"/>
                <w:color w:val="0000FF"/>
              </w:rPr>
              <w:t>8,652</w:t>
            </w:r>
            <w:r>
              <w:rPr>
                <w:rFonts w:ascii="Arial" w:cs="Arial" w:eastAsia="Arial" w:hAnsi="Arial"/>
                <w:sz w:val="22"/>
                <w:szCs w:val="22"/>
                <w:color w:val="008000"/>
                <w:vertAlign w:val="superscript"/>
              </w:rPr>
              <w:t>(2)</w:t>
            </w: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ind w:right="153"/>
              <w:spacing w:after="0"/>
              <w:rPr>
                <w:sz w:val="20"/>
                <w:szCs w:val="20"/>
                <w:color w:val="auto"/>
              </w:rPr>
            </w:pPr>
            <w:r>
              <w:rPr>
                <w:rFonts w:ascii="Arial" w:cs="Arial" w:eastAsia="Arial" w:hAnsi="Arial"/>
                <w:sz w:val="13"/>
                <w:szCs w:val="13"/>
                <w:color w:val="0000FF"/>
              </w:rPr>
              <w:t>09/30/2011</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ind w:left="40"/>
              <w:spacing w:after="0"/>
              <w:rPr>
                <w:sz w:val="20"/>
                <w:szCs w:val="20"/>
                <w:color w:val="auto"/>
              </w:rPr>
            </w:pPr>
            <w:r>
              <w:rPr>
                <w:rFonts w:ascii="Arial" w:cs="Arial" w:eastAsia="Arial" w:hAnsi="Arial"/>
                <w:sz w:val="13"/>
                <w:szCs w:val="13"/>
                <w:color w:val="0000FF"/>
              </w:rPr>
              <w:t>M</w:t>
            </w:r>
          </w:p>
        </w:tc>
        <w:tc>
          <w:tcPr>
            <w:tcW w:w="1000" w:type="dxa"/>
            <w:vAlign w:val="bottom"/>
            <w:vMerge w:val="continue"/>
          </w:tcPr>
          <w:p>
            <w:pPr>
              <w:spacing w:after="0"/>
              <w:rPr>
                <w:sz w:val="13"/>
                <w:szCs w:val="13"/>
                <w:color w:val="auto"/>
              </w:rPr>
            </w:pPr>
          </w:p>
        </w:tc>
        <w:tc>
          <w:tcPr>
            <w:tcW w:w="82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40" w:type="dxa"/>
            <w:vAlign w:val="bottom"/>
          </w:tcPr>
          <w:p>
            <w:pPr>
              <w:jc w:val="center"/>
              <w:ind w:right="70"/>
              <w:spacing w:after="0"/>
              <w:rPr>
                <w:sz w:val="20"/>
                <w:szCs w:val="20"/>
                <w:color w:val="auto"/>
              </w:rPr>
            </w:pPr>
            <w:r>
              <w:rPr>
                <w:rFonts w:ascii="Arial" w:cs="Arial" w:eastAsia="Arial" w:hAnsi="Arial"/>
                <w:sz w:val="11"/>
                <w:szCs w:val="11"/>
                <w:color w:val="008000"/>
                <w:w w:val="88"/>
              </w:rPr>
              <w:t>(1)</w:t>
            </w:r>
          </w:p>
        </w:tc>
        <w:tc>
          <w:tcPr>
            <w:tcW w:w="62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ind w:left="240"/>
              <w:spacing w:after="0"/>
              <w:rPr>
                <w:sz w:val="20"/>
                <w:szCs w:val="20"/>
                <w:color w:val="auto"/>
              </w:rPr>
            </w:pPr>
            <w:r>
              <w:rPr>
                <w:rFonts w:ascii="Arial" w:cs="Arial" w:eastAsia="Arial" w:hAnsi="Arial"/>
                <w:sz w:val="11"/>
                <w:szCs w:val="11"/>
                <w:color w:val="008000"/>
              </w:rPr>
              <w:t>(3)</w:t>
            </w:r>
          </w:p>
        </w:tc>
        <w:tc>
          <w:tcPr>
            <w:tcW w:w="900" w:type="dxa"/>
            <w:vAlign w:val="bottom"/>
            <w:gridSpan w:val="2"/>
            <w:vMerge w:val="continue"/>
          </w:tcPr>
          <w:p>
            <w:pPr>
              <w:spacing w:after="0"/>
              <w:rPr>
                <w:sz w:val="13"/>
                <w:szCs w:val="13"/>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(4)</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ind w:left="100"/>
              <w:spacing w:after="0" w:line="146" w:lineRule="exact"/>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4"/>
          <w:szCs w:val="24"/>
          <w:color w:val="auto"/>
        </w:rPr>
      </w:pPr>
    </w:p>
    <w:p>
      <w:pPr>
        <w:ind w:left="40" w:right="200" w:firstLine="6"/>
        <w:spacing w:after="0" w:line="328" w:lineRule="auto"/>
        <w:tabs>
          <w:tab w:leader="none" w:pos="173"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Common Stock reported in this item was issued upon the settlement of a portion of a grant of Salary Stock Units ("SSUs) deemed to have been issued, nunc pro tunc, on September 30, 2009 pursuant to the Company's Salary Stock Plan (the "GMSSP") and vested upon grant. The portion of this award currently payable was settled on September 30, 2011 in shares of Common Stock, less a portion withheld for taxes.</w:t>
      </w:r>
    </w:p>
    <w:p>
      <w:pPr>
        <w:ind w:left="40" w:right="140" w:firstLine="6"/>
        <w:spacing w:after="0" w:line="24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September 30, 2009 the employee received a grant of 1,386 SSUs, of which 462 SSUs were scheduled to be payable on September 30, 2011. On November 1, 2010 the Company amended its certificate of incorporation to effect a stock split in which each issued and outstanding share of Common Stock was converted into three shares of Common Stock (the "Stock Split"). Pursuant to the terms of the GMSSP, each issued and outstanding SSUs was automatically converted upon the effectiveness of the Stock Split into three SSUs, so that the employee was credited with a total of 4,158 SSUs granted on September 30, 2009, of which 1,386 SSUs became payable on September 30, 2011.</w:t>
      </w:r>
    </w:p>
    <w:p>
      <w:pPr>
        <w:spacing w:after="0" w:line="28" w:lineRule="exact"/>
        <w:rPr>
          <w:rFonts w:ascii="Arial" w:cs="Arial" w:eastAsia="Arial" w:hAnsi="Arial"/>
          <w:sz w:val="13"/>
          <w:szCs w:val="13"/>
          <w:color w:val="008000"/>
        </w:rPr>
      </w:pPr>
    </w:p>
    <w:p>
      <w:pPr>
        <w:ind w:left="40" w:right="300" w:firstLine="6"/>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 Each SSU is the economic equivalent of one share of Common Stock. Under the GMSSP, the Fair Market Value of the Common Stock is the average of the high and low trading prices for the Common Stock as reported on the New York Stock Exchange, on which the Common Stock is listed, on the date of the transaction, which was $20.30.</w:t>
      </w:r>
    </w:p>
    <w:p>
      <w:pPr>
        <w:spacing w:after="0" w:line="25" w:lineRule="exact"/>
        <w:rPr>
          <w:rFonts w:ascii="Arial" w:cs="Arial" w:eastAsia="Arial" w:hAnsi="Arial"/>
          <w:sz w:val="13"/>
          <w:szCs w:val="13"/>
          <w:color w:val="008000"/>
        </w:rPr>
      </w:pPr>
    </w:p>
    <w:p>
      <w:pPr>
        <w:ind w:left="40" w:right="26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issued on September 30, 2010 pursuant to the GMSSP and vested upon grant. The portion of this award currently payable was settled on September 30, 2011 in shares of Common Stock, less a portion withheld for taxes.</w:t>
      </w:r>
    </w:p>
    <w:p>
      <w:pPr>
        <w:spacing w:after="0" w:line="15" w:lineRule="exact"/>
        <w:rPr>
          <w:rFonts w:ascii="Arial" w:cs="Arial" w:eastAsia="Arial" w:hAnsi="Arial"/>
          <w:sz w:val="13"/>
          <w:szCs w:val="13"/>
          <w:color w:val="008000"/>
        </w:rPr>
      </w:pPr>
    </w:p>
    <w:p>
      <w:pPr>
        <w:ind w:left="40" w:right="320" w:firstLine="6"/>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September 30, 2010 the employee received a grant of 4,327 SSUs, of which 1,443 SSUs were scheduled to be payable on September 30, 2011. Pursuant to the terms of the GMSSP, each issued and outstanding SSUs was automatically converted upon the effectiveness of the Stock Split into three SSUs, so that the employee was credited with a total of 12,981 SSUs granted on September 30, 2010, of which 4,329 SSUs became payable on September 30, 2011.</w:t>
      </w:r>
    </w:p>
    <w:p>
      <w:pPr>
        <w:spacing w:after="0" w:line="25" w:lineRule="exact"/>
        <w:rPr>
          <w:rFonts w:ascii="Arial" w:cs="Arial" w:eastAsia="Arial" w:hAnsi="Arial"/>
          <w:sz w:val="13"/>
          <w:szCs w:val="13"/>
          <w:color w:val="008000"/>
        </w:rPr>
      </w:pPr>
    </w:p>
    <w:p>
      <w:pPr>
        <w:ind w:left="40" w:right="18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September 30, 2011 pursuant to the GMSSP and were fully vested upon grant. The SSUs will be delivered in the form of shares of Common Stock in three equal, annual installments beginning on September 30, 2012.</w:t>
      </w:r>
    </w:p>
    <w:p>
      <w:pPr>
        <w:spacing w:after="0" w:line="2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Anne T. Larin, attorney-in-</w:t>
            </w:r>
          </w:p>
        </w:tc>
        <w:tc>
          <w:tcPr>
            <w:tcW w:w="2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10/04/2011</w:t>
            </w:r>
          </w:p>
        </w:tc>
        <w:tc>
          <w:tcPr>
            <w:tcW w:w="0" w:type="dxa"/>
            <w:vAlign w:val="bottom"/>
          </w:tcPr>
          <w:p>
            <w:pPr>
              <w:spacing w:after="0"/>
              <w:rPr>
                <w:sz w:val="1"/>
                <w:szCs w:val="1"/>
                <w:color w:val="auto"/>
              </w:rPr>
            </w:pPr>
          </w:p>
        </w:tc>
      </w:tr>
      <w:tr>
        <w:trPr>
          <w:trHeight w:val="91"/>
        </w:trPr>
        <w:tc>
          <w:tcPr>
            <w:tcW w:w="1240" w:type="dxa"/>
            <w:vAlign w:val="bottom"/>
            <w:vMerge w:val="restart"/>
          </w:tcPr>
          <w:p>
            <w:pPr>
              <w:spacing w:after="0" w:line="193" w:lineRule="exact"/>
              <w:rPr>
                <w:sz w:val="20"/>
                <w:szCs w:val="20"/>
                <w:color w:val="auto"/>
              </w:rPr>
            </w:pPr>
            <w:r>
              <w:rPr>
                <w:rFonts w:ascii="Arial" w:cs="Arial" w:eastAsia="Arial" w:hAnsi="Arial"/>
                <w:sz w:val="17"/>
                <w:szCs w:val="17"/>
                <w:color w:val="0000FF"/>
                <w:w w:val="93"/>
              </w:rPr>
              <w:t>fact for Ms. Barra</w:t>
            </w:r>
          </w:p>
        </w:tc>
        <w:tc>
          <w:tcPr>
            <w:tcW w:w="104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240" w:type="dxa"/>
            <w:vAlign w:val="bottom"/>
            <w:tcBorders>
              <w:bottom w:val="single" w:sz="8" w:color="auto"/>
            </w:tcBorders>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0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154"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2019-12-17T00:45:48Z</dcterms:created>
  <dcterms:modified xsi:type="dcterms:W3CDTF">2019-12-17T00:45:48Z</dcterms:modified>
</cp:coreProperties>
</file>