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132080</wp:posOffset>
            </wp:positionH>
            <wp:positionV relativeFrom="page">
              <wp:posOffset>536575</wp:posOffset>
            </wp:positionV>
            <wp:extent cx="729742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39370"/>
                    </a:xfrm>
                    <a:prstGeom prst="rect">
                      <a:avLst/>
                    </a:prstGeom>
                    <a:noFill/>
                  </pic:spPr>
                </pic:pic>
              </a:graphicData>
            </a:graphic>
          </wp:anchor>
        </w:drawing>
        <w:t>UNITED STATES</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20549-1004</w:t>
      </w:r>
    </w:p>
    <w:p>
      <w:pPr>
        <w:spacing w:after="0" w:line="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46"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FORM 8-K</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SECTION 13 OR 15(d) OF</w:t>
      </w:r>
    </w:p>
    <w:p>
      <w:pPr>
        <w:spacing w:after="0" w:line="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Date of Report (Date of earliest event reported) January 14, 2015</w:t>
      </w:r>
    </w:p>
    <w:p>
      <w:pPr>
        <w:spacing w:after="0" w:line="18"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35"/>
          <w:szCs w:val="35"/>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(Exact Name of Registrant as Specified in its Charter)</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200" w:lineRule="exact"/>
        <w:rPr>
          <w:sz w:val="24"/>
          <w:szCs w:val="24"/>
          <w:color w:val="auto"/>
        </w:rPr>
      </w:pPr>
    </w:p>
    <w:p>
      <w:pPr>
        <w:spacing w:after="0" w:line="271" w:lineRule="exact"/>
        <w:rPr>
          <w:sz w:val="24"/>
          <w:szCs w:val="24"/>
          <w:color w:val="auto"/>
        </w:rPr>
      </w:pPr>
    </w:p>
    <w:tbl>
      <w:tblPr>
        <w:tblLayout w:type="fixed"/>
        <w:tblInd w:w="1560" w:type="dxa"/>
        <w:tblCellMar>
          <w:top w:w="0" w:type="dxa"/>
          <w:left w:w="0" w:type="dxa"/>
          <w:bottom w:w="0" w:type="dxa"/>
          <w:right w:w="0" w:type="dxa"/>
        </w:tblCellMar>
      </w:tblPr>
      <w:tr>
        <w:trPr>
          <w:trHeight w:val="180"/>
        </w:trPr>
        <w:tc>
          <w:tcPr>
            <w:tcW w:w="3200" w:type="dxa"/>
            <w:vAlign w:val="bottom"/>
          </w:tcPr>
          <w:p>
            <w:pPr>
              <w:jc w:val="center"/>
              <w:ind w:right="1427"/>
              <w:spacing w:after="0"/>
              <w:rPr>
                <w:sz w:val="20"/>
                <w:szCs w:val="20"/>
                <w:color w:val="auto"/>
              </w:rPr>
            </w:pPr>
            <w:r>
              <w:rPr>
                <w:rFonts w:ascii="Arial" w:cs="Arial" w:eastAsia="Arial" w:hAnsi="Arial"/>
                <w:sz w:val="15"/>
                <w:szCs w:val="15"/>
                <w:b w:val="1"/>
                <w:bCs w:val="1"/>
                <w:color w:val="auto"/>
                <w:w w:val="94"/>
              </w:rPr>
              <w:t>DELAWARE</w:t>
            </w:r>
          </w:p>
        </w:tc>
        <w:tc>
          <w:tcPr>
            <w:tcW w:w="2440" w:type="dxa"/>
            <w:vAlign w:val="bottom"/>
            <w:vMerge w:val="restart"/>
          </w:tcPr>
          <w:p>
            <w:pPr>
              <w:jc w:val="right"/>
              <w:ind w:right="1067"/>
              <w:spacing w:after="0"/>
              <w:rPr>
                <w:sz w:val="20"/>
                <w:szCs w:val="20"/>
                <w:color w:val="auto"/>
              </w:rPr>
            </w:pPr>
            <w:r>
              <w:rPr>
                <w:rFonts w:ascii="Arial" w:cs="Arial" w:eastAsia="Arial" w:hAnsi="Arial"/>
                <w:sz w:val="15"/>
                <w:szCs w:val="15"/>
                <w:b w:val="1"/>
                <w:bCs w:val="1"/>
                <w:color w:val="auto"/>
              </w:rPr>
              <w:t>001-34960</w:t>
            </w:r>
          </w:p>
        </w:tc>
        <w:tc>
          <w:tcPr>
            <w:tcW w:w="2400" w:type="dxa"/>
            <w:vAlign w:val="bottom"/>
          </w:tcPr>
          <w:p>
            <w:pPr>
              <w:jc w:val="center"/>
              <w:ind w:left="1267"/>
              <w:spacing w:after="0"/>
              <w:rPr>
                <w:sz w:val="20"/>
                <w:szCs w:val="20"/>
                <w:color w:val="auto"/>
              </w:rPr>
            </w:pPr>
            <w:r>
              <w:rPr>
                <w:rFonts w:ascii="Arial" w:cs="Arial" w:eastAsia="Arial" w:hAnsi="Arial"/>
                <w:sz w:val="15"/>
                <w:szCs w:val="15"/>
                <w:b w:val="1"/>
                <w:bCs w:val="1"/>
                <w:color w:val="auto"/>
                <w:w w:val="87"/>
              </w:rPr>
              <w:t>27-0756180</w:t>
            </w:r>
          </w:p>
        </w:tc>
        <w:tc>
          <w:tcPr>
            <w:tcW w:w="0" w:type="dxa"/>
            <w:vAlign w:val="bottom"/>
          </w:tcPr>
          <w:p>
            <w:pPr>
              <w:spacing w:after="0"/>
              <w:rPr>
                <w:sz w:val="1"/>
                <w:szCs w:val="1"/>
                <w:color w:val="auto"/>
              </w:rPr>
            </w:pPr>
          </w:p>
        </w:tc>
      </w:tr>
      <w:tr>
        <w:trPr>
          <w:trHeight w:val="176"/>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90"/>
              </w:rPr>
              <w:t>(State or other jurisdiction of</w:t>
            </w:r>
          </w:p>
        </w:tc>
        <w:tc>
          <w:tcPr>
            <w:tcW w:w="2440" w:type="dxa"/>
            <w:vAlign w:val="bottom"/>
            <w:vMerge w:val="continue"/>
          </w:tcPr>
          <w:p>
            <w:pPr>
              <w:spacing w:after="0"/>
              <w:rPr>
                <w:sz w:val="15"/>
                <w:szCs w:val="15"/>
                <w:color w:val="auto"/>
              </w:rPr>
            </w:pP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0"/>
              </w:rPr>
              <w:t>(I.R.S. Employer</w:t>
            </w:r>
          </w:p>
        </w:tc>
        <w:tc>
          <w:tcPr>
            <w:tcW w:w="0" w:type="dxa"/>
            <w:vAlign w:val="bottom"/>
          </w:tcPr>
          <w:p>
            <w:pPr>
              <w:spacing w:after="0"/>
              <w:rPr>
                <w:sz w:val="1"/>
                <w:szCs w:val="1"/>
                <w:color w:val="auto"/>
              </w:rPr>
            </w:pPr>
          </w:p>
        </w:tc>
      </w:tr>
      <w:tr>
        <w:trPr>
          <w:trHeight w:val="187"/>
        </w:trPr>
        <w:tc>
          <w:tcPr>
            <w:tcW w:w="3200" w:type="dxa"/>
            <w:vAlign w:val="bottom"/>
          </w:tcPr>
          <w:p>
            <w:pPr>
              <w:jc w:val="center"/>
              <w:ind w:right="1427"/>
              <w:spacing w:after="0"/>
              <w:rPr>
                <w:sz w:val="20"/>
                <w:szCs w:val="20"/>
                <w:color w:val="auto"/>
              </w:rPr>
            </w:pPr>
            <w:r>
              <w:rPr>
                <w:rFonts w:ascii="Arial" w:cs="Arial" w:eastAsia="Arial" w:hAnsi="Arial"/>
                <w:sz w:val="15"/>
                <w:szCs w:val="15"/>
                <w:color w:val="auto"/>
                <w:w w:val="89"/>
              </w:rPr>
              <w:t>incorporation)</w:t>
            </w:r>
          </w:p>
        </w:tc>
        <w:tc>
          <w:tcPr>
            <w:tcW w:w="2440" w:type="dxa"/>
            <w:vAlign w:val="bottom"/>
          </w:tcPr>
          <w:p>
            <w:pPr>
              <w:jc w:val="center"/>
              <w:ind w:right="427"/>
              <w:spacing w:after="0"/>
              <w:rPr>
                <w:sz w:val="20"/>
                <w:szCs w:val="20"/>
                <w:color w:val="auto"/>
              </w:rPr>
            </w:pPr>
            <w:r>
              <w:rPr>
                <w:rFonts w:ascii="Arial" w:cs="Arial" w:eastAsia="Arial" w:hAnsi="Arial"/>
                <w:sz w:val="15"/>
                <w:szCs w:val="15"/>
                <w:color w:val="auto"/>
                <w:w w:val="90"/>
              </w:rPr>
              <w:t>(Commission File Number)</w:t>
            </w:r>
          </w:p>
        </w:tc>
        <w:tc>
          <w:tcPr>
            <w:tcW w:w="2400" w:type="dxa"/>
            <w:vAlign w:val="bottom"/>
          </w:tcPr>
          <w:p>
            <w:pPr>
              <w:jc w:val="center"/>
              <w:ind w:left="1247"/>
              <w:spacing w:after="0"/>
              <w:rPr>
                <w:sz w:val="20"/>
                <w:szCs w:val="20"/>
                <w:color w:val="auto"/>
              </w:rPr>
            </w:pPr>
            <w:r>
              <w:rPr>
                <w:rFonts w:ascii="Arial" w:cs="Arial" w:eastAsia="Arial" w:hAnsi="Arial"/>
                <w:sz w:val="15"/>
                <w:szCs w:val="15"/>
                <w:color w:val="auto"/>
                <w:w w:val="92"/>
              </w:rPr>
              <w:t>Identification No.)</w:t>
            </w:r>
          </w:p>
        </w:tc>
        <w:tc>
          <w:tcPr>
            <w:tcW w:w="0" w:type="dxa"/>
            <w:vAlign w:val="bottom"/>
          </w:tcPr>
          <w:p>
            <w:pPr>
              <w:spacing w:after="0"/>
              <w:rPr>
                <w:sz w:val="1"/>
                <w:szCs w:val="1"/>
                <w:color w:val="auto"/>
              </w:rPr>
            </w:pPr>
          </w:p>
        </w:tc>
      </w:tr>
      <w:tr>
        <w:trPr>
          <w:trHeight w:val="385"/>
        </w:trPr>
        <w:tc>
          <w:tcPr>
            <w:tcW w:w="3200" w:type="dxa"/>
            <w:vAlign w:val="bottom"/>
          </w:tcPr>
          <w:p>
            <w:pPr>
              <w:jc w:val="center"/>
              <w:ind w:left="107"/>
              <w:spacing w:after="0"/>
              <w:rPr>
                <w:sz w:val="20"/>
                <w:szCs w:val="20"/>
                <w:color w:val="auto"/>
              </w:rPr>
            </w:pPr>
            <w:r>
              <w:rPr>
                <w:rFonts w:ascii="Arial" w:cs="Arial" w:eastAsia="Arial" w:hAnsi="Arial"/>
                <w:sz w:val="15"/>
                <w:szCs w:val="15"/>
                <w:b w:val="1"/>
                <w:bCs w:val="1"/>
                <w:color w:val="auto"/>
                <w:w w:val="87"/>
              </w:rPr>
              <w:t>300 Renaissance Center, Detroit, Michigan</w:t>
            </w:r>
          </w:p>
        </w:tc>
        <w:tc>
          <w:tcPr>
            <w:tcW w:w="2440" w:type="dxa"/>
            <w:vAlign w:val="bottom"/>
          </w:tcPr>
          <w:p>
            <w:pPr>
              <w:spacing w:after="0"/>
              <w:rPr>
                <w:sz w:val="24"/>
                <w:szCs w:val="24"/>
                <w:color w:val="auto"/>
              </w:rPr>
            </w:pPr>
          </w:p>
        </w:tc>
        <w:tc>
          <w:tcPr>
            <w:tcW w:w="2400" w:type="dxa"/>
            <w:vAlign w:val="bottom"/>
          </w:tcPr>
          <w:p>
            <w:pPr>
              <w:jc w:val="right"/>
              <w:ind w:right="947"/>
              <w:spacing w:after="0"/>
              <w:rPr>
                <w:sz w:val="20"/>
                <w:szCs w:val="20"/>
                <w:color w:val="auto"/>
              </w:rPr>
            </w:pPr>
            <w:r>
              <w:rPr>
                <w:rFonts w:ascii="Arial" w:cs="Arial" w:eastAsia="Arial" w:hAnsi="Arial"/>
                <w:sz w:val="15"/>
                <w:szCs w:val="15"/>
                <w:b w:val="1"/>
                <w:bCs w:val="1"/>
                <w:color w:val="auto"/>
              </w:rPr>
              <w:t>48265-3000</w:t>
            </w:r>
          </w:p>
        </w:tc>
        <w:tc>
          <w:tcPr>
            <w:tcW w:w="0" w:type="dxa"/>
            <w:vAlign w:val="bottom"/>
          </w:tcPr>
          <w:p>
            <w:pPr>
              <w:spacing w:after="0"/>
              <w:rPr>
                <w:sz w:val="1"/>
                <w:szCs w:val="1"/>
                <w:color w:val="auto"/>
              </w:rPr>
            </w:pPr>
          </w:p>
        </w:tc>
      </w:tr>
      <w:tr>
        <w:trPr>
          <w:trHeight w:val="187"/>
        </w:trPr>
        <w:tc>
          <w:tcPr>
            <w:tcW w:w="3200" w:type="dxa"/>
            <w:vAlign w:val="bottom"/>
          </w:tcPr>
          <w:p>
            <w:pPr>
              <w:jc w:val="center"/>
              <w:ind w:left="127"/>
              <w:spacing w:after="0"/>
              <w:rPr>
                <w:sz w:val="20"/>
                <w:szCs w:val="20"/>
                <w:color w:val="auto"/>
              </w:rPr>
            </w:pPr>
            <w:r>
              <w:rPr>
                <w:rFonts w:ascii="Arial" w:cs="Arial" w:eastAsia="Arial" w:hAnsi="Arial"/>
                <w:sz w:val="15"/>
                <w:szCs w:val="15"/>
                <w:color w:val="auto"/>
                <w:w w:val="91"/>
              </w:rPr>
              <w:t>(Address of Principal Executive Offices)</w:t>
            </w:r>
          </w:p>
        </w:tc>
        <w:tc>
          <w:tcPr>
            <w:tcW w:w="2440" w:type="dxa"/>
            <w:vAlign w:val="bottom"/>
          </w:tcPr>
          <w:p>
            <w:pPr>
              <w:spacing w:after="0"/>
              <w:rPr>
                <w:sz w:val="16"/>
                <w:szCs w:val="16"/>
                <w:color w:val="auto"/>
              </w:rPr>
            </w:pPr>
          </w:p>
        </w:tc>
        <w:tc>
          <w:tcPr>
            <w:tcW w:w="2400" w:type="dxa"/>
            <w:vAlign w:val="bottom"/>
          </w:tcPr>
          <w:p>
            <w:pPr>
              <w:jc w:val="center"/>
              <w:ind w:right="287"/>
              <w:spacing w:after="0"/>
              <w:rPr>
                <w:sz w:val="20"/>
                <w:szCs w:val="20"/>
                <w:color w:val="auto"/>
              </w:rPr>
            </w:pPr>
            <w:r>
              <w:rPr>
                <w:rFonts w:ascii="Arial" w:cs="Arial" w:eastAsia="Arial" w:hAnsi="Arial"/>
                <w:sz w:val="15"/>
                <w:szCs w:val="15"/>
                <w:color w:val="auto"/>
                <w:w w:val="90"/>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313</w:t>
      </w:r>
      <w:r>
        <w:rPr>
          <w:rFonts w:ascii="Arial" w:cs="Arial" w:eastAsia="Arial" w:hAnsi="Arial"/>
          <w:sz w:val="15"/>
          <w:szCs w:val="15"/>
          <w:color w:val="auto"/>
        </w:rPr>
        <w:t xml:space="preserve">) </w:t>
      </w:r>
      <w:r>
        <w:rPr>
          <w:rFonts w:ascii="Arial" w:cs="Arial" w:eastAsia="Arial" w:hAnsi="Arial"/>
          <w:sz w:val="15"/>
          <w:szCs w:val="15"/>
          <w:b w:val="1"/>
          <w:bCs w:val="1"/>
          <w:color w:val="auto"/>
        </w:rPr>
        <w:t>556-5000</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Not Applicable</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___________________</w:t>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93" w:lineRule="exact"/>
        <w:rPr>
          <w:sz w:val="24"/>
          <w:szCs w:val="24"/>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Written communications pursuant to Rule 425 under the Securities Act (17 CFR 230.425)</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Soliciting material pursuant to Rule 14a-12 under the Exchange Act (17-CFR 240.14a-12)</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14d-2(b) under the Exchange Act (17 CFR 240.14d-2(b))</w:t>
      </w:r>
    </w:p>
    <w:p>
      <w:pPr>
        <w:spacing w:after="0" w:line="283" w:lineRule="exact"/>
        <w:rPr>
          <w:rFonts w:ascii="MS PGothic" w:cs="MS PGothic" w:eastAsia="MS PGothic" w:hAnsi="MS PGothic"/>
          <w:sz w:val="15"/>
          <w:szCs w:val="15"/>
          <w:color w:val="auto"/>
        </w:rPr>
      </w:pPr>
    </w:p>
    <w:p>
      <w:pPr>
        <w:ind w:left="620" w:hanging="590"/>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9742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ectPr>
          <w:pgSz w:w="11900" w:h="16838" w:orient="portrait"/>
          <w:cols w:equalWidth="0" w:num="1">
            <w:col w:w="10239"/>
          </w:cols>
          <w:pgMar w:left="220" w:top="1133"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On January 14, 2015 a number of General Motors Company (GM) executives made a series of presentations at a conference hosted by Deutsche Bank to provide an update primarily on GM's 2014 performance and accomplishments and 2015 outlook, which contains certain information not previously publicly disclosed. In connection with the presentations GM also issued a press release. The press release and presentations related thereto are attached as Exhibits 99.1 and 99.2.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20" w:type="dxa"/>
            <w:vAlign w:val="bottom"/>
            <w:gridSpan w:val="3"/>
          </w:tcPr>
          <w:p>
            <w:pPr>
              <w:ind w:left="760"/>
              <w:spacing w:after="0"/>
              <w:rPr>
                <w:sz w:val="20"/>
                <w:szCs w:val="20"/>
                <w:color w:val="auto"/>
              </w:rPr>
            </w:pPr>
            <w:r>
              <w:rPr>
                <w:rFonts w:ascii="Arial" w:cs="Arial" w:eastAsia="Arial" w:hAnsi="Arial"/>
                <w:sz w:val="15"/>
                <w:szCs w:val="15"/>
                <w:b w:val="1"/>
                <w:bCs w:val="1"/>
                <w:color w:val="auto"/>
              </w:rPr>
              <w:t>EXHIBITS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464"/>
        </w:trPr>
        <w:tc>
          <w:tcPr>
            <w:tcW w:w="3920" w:type="dxa"/>
            <w:vAlign w:val="bottom"/>
            <w:gridSpan w:val="2"/>
          </w:tcPr>
          <w:p>
            <w:pPr>
              <w:ind w:left="20"/>
              <w:spacing w:after="0"/>
              <w:rPr>
                <w:sz w:val="20"/>
                <w:szCs w:val="20"/>
                <w:color w:val="auto"/>
              </w:rPr>
            </w:pPr>
            <w:r>
              <w:rPr>
                <w:rFonts w:ascii="Arial" w:cs="Arial" w:eastAsia="Arial" w:hAnsi="Arial"/>
                <w:sz w:val="15"/>
                <w:szCs w:val="15"/>
                <w:color w:val="auto"/>
              </w:rPr>
              <w:t>Exhibit</w:t>
            </w:r>
          </w:p>
        </w:tc>
        <w:tc>
          <w:tcPr>
            <w:tcW w:w="1440" w:type="dxa"/>
            <w:vAlign w:val="bottom"/>
            <w:gridSpan w:val="2"/>
          </w:tcPr>
          <w:p>
            <w:pPr>
              <w:spacing w:after="0"/>
              <w:rPr>
                <w:sz w:val="20"/>
                <w:szCs w:val="20"/>
                <w:color w:val="auto"/>
              </w:rPr>
            </w:pPr>
            <w:r>
              <w:rPr>
                <w:rFonts w:ascii="Arial" w:cs="Arial" w:eastAsia="Arial" w:hAnsi="Arial"/>
                <w:sz w:val="15"/>
                <w:szCs w:val="15"/>
                <w:color w:val="auto"/>
              </w:rPr>
              <w:t>Description</w:t>
            </w:r>
          </w:p>
        </w:tc>
        <w:tc>
          <w:tcPr>
            <w:tcW w:w="7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5"/>
                <w:szCs w:val="15"/>
                <w:color w:val="auto"/>
              </w:rPr>
              <w:t>Method of Filing</w:t>
            </w:r>
          </w:p>
        </w:tc>
      </w:tr>
      <w:tr>
        <w:trPr>
          <w:trHeight w:val="20"/>
        </w:trPr>
        <w:tc>
          <w:tcPr>
            <w:tcW w:w="4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3920" w:type="dxa"/>
            <w:vAlign w:val="bottom"/>
            <w:gridSpan w:val="2"/>
          </w:tcPr>
          <w:p>
            <w:pPr>
              <w:ind w:left="20"/>
              <w:spacing w:after="0"/>
              <w:rPr>
                <w:sz w:val="20"/>
                <w:szCs w:val="20"/>
                <w:color w:val="auto"/>
              </w:rPr>
            </w:pPr>
            <w:r>
              <w:rPr>
                <w:rFonts w:ascii="Arial" w:cs="Arial" w:eastAsia="Arial" w:hAnsi="Arial"/>
                <w:sz w:val="15"/>
                <w:szCs w:val="15"/>
                <w:color w:val="auto"/>
              </w:rPr>
              <w:t>Exhibit 99.1</w:t>
            </w:r>
          </w:p>
        </w:tc>
        <w:tc>
          <w:tcPr>
            <w:tcW w:w="4000" w:type="dxa"/>
            <w:vAlign w:val="bottom"/>
            <w:gridSpan w:val="4"/>
          </w:tcPr>
          <w:p>
            <w:pPr>
              <w:spacing w:after="0"/>
              <w:rPr>
                <w:sz w:val="20"/>
                <w:szCs w:val="20"/>
                <w:color w:val="auto"/>
              </w:rPr>
            </w:pPr>
            <w:r>
              <w:rPr>
                <w:rFonts w:ascii="Arial" w:cs="Arial" w:eastAsia="Arial" w:hAnsi="Arial"/>
                <w:sz w:val="15"/>
                <w:szCs w:val="15"/>
                <w:color w:val="auto"/>
              </w:rPr>
              <w:t>Press Release Dated January 14, 2015</w:t>
            </w:r>
          </w:p>
        </w:tc>
        <w:tc>
          <w:tcPr>
            <w:tcW w:w="1140" w:type="dxa"/>
            <w:vAlign w:val="bottom"/>
            <w:gridSpan w:val="2"/>
          </w:tcPr>
          <w:p>
            <w:pPr>
              <w:spacing w:after="0"/>
              <w:rPr>
                <w:sz w:val="20"/>
                <w:szCs w:val="20"/>
                <w:color w:val="auto"/>
              </w:rPr>
            </w:pPr>
            <w:r>
              <w:rPr>
                <w:rFonts w:ascii="Arial" w:cs="Arial" w:eastAsia="Arial" w:hAnsi="Arial"/>
                <w:sz w:val="15"/>
                <w:szCs w:val="15"/>
                <w:color w:val="auto"/>
                <w:w w:val="87"/>
              </w:rPr>
              <w:t>Attached as Exhibit</w:t>
            </w:r>
          </w:p>
        </w:tc>
      </w:tr>
      <w:tr>
        <w:trPr>
          <w:trHeight w:val="220"/>
        </w:trPr>
        <w:tc>
          <w:tcPr>
            <w:tcW w:w="3920" w:type="dxa"/>
            <w:vAlign w:val="bottom"/>
            <w:gridSpan w:val="2"/>
          </w:tcPr>
          <w:p>
            <w:pPr>
              <w:ind w:left="20"/>
              <w:spacing w:after="0"/>
              <w:rPr>
                <w:sz w:val="20"/>
                <w:szCs w:val="20"/>
                <w:color w:val="auto"/>
              </w:rPr>
            </w:pPr>
            <w:r>
              <w:rPr>
                <w:rFonts w:ascii="Arial" w:cs="Arial" w:eastAsia="Arial" w:hAnsi="Arial"/>
                <w:sz w:val="15"/>
                <w:szCs w:val="15"/>
                <w:color w:val="auto"/>
              </w:rPr>
              <w:t>Exhibit 99.2</w:t>
            </w:r>
          </w:p>
        </w:tc>
        <w:tc>
          <w:tcPr>
            <w:tcW w:w="4000" w:type="dxa"/>
            <w:vAlign w:val="bottom"/>
            <w:gridSpan w:val="4"/>
          </w:tcPr>
          <w:p>
            <w:pPr>
              <w:spacing w:after="0"/>
              <w:rPr>
                <w:sz w:val="20"/>
                <w:szCs w:val="20"/>
                <w:color w:val="auto"/>
              </w:rPr>
            </w:pPr>
            <w:r>
              <w:rPr>
                <w:rFonts w:ascii="Arial" w:cs="Arial" w:eastAsia="Arial" w:hAnsi="Arial"/>
                <w:sz w:val="15"/>
                <w:szCs w:val="15"/>
                <w:color w:val="auto"/>
              </w:rPr>
              <w:t>Presentations Dated January 14, 2015</w:t>
            </w:r>
          </w:p>
        </w:tc>
        <w:tc>
          <w:tcPr>
            <w:tcW w:w="1140" w:type="dxa"/>
            <w:vAlign w:val="bottom"/>
            <w:gridSpan w:val="2"/>
          </w:tcPr>
          <w:p>
            <w:pPr>
              <w:spacing w:after="0"/>
              <w:rPr>
                <w:sz w:val="20"/>
                <w:szCs w:val="20"/>
                <w:color w:val="auto"/>
              </w:rPr>
            </w:pPr>
            <w:r>
              <w:rPr>
                <w:rFonts w:ascii="Arial" w:cs="Arial" w:eastAsia="Arial" w:hAnsi="Arial"/>
                <w:sz w:val="15"/>
                <w:szCs w:val="15"/>
                <w:color w:val="auto"/>
                <w:w w:val="87"/>
              </w:rPr>
              <w:t>Attached as Exhibit</w:t>
            </w:r>
          </w:p>
        </w:tc>
      </w:tr>
    </w:tbl>
    <w:p>
      <w:pPr>
        <w:sectPr>
          <w:pgSz w:w="11900" w:h="16838" w:orient="portrait"/>
          <w:cols w:equalWidth="0" w:num="1">
            <w:col w:w="11160"/>
          </w:cols>
          <w:pgMar w:left="220" w:top="850" w:right="51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5"/>
          <w:szCs w:val="15"/>
          <w:b w:val="1"/>
          <w:bCs w:val="1"/>
          <w:color w:val="auto"/>
        </w:rPr>
        <w:t>SIGNATURE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ind w:left="5860"/>
        <w:spacing w:after="0"/>
        <w:rPr>
          <w:sz w:val="20"/>
          <w:szCs w:val="20"/>
          <w:color w:val="auto"/>
        </w:rPr>
      </w:pPr>
      <w:r>
        <w:rPr>
          <w:rFonts w:ascii="Arial" w:cs="Arial" w:eastAsia="Arial" w:hAnsi="Arial"/>
          <w:sz w:val="15"/>
          <w:szCs w:val="15"/>
          <w:u w:val="single" w:color="auto"/>
          <w:color w:val="auto"/>
        </w:rPr>
        <w:t>GENERAL MOTORS COMPANY</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(Registrant)</w:t>
      </w:r>
    </w:p>
    <w:p>
      <w:pPr>
        <w:spacing w:after="0" w:line="278"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/s/ THOMAS S. TIMKO</w:t>
            </w:r>
          </w:p>
        </w:tc>
        <w:tc>
          <w:tcPr>
            <w:tcW w:w="0" w:type="dxa"/>
            <w:vAlign w:val="bottom"/>
          </w:tcPr>
          <w:p>
            <w:pPr>
              <w:spacing w:after="0"/>
              <w:rPr>
                <w:sz w:val="1"/>
                <w:szCs w:val="1"/>
                <w:color w:val="auto"/>
              </w:rPr>
            </w:pPr>
          </w:p>
        </w:tc>
      </w:tr>
      <w:tr>
        <w:trPr>
          <w:trHeight w:val="88"/>
        </w:trPr>
        <w:tc>
          <w:tcPr>
            <w:tcW w:w="3080" w:type="dxa"/>
            <w:vAlign w:val="bottom"/>
            <w:vMerge w:val="restart"/>
          </w:tcPr>
          <w:p>
            <w:pPr>
              <w:spacing w:after="0"/>
              <w:rPr>
                <w:sz w:val="20"/>
                <w:szCs w:val="20"/>
                <w:color w:val="auto"/>
              </w:rPr>
            </w:pPr>
            <w:r>
              <w:rPr>
                <w:rFonts w:ascii="Arial" w:cs="Arial" w:eastAsia="Arial" w:hAnsi="Arial"/>
                <w:sz w:val="15"/>
                <w:szCs w:val="15"/>
                <w:color w:val="auto"/>
              </w:rPr>
              <w:t>Date: January 14, 2015</w:t>
            </w:r>
          </w:p>
        </w:tc>
        <w:tc>
          <w:tcPr>
            <w:tcW w:w="2340" w:type="dxa"/>
            <w:vAlign w:val="bottom"/>
            <w:vMerge w:val="restart"/>
          </w:tcPr>
          <w:p>
            <w:pPr>
              <w:ind w:left="172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8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5220" w:type="dxa"/>
            <w:vAlign w:val="bottom"/>
            <w:vMerge w:val="restart"/>
          </w:tcPr>
          <w:p>
            <w:pPr>
              <w:ind w:left="20"/>
              <w:spacing w:after="0"/>
              <w:rPr>
                <w:sz w:val="20"/>
                <w:szCs w:val="20"/>
                <w:color w:val="auto"/>
              </w:rPr>
            </w:pPr>
            <w:r>
              <w:rPr>
                <w:rFonts w:ascii="Arial" w:cs="Arial" w:eastAsia="Arial" w:hAnsi="Arial"/>
                <w:sz w:val="15"/>
                <w:szCs w:val="15"/>
                <w:color w:val="auto"/>
              </w:rPr>
              <w:t>Thomas S. Timko</w:t>
            </w:r>
          </w:p>
        </w:tc>
        <w:tc>
          <w:tcPr>
            <w:tcW w:w="0" w:type="dxa"/>
            <w:vAlign w:val="bottom"/>
          </w:tcPr>
          <w:p>
            <w:pPr>
              <w:spacing w:after="0"/>
              <w:rPr>
                <w:sz w:val="1"/>
                <w:szCs w:val="1"/>
                <w:color w:val="auto"/>
              </w:rPr>
            </w:pPr>
          </w:p>
        </w:tc>
      </w:tr>
      <w:tr>
        <w:trPr>
          <w:trHeight w:val="77"/>
        </w:trPr>
        <w:tc>
          <w:tcPr>
            <w:tcW w:w="30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60"/>
          </w:cols>
          <w:pgMar w:left="220" w:top="674"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759960" cy="683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9960"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Release: Wednesday, Jan. 14, 2015, 8 a.m. 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GM Expects Improved Profitability in 2015</w:t>
      </w:r>
    </w:p>
    <w:p>
      <w:pPr>
        <w:spacing w:after="0" w:line="179" w:lineRule="exact"/>
        <w:rPr>
          <w:sz w:val="20"/>
          <w:szCs w:val="20"/>
          <w:color w:val="auto"/>
        </w:rPr>
      </w:pPr>
    </w:p>
    <w:p>
      <w:pPr>
        <w:ind w:left="540" w:hanging="268"/>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Expects higher EBIT-adjusted and EBIT-adjusted margins in 2015</w:t>
      </w:r>
    </w:p>
    <w:p>
      <w:pPr>
        <w:spacing w:after="0" w:line="18" w:lineRule="exact"/>
        <w:rPr>
          <w:rFonts w:ascii="Arial" w:cs="Arial" w:eastAsia="Arial" w:hAnsi="Arial"/>
          <w:sz w:val="15"/>
          <w:szCs w:val="15"/>
          <w:color w:val="auto"/>
        </w:rPr>
      </w:pPr>
    </w:p>
    <w:p>
      <w:pPr>
        <w:ind w:left="540" w:hanging="268"/>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Reaffirms previously announced 2016 targets and plan to achieve</w:t>
      </w:r>
    </w:p>
    <w:p>
      <w:pPr>
        <w:spacing w:after="0" w:line="3" w:lineRule="exact"/>
        <w:rPr>
          <w:rFonts w:ascii="Arial" w:cs="Arial" w:eastAsia="Arial" w:hAnsi="Arial"/>
          <w:sz w:val="15"/>
          <w:szCs w:val="15"/>
          <w:color w:val="auto"/>
        </w:rPr>
      </w:pPr>
    </w:p>
    <w:p>
      <w:pPr>
        <w:ind w:left="540" w:hanging="268"/>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9- to 10-percent margin by early next decade</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(NYSE: GM) expects its total earnings before interest and tax (EBIT) adjusted and EBIT-adjusted margin to increase in 2015,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2014, after adjusting 2014 for the impact of recall costs. The company also anticipates improved automotive results in all regions.</w:t>
      </w:r>
    </w:p>
    <w:p>
      <w:pPr>
        <w:spacing w:after="0" w:line="129" w:lineRule="exact"/>
        <w:rPr>
          <w:sz w:val="20"/>
          <w:szCs w:val="20"/>
          <w:color w:val="auto"/>
        </w:rPr>
      </w:pPr>
    </w:p>
    <w:p>
      <w:pPr>
        <w:ind w:right="540"/>
        <w:spacing w:after="0" w:line="271" w:lineRule="auto"/>
        <w:rPr>
          <w:sz w:val="20"/>
          <w:szCs w:val="20"/>
          <w:color w:val="auto"/>
        </w:rPr>
      </w:pPr>
      <w:r>
        <w:rPr>
          <w:rFonts w:ascii="Arial" w:cs="Arial" w:eastAsia="Arial" w:hAnsi="Arial"/>
          <w:sz w:val="16"/>
          <w:szCs w:val="16"/>
          <w:color w:val="auto"/>
        </w:rPr>
        <w:t>This outlook is based on modest global industry growth expected in 2015, which will result primarily from continued growth in China, Europe and the United States, and ongoing launches of key vehicles.</w:t>
      </w:r>
    </w:p>
    <w:p>
      <w:pPr>
        <w:spacing w:after="0" w:line="13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CEO Mary Barra, President Dan Ammann, and Executive Vice President and CFO Chuck Stevens shared this outlook with investor analysts attending the Deutsche Bank 2015 Global Auto Industry Conference in Detroit.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GM reiterated it is on track to meet its previously announced 2016 financial targets to achieve EBIT-adjusted margins in North America of 10 percent; to return to profitability in Europe, and to maintain strong margins in China.</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company also said its plan puts it on the path to achieve 9- to 10-percent margins by early next decade. The strategic plan, shared during the Global Business Conference held in October 2014, includes several major initiatives: lead in product and technology; grow the Chevrolet and Cadillac brands globally; continue growing in China; continue growing GM Financial, and deliver core operating efficiencies.</w:t>
      </w:r>
    </w:p>
    <w:p>
      <w:pPr>
        <w:spacing w:after="0" w:line="145" w:lineRule="exact"/>
        <w:rPr>
          <w:sz w:val="20"/>
          <w:szCs w:val="20"/>
          <w:color w:val="auto"/>
        </w:rPr>
      </w:pPr>
    </w:p>
    <w:p>
      <w:pPr>
        <w:ind w:right="880"/>
        <w:spacing w:after="0" w:line="305" w:lineRule="auto"/>
        <w:rPr>
          <w:sz w:val="20"/>
          <w:szCs w:val="20"/>
          <w:color w:val="auto"/>
        </w:rPr>
      </w:pPr>
      <w:r>
        <w:rPr>
          <w:rFonts w:ascii="Arial" w:cs="Arial" w:eastAsia="Arial" w:hAnsi="Arial"/>
          <w:sz w:val="15"/>
          <w:szCs w:val="15"/>
          <w:color w:val="auto"/>
        </w:rPr>
        <w:t>“We had a pivotal year in 2014, outlining a customer-focused strategic plan for the company and delivering on our commitments by achieving strong core operating performance,” Barra said. “We’ll build on this momentum in 2015 and continue executing our plan to become the most-valued automotive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Among key accomplishments for 2014, Barra noted the following:</w:t>
      </w:r>
    </w:p>
    <w:p>
      <w:pPr>
        <w:spacing w:after="0" w:line="179" w:lineRule="exact"/>
        <w:rPr>
          <w:sz w:val="20"/>
          <w:szCs w:val="20"/>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Earned the most J.D. Power Initial Quality Study awards for second consecutive year in the United States.</w:t>
      </w:r>
    </w:p>
    <w:p>
      <w:pPr>
        <w:spacing w:after="0" w:line="16"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Launched more models in North America with 4G LTE mobile broadband than all other automakers combined.</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GM and its joint ventures sold a record 3.5 million vehicles in China, up</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12.0 percent from 2013.</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Opel/Vauxhall market share in Europe grew for the second year in a row, including increases in 12 European markets.</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Achieved five straight quarters of EBIT-adjusted margin growth in North America through the third quarter of 2014 (excluding recalls).</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Standard &amp; Poor’s upgraded GM and GM Financial to investment grade.</w:t>
      </w:r>
    </w:p>
    <w:p>
      <w:pPr>
        <w:spacing w:after="0" w:line="2"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Returned $2.0 billion to common stock shareholders through dividends.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To support its future growth, GM plans to increase capital expenditures to approximately $9 billion in 2015, reflecting increased investments in products and technologies.</w:t>
      </w:r>
    </w:p>
    <w:p>
      <w:pPr>
        <w:sectPr>
          <w:pgSz w:w="11900" w:h="16838" w:orient="portrait"/>
          <w:cols w:equalWidth="0" w:num="1">
            <w:col w:w="11460"/>
          </w:cols>
          <w:pgMar w:left="220" w:top="501"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“Overall, 2014 was a very solid year in which we met expectations on core operating performance, despite a number of significant headwinds,” Stevens said.</w:t>
      </w:r>
    </w:p>
    <w:p>
      <w:pPr>
        <w:spacing w:after="0" w:line="1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“Importantly, improvements in 2015 will keep us firmly on track to meet our near-term objectives and demonstrate solid progress toward our targeted margins of 9 to 10 percent by early next decade.”</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(NYSE:GM, TSX: GMM) and its partners produce vehicles in 30 countries, and the company has leadership positions in the world's largest and fastest-growing automotive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4"/>
          <w:szCs w:val="14"/>
          <w:u w:val="single" w:color="auto"/>
          <w:color w:val="0000FF"/>
        </w:rPr>
        <w:t>http://www.gm.com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Tom Henderson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GM Finance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313-410-2704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tom.e.henderson@gm.com</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8"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60"/>
          </w:cols>
          <w:pgMar w:left="220" w:top="674" w:right="219" w:bottom="1440" w:gutter="0" w:footer="0" w:header="0"/>
        </w:sectPr>
      </w:pPr>
    </w:p>
    <w:bookmarkStart w:id="5" w:name="page6"/>
    <w:bookmarkEnd w:id="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5996940</wp:posOffset>
            </wp:positionV>
            <wp:extent cx="721423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6122670</wp:posOffset>
            </wp:positionV>
            <wp:extent cx="721423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6122670</wp:posOffset>
            </wp:positionV>
            <wp:extent cx="721423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6122670</wp:posOffset>
            </wp:positionV>
            <wp:extent cx="721423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04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23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2019-12-08T22:33:43Z</dcterms:created>
  <dcterms:modified xsi:type="dcterms:W3CDTF">2019-12-08T22:33:43Z</dcterms:modified>
</cp:coreProperties>
</file>