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581660</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January 15, 2013</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201"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34"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315"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Soliciting material pursuant to Rule 14a-12 under the Exchange Act (17-CFR 240.14a-12)</w:t>
      </w:r>
    </w:p>
    <w:p>
      <w:pPr>
        <w:spacing w:after="0" w:line="315"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315" w:lineRule="exact"/>
        <w:rPr>
          <w:rFonts w:ascii="MS PGothic" w:cs="MS PGothic" w:eastAsia="MS PGothic" w:hAnsi="MS PGothic"/>
          <w:sz w:val="16"/>
          <w:szCs w:val="16"/>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78105</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228" w:right="819" w:bottom="1440" w:gutter="0" w:footer="0" w:header="0"/>
        </w:sectPr>
      </w:pPr>
    </w:p>
    <w:bookmarkStart w:id="1" w:name="page2"/>
    <w:bookmarkEnd w:id="1"/>
    <w:p>
      <w:pPr>
        <w:ind w:left="4860"/>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Press Release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Analyst Presentation Charts - Overview of GM and GM Segments' 2012 Accomplishments and 2013 Outlook</w:t>
      </w:r>
    </w:p>
    <w:p>
      <w:pPr>
        <w:sectPr>
          <w:pgSz w:w="11900" w:h="16838" w:orient="portrait"/>
          <w:cols w:equalWidth="0" w:num="1">
            <w:col w:w="10219"/>
          </w:cols>
          <w:pgMar w:left="240" w:top="533"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5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On January 15, 2013 Mr. Daniel Ammann, Senior Vice President - Chief Financial Officer of General Motors Company (GM), Mr. Chuck Stevens, General Motors North America CFO, Mr. Michael Lohscheller, General Motors Europe Vice President &amp; CFO and Timothy Stonesifer General Motors International Operations CFO made presentations to financial analysts to provide an overview of GM's and each of GM segment's 2012 accomplishments and 2013 outlook including opportunities and challenges. In connection with the presentations GM also issued a press release. The press release and presentations contain certain information not previously publicly disclosed. GM press release and presentations to financial analysts are attached as Exhibits 99.1 and 99.2.</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20" w:type="dxa"/>
            <w:vAlign w:val="bottom"/>
            <w:gridSpan w:val="7"/>
          </w:tcPr>
          <w:p>
            <w:pPr>
              <w:spacing w:after="0"/>
              <w:rPr>
                <w:sz w:val="20"/>
                <w:szCs w:val="20"/>
                <w:color w:val="auto"/>
              </w:rPr>
            </w:pPr>
            <w:r>
              <w:rPr>
                <w:rFonts w:ascii="Arial" w:cs="Arial" w:eastAsia="Arial" w:hAnsi="Arial"/>
                <w:sz w:val="16"/>
                <w:szCs w:val="16"/>
                <w:b w:val="1"/>
                <w:bCs w:val="1"/>
                <w:color w:val="auto"/>
              </w:rPr>
              <w:t>ITEM 9.01 FINANCIAL STATEMENTS AND EXHIBITS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54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11"/>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34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1"/>
        </w:trPr>
        <w:tc>
          <w:tcPr>
            <w:tcW w:w="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4000" w:type="dxa"/>
            <w:vAlign w:val="bottom"/>
            <w:gridSpan w:val="4"/>
          </w:tcPr>
          <w:p>
            <w:pPr>
              <w:spacing w:after="0"/>
              <w:rPr>
                <w:sz w:val="20"/>
                <w:szCs w:val="20"/>
                <w:color w:val="auto"/>
              </w:rPr>
            </w:pPr>
            <w:r>
              <w:rPr>
                <w:rFonts w:ascii="Arial" w:cs="Arial" w:eastAsia="Arial" w:hAnsi="Arial"/>
                <w:sz w:val="16"/>
                <w:szCs w:val="16"/>
                <w:color w:val="auto"/>
              </w:rPr>
              <w:t>Press Release</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29"/>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4000" w:type="dxa"/>
            <w:vAlign w:val="bottom"/>
            <w:gridSpan w:val="4"/>
          </w:tcPr>
          <w:p>
            <w:pPr>
              <w:spacing w:after="0"/>
              <w:rPr>
                <w:sz w:val="20"/>
                <w:szCs w:val="20"/>
                <w:color w:val="auto"/>
              </w:rPr>
            </w:pPr>
            <w:r>
              <w:rPr>
                <w:rFonts w:ascii="Arial" w:cs="Arial" w:eastAsia="Arial" w:hAnsi="Arial"/>
                <w:sz w:val="16"/>
                <w:szCs w:val="16"/>
                <w:color w:val="auto"/>
              </w:rPr>
              <w:t>Analyst Presentation Charts - Overview of GM and GM</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0" w:type="dxa"/>
            <w:vAlign w:val="bottom"/>
            <w:gridSpan w:val="4"/>
          </w:tcPr>
          <w:p>
            <w:pPr>
              <w:spacing w:after="0"/>
              <w:rPr>
                <w:sz w:val="20"/>
                <w:szCs w:val="20"/>
                <w:color w:val="auto"/>
              </w:rPr>
            </w:pPr>
            <w:r>
              <w:rPr>
                <w:rFonts w:ascii="Arial" w:cs="Arial" w:eastAsia="Arial" w:hAnsi="Arial"/>
                <w:sz w:val="16"/>
                <w:szCs w:val="16"/>
                <w:color w:val="auto"/>
              </w:rPr>
              <w:t>Segments' 2012 Accomplishments and 2013 Outlook</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ectPr>
          <w:pgSz w:w="11900" w:h="16838" w:orient="portrait"/>
          <w:cols w:equalWidth="0" w:num="1">
            <w:col w:w="11360"/>
          </w:cols>
          <w:pgMar w:left="240" w:top="919" w:right="29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NICK S. CYPRUS</w:t>
            </w:r>
          </w:p>
        </w:tc>
        <w:tc>
          <w:tcPr>
            <w:tcW w:w="0" w:type="dxa"/>
            <w:vAlign w:val="bottom"/>
          </w:tcPr>
          <w:p>
            <w:pPr>
              <w:spacing w:after="0"/>
              <w:rPr>
                <w:sz w:val="1"/>
                <w:szCs w:val="1"/>
                <w:color w:val="auto"/>
              </w:rPr>
            </w:pPr>
          </w:p>
        </w:tc>
      </w:tr>
      <w:tr>
        <w:trPr>
          <w:trHeight w:val="24"/>
        </w:trPr>
        <w:tc>
          <w:tcPr>
            <w:tcW w:w="3140" w:type="dxa"/>
            <w:vAlign w:val="bottom"/>
            <w:vMerge w:val="restart"/>
          </w:tcPr>
          <w:p>
            <w:pPr>
              <w:spacing w:after="0"/>
              <w:rPr>
                <w:sz w:val="20"/>
                <w:szCs w:val="20"/>
                <w:color w:val="auto"/>
              </w:rPr>
            </w:pPr>
            <w:r>
              <w:rPr>
                <w:rFonts w:ascii="Arial" w:cs="Arial" w:eastAsia="Arial" w:hAnsi="Arial"/>
                <w:sz w:val="16"/>
                <w:szCs w:val="16"/>
                <w:color w:val="auto"/>
              </w:rPr>
              <w:t>Date: January 15, 2013</w:t>
            </w:r>
          </w:p>
        </w:tc>
        <w:tc>
          <w:tcPr>
            <w:tcW w:w="2280" w:type="dxa"/>
            <w:vAlign w:val="bottom"/>
            <w:vMerge w:val="restart"/>
          </w:tcPr>
          <w:p>
            <w:pPr>
              <w:ind w:left="166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1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Nick S. Cyprus</w:t>
            </w:r>
          </w:p>
        </w:tc>
        <w:tc>
          <w:tcPr>
            <w:tcW w:w="0" w:type="dxa"/>
            <w:vAlign w:val="bottom"/>
          </w:tcPr>
          <w:p>
            <w:pPr>
              <w:spacing w:after="0"/>
              <w:rPr>
                <w:sz w:val="1"/>
                <w:szCs w:val="1"/>
                <w:color w:val="auto"/>
              </w:rPr>
            </w:pPr>
          </w:p>
        </w:tc>
      </w:tr>
      <w:tr>
        <w:trPr>
          <w:trHeight w:val="205"/>
        </w:trPr>
        <w:tc>
          <w:tcPr>
            <w:tcW w:w="3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40"/>
          </w:cols>
          <w:pgMar w:left="240" w:top="726"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5223510" cy="750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3510" cy="75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Jan. 15, 2013, 4:15 p.m. EST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GM Expects Profits to Grow in 2013 on New Vehicles</w:t>
      </w:r>
    </w:p>
    <w:p>
      <w:pPr>
        <w:spacing w:after="0" w:line="20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forecasts modest global industry growth in 2013 driven by the United States and China, while</w:t>
      </w:r>
      <w:r>
        <w:rPr>
          <w:rFonts w:ascii="Arial" w:cs="Arial" w:eastAsia="Arial" w:hAnsi="Arial"/>
          <w:sz w:val="18"/>
          <w:szCs w:val="18"/>
          <w:b w:val="1"/>
          <w:bCs w:val="1"/>
          <w:color w:val="auto"/>
        </w:rPr>
        <w:t xml:space="preserve"> </w:t>
      </w:r>
      <w:r>
        <w:rPr>
          <w:rFonts w:ascii="Arial" w:cs="Arial" w:eastAsia="Arial" w:hAnsi="Arial"/>
          <w:sz w:val="18"/>
          <w:szCs w:val="18"/>
          <w:color w:val="auto"/>
        </w:rPr>
        <w:t>Europe is expected to experience further contraction. Based on this outlook and a strong cadence of new vehicle introductions, the company expects its global profitability to rise modestly in 2013 on an earnings before interest and tax (EBIT) adjusted basis, with improvements anticipated from each region.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outlook was shared with investment analysts attending the Deutsche Bank 2013 Global Auto Industry Conference in Detroit.</w:t>
      </w:r>
    </w:p>
    <w:p>
      <w:pPr>
        <w:spacing w:after="0" w:line="191"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“Our portfolio of new, world-class vehicles puts us on a strong footing to grow profitably,” said Dan Ammann, GM senior vice president and chief financial officer. “We're launching more vehicles globally than at any time in our history and some of our most important models are targeting the two largest markets in the world - the U.S. and China.”</w:t>
      </w:r>
    </w:p>
    <w:p>
      <w:pPr>
        <w:spacing w:after="0" w:line="18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U.S. product renaissance, which started in 2012, will see 70 percent of GM's portfolio completely refreshed by the end of 2013. In 2011, GM and its joint venture partners in China began the rollout of more than 60 new or upgraded models that will hit the market there through 2015.</w:t>
      </w:r>
    </w:p>
    <w:p>
      <w:pPr>
        <w:spacing w:after="0" w:line="160"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 xml:space="preserve">Some of the key vehicles launching around the world include the </w:t>
      </w:r>
      <w:r>
        <w:rPr>
          <w:rFonts w:ascii="Arial" w:cs="Arial" w:eastAsia="Arial" w:hAnsi="Arial"/>
          <w:sz w:val="18"/>
          <w:szCs w:val="18"/>
          <w:u w:val="single" w:color="auto"/>
          <w:color w:val="0000FF"/>
        </w:rPr>
        <w:t>Chevrolet Silverado</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GMC Sierra</w:t>
      </w:r>
      <w:r>
        <w:rPr>
          <w:rFonts w:ascii="Arial" w:cs="Arial" w:eastAsia="Arial" w:hAnsi="Arial"/>
          <w:sz w:val="18"/>
          <w:szCs w:val="18"/>
          <w:color w:val="auto"/>
        </w:rPr>
        <w:t xml:space="preserve"> full-size pickups, </w:t>
      </w:r>
      <w:r>
        <w:rPr>
          <w:rFonts w:ascii="Arial" w:cs="Arial" w:eastAsia="Arial" w:hAnsi="Arial"/>
          <w:sz w:val="18"/>
          <w:szCs w:val="18"/>
          <w:u w:val="single" w:color="auto"/>
          <w:color w:val="0000FF"/>
        </w:rPr>
        <w:t>Chevrolet Impala</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Corvette Stingray</w:t>
      </w:r>
      <w:r>
        <w:rPr>
          <w:rFonts w:ascii="Arial" w:cs="Arial" w:eastAsia="Arial" w:hAnsi="Arial"/>
          <w:sz w:val="18"/>
          <w:szCs w:val="18"/>
          <w:color w:val="000000"/>
        </w:rPr>
        <w:t>, and Cadillac CTS in North America;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Opel Adam, Cascada</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Mokka,</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Chevrolet Trax</w:t>
      </w:r>
      <w:r>
        <w:rPr>
          <w:rFonts w:ascii="Arial" w:cs="Arial" w:eastAsia="Arial" w:hAnsi="Arial"/>
          <w:sz w:val="18"/>
          <w:szCs w:val="18"/>
          <w:color w:val="0000FF"/>
        </w:rPr>
        <w:t xml:space="preserve"> </w:t>
      </w:r>
      <w:r>
        <w:rPr>
          <w:rFonts w:ascii="Arial" w:cs="Arial" w:eastAsia="Arial" w:hAnsi="Arial"/>
          <w:sz w:val="18"/>
          <w:szCs w:val="18"/>
          <w:color w:val="000000"/>
        </w:rPr>
        <w:t>in Europe; the Chevrolet Onix</w:t>
      </w:r>
      <w:r>
        <w:rPr>
          <w:rFonts w:ascii="Arial" w:cs="Arial" w:eastAsia="Arial" w:hAnsi="Arial"/>
          <w:sz w:val="18"/>
          <w:szCs w:val="18"/>
          <w:color w:val="0000FF"/>
        </w:rPr>
        <w:t xml:space="preserve"> </w:t>
      </w:r>
      <w:r>
        <w:rPr>
          <w:rFonts w:ascii="Arial" w:cs="Arial" w:eastAsia="Arial" w:hAnsi="Arial"/>
          <w:sz w:val="18"/>
          <w:szCs w:val="18"/>
          <w:color w:val="000000"/>
        </w:rPr>
        <w:t xml:space="preserve">and </w:t>
      </w:r>
      <w:r>
        <w:rPr>
          <w:rFonts w:ascii="Arial" w:cs="Arial" w:eastAsia="Arial" w:hAnsi="Arial"/>
          <w:sz w:val="18"/>
          <w:szCs w:val="18"/>
          <w:u w:val="single" w:color="auto"/>
          <w:color w:val="0000FF"/>
        </w:rPr>
        <w:t>Spin</w:t>
      </w:r>
      <w:r>
        <w:rPr>
          <w:rFonts w:ascii="Arial" w:cs="Arial" w:eastAsia="Arial" w:hAnsi="Arial"/>
          <w:sz w:val="18"/>
          <w:szCs w:val="18"/>
          <w:color w:val="000000"/>
        </w:rPr>
        <w:t xml:space="preserve"> in South America; and the </w:t>
      </w:r>
      <w:r>
        <w:rPr>
          <w:rFonts w:ascii="Arial" w:cs="Arial" w:eastAsia="Arial" w:hAnsi="Arial"/>
          <w:sz w:val="18"/>
          <w:szCs w:val="18"/>
          <w:u w:val="single" w:color="auto"/>
          <w:color w:val="0000FF"/>
        </w:rPr>
        <w:t>Cadillac XTS</w:t>
      </w:r>
      <w:r>
        <w:rPr>
          <w:rFonts w:ascii="Arial" w:cs="Arial" w:eastAsia="Arial" w:hAnsi="Arial"/>
          <w:sz w:val="18"/>
          <w:szCs w:val="18"/>
          <w:color w:val="000000"/>
        </w:rPr>
        <w:t xml:space="preserve"> and </w:t>
      </w:r>
      <w:r>
        <w:rPr>
          <w:rFonts w:ascii="Arial" w:cs="Arial" w:eastAsia="Arial" w:hAnsi="Arial"/>
          <w:sz w:val="18"/>
          <w:szCs w:val="18"/>
          <w:u w:val="single" w:color="auto"/>
          <w:color w:val="0000FF"/>
        </w:rPr>
        <w:t>Chevrolet Sail</w:t>
      </w:r>
      <w:r>
        <w:rPr>
          <w:rFonts w:ascii="Arial" w:cs="Arial" w:eastAsia="Arial" w:hAnsi="Arial"/>
          <w:sz w:val="18"/>
          <w:szCs w:val="18"/>
          <w:color w:val="000000"/>
        </w:rPr>
        <w:t xml:space="preserve"> in China.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Fortress Balance Sheet Reinforced, Challenges Met, Progress Made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Ammann noted that 2012 was a year in which the company improved its competitiveness, positioning it for sustained, positive growth.</w:t>
      </w:r>
    </w:p>
    <w:p>
      <w:pPr>
        <w:spacing w:after="0" w:line="189" w:lineRule="exact"/>
        <w:rPr>
          <w:sz w:val="20"/>
          <w:szCs w:val="20"/>
          <w:color w:val="auto"/>
        </w:rPr>
      </w:pPr>
    </w:p>
    <w:p>
      <w:pPr>
        <w:ind w:left="340" w:hanging="283"/>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South America results - returned region to profitability</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Europe action - outlined plan to break even by mid-decade</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Pension risk lowered - reduced by $29 billion</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Financial flexibility increased - obtained an investment grade $11 billion revolver</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Continued strong liquidity - total liquidity of $37.5 billion (Q3, 2012)</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Capital expenditures increased - total of approximately $8 billion for 2012</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Ownership by U.S. Treasury - overhang addressed and capital returned</w:t>
      </w:r>
    </w:p>
    <w:p>
      <w:pPr>
        <w:ind w:left="340" w:right="60" w:hanging="283"/>
        <w:spacing w:after="0" w:line="243"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Financial expanded - acquisition of Ally international operations to help close financing gap with coverage in 80 percent of markets where GM competes</w:t>
      </w:r>
    </w:p>
    <w:p>
      <w:pPr>
        <w:spacing w:after="0" w:line="18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“We've developed a fortress balance sheet, our brands are getting stronger, and we've been disciplined in running our business,” Ammann said. “We're now positioned to take a 'straight-line' investment approach to vehicle development so that we can sustain profitability throughout the business cycle.”</w:t>
      </w:r>
    </w:p>
    <w:p>
      <w:pPr>
        <w:sectPr>
          <w:pgSz w:w="11900" w:h="16838" w:orient="portrait"/>
          <w:cols w:equalWidth="0" w:num="1">
            <w:col w:w="11440"/>
          </w:cols>
          <w:pgMar w:left="240" w:top="537" w:right="219" w:bottom="1440" w:gutter="0" w:footer="0" w:header="0"/>
        </w:sectPr>
      </w:pPr>
    </w:p>
    <w:bookmarkStart w:id="5" w:name="page6"/>
    <w:bookmarkEnd w:id="5"/>
    <w:p>
      <w:pPr>
        <w:ind w:right="80"/>
        <w:spacing w:after="0" w:line="264"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(NYSE:GM, TSX: GMM) and its partners produce vehicles in 30 countries, and the company has leadership positions in the world's largest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GM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313-410-2704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tom.e.henderson@gm.com</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the overall strength and stability of our markets, particularly Europe;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20"/>
          </w:cols>
          <w:pgMar w:left="240" w:top="529" w:right="239" w:bottom="1440" w:gutter="0" w:footer="0" w:header="0"/>
        </w:sectPr>
      </w:pPr>
    </w:p>
    <w:bookmarkStart w:id="6" w:name="page7"/>
    <w:bookmarkEnd w:id="6"/>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2019-12-07T20:40:30Z</dcterms:created>
  <dcterms:modified xsi:type="dcterms:W3CDTF">2019-12-07T20:40:30Z</dcterms:modified>
</cp:coreProperties>
</file>