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3,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July 3,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July 3, 2012, General Motors Company (GM) issued a news release announcing June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July 3,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600"/>
          </w:cols>
          <w:pgMar w:left="240" w:top="796" w:right="10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8"/>
                <w:szCs w:val="18"/>
                <w:color w:val="auto"/>
              </w:rPr>
              <w:t>Date: July 5, 2012</w:t>
            </w:r>
          </w:p>
        </w:tc>
        <w:tc>
          <w:tcPr>
            <w:tcW w:w="2340" w:type="dxa"/>
            <w:vAlign w:val="bottom"/>
            <w:vMerge w:val="restart"/>
          </w:tcPr>
          <w:p>
            <w:pPr>
              <w:ind w:left="174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973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7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300"/>
        <w:spacing w:after="0"/>
        <w:rPr>
          <w:sz w:val="20"/>
          <w:szCs w:val="20"/>
          <w:color w:val="auto"/>
        </w:rPr>
      </w:pPr>
      <w:r>
        <w:rPr>
          <w:rFonts w:ascii="Arial" w:cs="Arial" w:eastAsia="Arial" w:hAnsi="Arial"/>
          <w:sz w:val="25"/>
          <w:szCs w:val="25"/>
          <w:b w:val="1"/>
          <w:bCs w:val="1"/>
          <w:color w:val="auto"/>
        </w:rPr>
        <w:t>Exhibit 99.1</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July 3,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Reports June U.S. Sales up 16 percent</w:t>
      </w:r>
    </w:p>
    <w:p>
      <w:pPr>
        <w:spacing w:after="0" w:line="246"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June sales of 248,750 vehicles in the United States, up 16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year over year and the company's highest sales since September 2008. Chevrolet, Buick, GMC and Cadillac all reported double-digit increases.</w:t>
      </w:r>
    </w:p>
    <w:p>
      <w:pPr>
        <w:spacing w:after="0" w:line="196" w:lineRule="exact"/>
        <w:rPr>
          <w:sz w:val="20"/>
          <w:szCs w:val="20"/>
          <w:color w:val="auto"/>
        </w:rPr>
      </w:pPr>
    </w:p>
    <w:p>
      <w:pPr>
        <w:jc w:val="both"/>
        <w:ind w:right="180"/>
        <w:spacing w:after="0" w:line="243" w:lineRule="auto"/>
        <w:rPr>
          <w:sz w:val="20"/>
          <w:szCs w:val="20"/>
          <w:color w:val="auto"/>
        </w:rPr>
      </w:pPr>
      <w:r>
        <w:rPr>
          <w:rFonts w:ascii="Arial" w:cs="Arial" w:eastAsia="Arial" w:hAnsi="Arial"/>
          <w:sz w:val="20"/>
          <w:szCs w:val="20"/>
          <w:color w:val="auto"/>
        </w:rPr>
        <w:t>“Across the board, June was a strong month for GM,” said Kurt McNeil, vice president, U.S. Sales Operations. “The combination of new products, available credit, lower fuel prices and modest economic growth was a stronger influence on consumer behavior than economic and political uncertainty."</w:t>
      </w:r>
    </w:p>
    <w:p>
      <w:pPr>
        <w:spacing w:after="0" w:line="206"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For the month, GM passenger car sales were up 12 percent year over year, thanks to a 32 percent increase in Chevrolet Malibu sales and a 21 percent increase in Buick LaCrosse sales.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Combined sales of all seven Chevrolet, Buick, GMC and Cadillac crossovers were up 30 percent versus a year ago.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Truck sales were up 11 percent, with all pickup, van and SUV segments up year over year.</w:t>
      </w:r>
    </w:p>
    <w:p>
      <w:pPr>
        <w:spacing w:after="0" w:line="21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Retail deliveries were up 8 percent year over year. Fleet deliveries were up 36 percent versus a year ago due in part to the timing of customer deliveries. In July, fleet volumes and mix are expected be down month over month and year over year.</w:t>
      </w:r>
    </w:p>
    <w:p>
      <w:pPr>
        <w:spacing w:after="0" w:line="202"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auto"/>
        </w:rPr>
        <w:t>GM's newest vehicles continue to perform well. Sales of the Buick Verano were 4,091 in June, and have increased each month since the car launched in December 2011. Chevrolet Sonic sales were 6,785 units and it is the retail sales leader in its segment. The new Cadillac XTS began arriving in showrooms in June, and dealers delivered more than 750 vehicles. Over the course of 2012 and 2013, 70 percent of GM's nameplates will be all-new or redesigned.</w:t>
      </w:r>
    </w:p>
    <w:p>
      <w:pPr>
        <w:spacing w:after="0" w:line="200" w:lineRule="exact"/>
        <w:rPr>
          <w:sz w:val="20"/>
          <w:szCs w:val="20"/>
          <w:color w:val="auto"/>
        </w:rPr>
      </w:pPr>
    </w:p>
    <w:p>
      <w:pPr>
        <w:spacing w:after="0" w:line="342" w:lineRule="exact"/>
        <w:rPr>
          <w:sz w:val="20"/>
          <w:szCs w:val="20"/>
          <w:color w:val="auto"/>
        </w:rPr>
      </w:pPr>
    </w:p>
    <w:tbl>
      <w:tblPr>
        <w:tblLayout w:type="fixed"/>
        <w:tblInd w:w="390" w:type="dxa"/>
        <w:tblCellMar>
          <w:top w:w="0" w:type="dxa"/>
          <w:left w:w="0" w:type="dxa"/>
          <w:bottom w:w="0" w:type="dxa"/>
          <w:right w:w="0" w:type="dxa"/>
        </w:tblCellMar>
      </w:tblPr>
      <w:tr>
        <w:trPr>
          <w:trHeight w:val="180"/>
        </w:trPr>
        <w:tc>
          <w:tcPr>
            <w:tcW w:w="1740" w:type="dxa"/>
            <w:vAlign w:val="bottom"/>
            <w:tcBorders>
              <w:top w:val="single" w:sz="8" w:color="auto"/>
              <w:left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June Retail</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Retail Change vs.</w:t>
            </w:r>
          </w:p>
        </w:tc>
        <w:tc>
          <w:tcPr>
            <w:tcW w:w="106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CYTD</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CYTD Retail</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CYTD</w:t>
            </w: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2012 Highlights</w:t>
            </w:r>
          </w:p>
        </w:tc>
        <w:tc>
          <w:tcPr>
            <w:tcW w:w="108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4"/>
                <w:szCs w:val="14"/>
                <w:b w:val="1"/>
                <w:bCs w:val="1"/>
                <w:color w:val="auto"/>
                <w:w w:val="92"/>
              </w:rPr>
              <w:t>June Total Sales</w:t>
            </w:r>
          </w:p>
        </w:tc>
        <w:tc>
          <w:tcPr>
            <w:tcW w:w="118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tcPr>
          <w:p>
            <w:pPr>
              <w:ind w:left="320"/>
              <w:spacing w:after="0" w:line="158" w:lineRule="exact"/>
              <w:rPr>
                <w:sz w:val="20"/>
                <w:szCs w:val="20"/>
                <w:color w:val="auto"/>
              </w:rPr>
            </w:pPr>
            <w:r>
              <w:rPr>
                <w:rFonts w:ascii="Arial" w:cs="Arial" w:eastAsia="Arial" w:hAnsi="Arial"/>
                <w:sz w:val="14"/>
                <w:szCs w:val="14"/>
                <w:b w:val="1"/>
                <w:bCs w:val="1"/>
                <w:color w:val="auto"/>
              </w:rPr>
              <w:t>CYTD</w:t>
            </w:r>
          </w:p>
        </w:tc>
        <w:tc>
          <w:tcPr>
            <w:tcW w:w="9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Change vs.</w:t>
            </w:r>
          </w:p>
        </w:tc>
        <w:tc>
          <w:tcPr>
            <w:tcW w:w="106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2011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June 2011</w:t>
            </w:r>
          </w:p>
        </w:tc>
        <w:tc>
          <w:tcPr>
            <w:tcW w:w="10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96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Chevrolet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180,098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14.8%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113,369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961,662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638,815</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4.4%</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GMC</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37,677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14.9%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29,399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201,041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166,771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Buick</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18,851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15,096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17.5%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90,198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(3.6%)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78,469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Cadillac</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12,124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11.6%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11,155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9.2%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62,812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(17.5%)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60,082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(8.5%)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248,750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15.5%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169,019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1,315,713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944,137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1" w:lineRule="exact"/>
        <w:rPr>
          <w:sz w:val="20"/>
          <w:szCs w:val="20"/>
          <w:color w:val="auto"/>
        </w:rPr>
      </w:pPr>
    </w:p>
    <w:tbl>
      <w:tblPr>
        <w:tblLayout w:type="fixed"/>
        <w:tblInd w:w="1930" w:type="dxa"/>
        <w:tblCellMar>
          <w:top w:w="0" w:type="dxa"/>
          <w:left w:w="0" w:type="dxa"/>
          <w:bottom w:w="0" w:type="dxa"/>
          <w:right w:w="0" w:type="dxa"/>
        </w:tblCellMar>
      </w:tblPr>
      <w:tr>
        <w:trPr>
          <w:trHeight w:val="210"/>
        </w:trPr>
        <w:tc>
          <w:tcPr>
            <w:tcW w:w="15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Industry Sales</w:t>
            </w:r>
          </w:p>
        </w:tc>
        <w:tc>
          <w:tcPr>
            <w:tcW w:w="154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8"/>
              </w:rPr>
              <w:t>June SAAR (est.)</w:t>
            </w:r>
          </w:p>
        </w:tc>
        <w:tc>
          <w:tcPr>
            <w:tcW w:w="360" w:type="dxa"/>
            <w:vAlign w:val="bottom"/>
            <w:tcBorders>
              <w:top w:val="single" w:sz="8" w:color="auto"/>
              <w:bottom w:val="single" w:sz="8" w:color="auto"/>
              <w:right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99"/>
              </w:rPr>
              <w:t>CYTD SAAR (est.)</w:t>
            </w:r>
          </w:p>
        </w:tc>
        <w:tc>
          <w:tcPr>
            <w:tcW w:w="240" w:type="dxa"/>
            <w:vAlign w:val="bottom"/>
            <w:tcBorders>
              <w:top w:val="single" w:sz="8" w:color="auto"/>
              <w:bottom w:val="single" w:sz="8" w:color="auto"/>
              <w:right w:val="single" w:sz="8" w:color="auto"/>
            </w:tcBorders>
          </w:tcPr>
          <w:p>
            <w:pPr>
              <w:spacing w:after="0"/>
              <w:rPr>
                <w:sz w:val="18"/>
                <w:szCs w:val="18"/>
                <w:color w:val="auto"/>
              </w:rPr>
            </w:pPr>
          </w:p>
        </w:tc>
        <w:tc>
          <w:tcPr>
            <w:tcW w:w="25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Full Year 2012 (est.)</w:t>
            </w:r>
          </w:p>
        </w:tc>
        <w:tc>
          <w:tcPr>
            <w:tcW w:w="0" w:type="dxa"/>
            <w:vAlign w:val="bottom"/>
          </w:tcPr>
          <w:p>
            <w:pPr>
              <w:spacing w:after="0"/>
              <w:rPr>
                <w:sz w:val="1"/>
                <w:szCs w:val="1"/>
                <w:color w:val="auto"/>
              </w:rPr>
            </w:pPr>
          </w:p>
        </w:tc>
      </w:tr>
      <w:tr>
        <w:trPr>
          <w:trHeight w:val="196"/>
        </w:trPr>
        <w:tc>
          <w:tcPr>
            <w:tcW w:w="15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4"/>
              </w:rPr>
              <w:t>Light Vehicles</w:t>
            </w:r>
          </w:p>
        </w:tc>
        <w:tc>
          <w:tcPr>
            <w:tcW w:w="15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14.0 million range</w:t>
            </w:r>
          </w:p>
        </w:tc>
        <w:tc>
          <w:tcPr>
            <w:tcW w:w="3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5"/>
              </w:rPr>
              <w:t>14.3 million range</w:t>
            </w:r>
          </w:p>
        </w:tc>
        <w:tc>
          <w:tcPr>
            <w:tcW w:w="24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9"/>
              </w:rPr>
              <w:t>14.0 million - 14.5 million</w:t>
            </w:r>
          </w:p>
        </w:tc>
        <w:tc>
          <w:tcPr>
            <w:tcW w:w="0" w:type="dxa"/>
            <w:vAlign w:val="bottom"/>
          </w:tcPr>
          <w:p>
            <w:pPr>
              <w:spacing w:after="0"/>
              <w:rPr>
                <w:sz w:val="1"/>
                <w:szCs w:val="1"/>
                <w:color w:val="auto"/>
              </w:rPr>
            </w:pPr>
          </w:p>
        </w:tc>
      </w:tr>
      <w:tr>
        <w:trPr>
          <w:trHeight w:val="351"/>
        </w:trPr>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Inventory</w:t>
            </w:r>
          </w:p>
        </w:tc>
        <w:tc>
          <w:tcPr>
            <w:tcW w:w="80" w:type="dxa"/>
            <w:vAlign w:val="bottom"/>
          </w:tcPr>
          <w:p>
            <w:pPr>
              <w:spacing w:after="0"/>
              <w:rPr>
                <w:sz w:val="13"/>
                <w:szCs w:val="13"/>
                <w:color w:val="auto"/>
              </w:rPr>
            </w:pPr>
          </w:p>
        </w:tc>
        <w:tc>
          <w:tcPr>
            <w:tcW w:w="1280" w:type="dxa"/>
            <w:vAlign w:val="bottom"/>
            <w:tcBorders>
              <w:right w:val="single" w:sz="8" w:color="auto"/>
            </w:tcBorders>
          </w:tcPr>
          <w:p>
            <w:pPr>
              <w:jc w:val="center"/>
              <w:ind w:right="68"/>
              <w:spacing w:after="0" w:line="160" w:lineRule="exact"/>
              <w:rPr>
                <w:sz w:val="20"/>
                <w:szCs w:val="20"/>
                <w:color w:val="auto"/>
              </w:rPr>
            </w:pPr>
            <w:r>
              <w:rPr>
                <w:rFonts w:ascii="Arial" w:cs="Arial" w:eastAsia="Arial" w:hAnsi="Arial"/>
                <w:sz w:val="14"/>
                <w:szCs w:val="14"/>
                <w:b w:val="1"/>
                <w:bCs w:val="1"/>
                <w:color w:val="auto"/>
              </w:rPr>
              <w:t>Units @</w:t>
            </w:r>
          </w:p>
        </w:tc>
        <w:tc>
          <w:tcPr>
            <w:tcW w:w="1600" w:type="dxa"/>
            <w:vAlign w:val="bottom"/>
            <w:tcBorders>
              <w:right w:val="single" w:sz="8" w:color="auto"/>
            </w:tcBorders>
            <w:gridSpan w:val="3"/>
          </w:tcPr>
          <w:p>
            <w:pPr>
              <w:jc w:val="center"/>
              <w:spacing w:after="0" w:line="160" w:lineRule="exact"/>
              <w:rPr>
                <w:sz w:val="20"/>
                <w:szCs w:val="20"/>
                <w:color w:val="auto"/>
              </w:rPr>
            </w:pPr>
            <w:r>
              <w:rPr>
                <w:rFonts w:ascii="Arial" w:cs="Arial" w:eastAsia="Arial" w:hAnsi="Arial"/>
                <w:sz w:val="14"/>
                <w:szCs w:val="14"/>
                <w:b w:val="1"/>
                <w:bCs w:val="1"/>
                <w:color w:val="auto"/>
                <w:w w:val="90"/>
              </w:rPr>
              <w:t>Days Supply (selling</w:t>
            </w:r>
          </w:p>
        </w:tc>
        <w:tc>
          <w:tcPr>
            <w:tcW w:w="440" w:type="dxa"/>
            <w:vAlign w:val="bottom"/>
          </w:tcPr>
          <w:p>
            <w:pPr>
              <w:spacing w:after="0"/>
              <w:rPr>
                <w:sz w:val="13"/>
                <w:szCs w:val="13"/>
                <w:color w:val="auto"/>
              </w:rPr>
            </w:pPr>
          </w:p>
        </w:tc>
        <w:tc>
          <w:tcPr>
            <w:tcW w:w="1380" w:type="dxa"/>
            <w:vAlign w:val="bottom"/>
            <w:tcBorders>
              <w:right w:val="single" w:sz="8" w:color="auto"/>
            </w:tcBorders>
            <w:gridSpan w:val="2"/>
          </w:tcPr>
          <w:p>
            <w:pPr>
              <w:jc w:val="center"/>
              <w:ind w:right="408"/>
              <w:spacing w:after="0" w:line="160" w:lineRule="exact"/>
              <w:rPr>
                <w:sz w:val="20"/>
                <w:szCs w:val="20"/>
                <w:color w:val="auto"/>
              </w:rPr>
            </w:pPr>
            <w:r>
              <w:rPr>
                <w:rFonts w:ascii="Arial" w:cs="Arial" w:eastAsia="Arial" w:hAnsi="Arial"/>
                <w:sz w:val="14"/>
                <w:szCs w:val="14"/>
                <w:b w:val="1"/>
                <w:bCs w:val="1"/>
                <w:color w:val="auto"/>
              </w:rPr>
              <w:t>Units @</w:t>
            </w:r>
          </w:p>
        </w:tc>
        <w:tc>
          <w:tcPr>
            <w:tcW w:w="13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Days Supply (selling</w:t>
            </w:r>
          </w:p>
        </w:tc>
        <w:tc>
          <w:tcPr>
            <w:tcW w:w="0" w:type="dxa"/>
            <w:vAlign w:val="bottom"/>
          </w:tcPr>
          <w:p>
            <w:pPr>
              <w:spacing w:after="0"/>
              <w:rPr>
                <w:sz w:val="1"/>
                <w:szCs w:val="1"/>
                <w:color w:val="auto"/>
              </w:rPr>
            </w:pPr>
          </w:p>
        </w:tc>
      </w:tr>
      <w:tr>
        <w:trPr>
          <w:trHeight w:val="105"/>
        </w:trPr>
        <w:tc>
          <w:tcPr>
            <w:tcW w:w="14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Borders>
              <w:right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9"/>
                <w:szCs w:val="9"/>
                <w:color w:val="auto"/>
              </w:rPr>
            </w:pPr>
          </w:p>
        </w:tc>
        <w:tc>
          <w:tcPr>
            <w:tcW w:w="1340" w:type="dxa"/>
            <w:vAlign w:val="bottom"/>
            <w:tcBorders>
              <w:right w:val="single" w:sz="8" w:color="auto"/>
            </w:tcBorders>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1"/>
              </w:rPr>
              <w:t>days adjusted)</w:t>
            </w:r>
          </w:p>
        </w:tc>
        <w:tc>
          <w:tcPr>
            <w:tcW w:w="44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388"/>
              <w:spacing w:after="0"/>
              <w:rPr>
                <w:sz w:val="20"/>
                <w:szCs w:val="20"/>
                <w:color w:val="auto"/>
              </w:rPr>
            </w:pPr>
            <w:r>
              <w:rPr>
                <w:rFonts w:ascii="Arial" w:cs="Arial" w:eastAsia="Arial" w:hAnsi="Arial"/>
                <w:sz w:val="14"/>
                <w:szCs w:val="14"/>
                <w:b w:val="1"/>
                <w:bCs w:val="1"/>
                <w:color w:val="auto"/>
              </w:rPr>
              <w:t>May 31, 2012</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days adjusted)</w:t>
            </w:r>
          </w:p>
        </w:tc>
        <w:tc>
          <w:tcPr>
            <w:tcW w:w="0" w:type="dxa"/>
            <w:vAlign w:val="bottom"/>
          </w:tcPr>
          <w:p>
            <w:pPr>
              <w:spacing w:after="0"/>
              <w:rPr>
                <w:sz w:val="1"/>
                <w:szCs w:val="1"/>
                <w:color w:val="auto"/>
              </w:rPr>
            </w:pPr>
          </w:p>
        </w:tc>
      </w:tr>
      <w:tr>
        <w:trPr>
          <w:trHeight w:val="101"/>
        </w:trPr>
        <w:tc>
          <w:tcPr>
            <w:tcW w:w="148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gridSpan w:val="2"/>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gridSpan w:val="2"/>
            <w:vMerge w:val="continue"/>
          </w:tcPr>
          <w:p>
            <w:pPr>
              <w:spacing w:after="0"/>
              <w:rPr>
                <w:sz w:val="8"/>
                <w:szCs w:val="8"/>
                <w:color w:val="auto"/>
              </w:rPr>
            </w:pPr>
          </w:p>
        </w:tc>
        <w:tc>
          <w:tcPr>
            <w:tcW w:w="13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All Vehicles</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700,927</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right"/>
              <w:ind w:right="668"/>
              <w:spacing w:after="0"/>
              <w:rPr>
                <w:sz w:val="20"/>
                <w:szCs w:val="20"/>
                <w:color w:val="auto"/>
              </w:rPr>
            </w:pPr>
            <w:r>
              <w:rPr>
                <w:rFonts w:ascii="Arial" w:cs="Arial" w:eastAsia="Arial" w:hAnsi="Arial"/>
                <w:sz w:val="14"/>
                <w:szCs w:val="14"/>
                <w:color w:val="auto"/>
              </w:rPr>
              <w:t>76</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gridSpan w:val="2"/>
          </w:tcPr>
          <w:p>
            <w:pPr>
              <w:jc w:val="center"/>
              <w:ind w:right="408"/>
              <w:spacing w:after="0"/>
              <w:rPr>
                <w:sz w:val="20"/>
                <w:szCs w:val="20"/>
                <w:color w:val="auto"/>
              </w:rPr>
            </w:pPr>
            <w:r>
              <w:rPr>
                <w:rFonts w:ascii="Arial" w:cs="Arial" w:eastAsia="Arial" w:hAnsi="Arial"/>
                <w:sz w:val="14"/>
                <w:szCs w:val="14"/>
                <w:color w:val="auto"/>
                <w:w w:val="90"/>
              </w:rPr>
              <w:t>694,600</w:t>
            </w:r>
          </w:p>
        </w:tc>
        <w:tc>
          <w:tcPr>
            <w:tcW w:w="138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6"/>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Full-size Pickups</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color w:val="auto"/>
                <w:w w:val="94"/>
              </w:rPr>
              <w:t>238,194</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135</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gridSpan w:val="2"/>
          </w:tcPr>
          <w:p>
            <w:pPr>
              <w:jc w:val="center"/>
              <w:ind w:right="408"/>
              <w:spacing w:after="0"/>
              <w:rPr>
                <w:sz w:val="20"/>
                <w:szCs w:val="20"/>
                <w:color w:val="auto"/>
              </w:rPr>
            </w:pPr>
            <w:r>
              <w:rPr>
                <w:rFonts w:ascii="Arial" w:cs="Arial" w:eastAsia="Arial" w:hAnsi="Arial"/>
                <w:sz w:val="14"/>
                <w:szCs w:val="14"/>
                <w:color w:val="auto"/>
                <w:w w:val="90"/>
              </w:rPr>
              <w:t>223,296</w:t>
            </w:r>
          </w:p>
        </w:tc>
        <w:tc>
          <w:tcPr>
            <w:tcW w:w="138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9"/>
        </w:trPr>
        <w:tc>
          <w:tcPr>
            <w:tcW w:w="2540" w:type="dxa"/>
            <w:vAlign w:val="bottom"/>
            <w:tcBorders>
              <w:top w:val="single" w:sz="8" w:color="auto"/>
              <w:left w:val="single" w:sz="8" w:color="auto"/>
              <w:right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rPr>
              <w:t>June</w:t>
            </w:r>
          </w:p>
        </w:tc>
        <w:tc>
          <w:tcPr>
            <w:tcW w:w="110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(Calendar Year-to-Date)</w:t>
            </w:r>
          </w:p>
        </w:tc>
        <w:tc>
          <w:tcPr>
            <w:tcW w:w="780" w:type="dxa"/>
            <w:vAlign w:val="bottom"/>
            <w:tcBorders>
              <w:top w:val="single" w:sz="8" w:color="auto"/>
            </w:tcBorders>
          </w:tcPr>
          <w:p>
            <w:pPr>
              <w:spacing w:after="0"/>
              <w:rPr>
                <w:sz w:val="24"/>
                <w:szCs w:val="24"/>
                <w:color w:val="auto"/>
              </w:rPr>
            </w:pPr>
          </w:p>
        </w:tc>
      </w:tr>
      <w:tr>
        <w:trPr>
          <w:trHeight w:val="289"/>
        </w:trPr>
        <w:tc>
          <w:tcPr>
            <w:tcW w:w="2540" w:type="dxa"/>
            <w:vAlign w:val="bottom"/>
            <w:tcBorders>
              <w:left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January - June</w:t>
            </w:r>
          </w:p>
        </w:tc>
        <w:tc>
          <w:tcPr>
            <w:tcW w:w="780" w:type="dxa"/>
            <w:vAlign w:val="bottom"/>
            <w:tcBorders>
              <w:bottom w:val="single" w:sz="8" w:color="auto"/>
            </w:tcBorders>
          </w:tcPr>
          <w:p>
            <w:pPr>
              <w:spacing w:after="0"/>
              <w:rPr>
                <w:sz w:val="24"/>
                <w:szCs w:val="24"/>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%Change</w:t>
            </w: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Volume</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2012</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Volume</w:t>
            </w:r>
          </w:p>
        </w:tc>
      </w:tr>
      <w:tr>
        <w:trPr>
          <w:trHeight w:val="258"/>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5,207</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4,006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27,866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28,004</w:t>
            </w: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7,206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5,965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20.8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30,892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29,327</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21</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1,364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(98.5)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14,280</w:t>
            </w:r>
          </w:p>
        </w:tc>
        <w:tc>
          <w:tcPr>
            <w:tcW w:w="780" w:type="dxa"/>
            <w:vAlign w:val="bottom"/>
          </w:tcPr>
          <w:p>
            <w:pPr>
              <w:jc w:val="right"/>
              <w:spacing w:after="0"/>
              <w:rPr>
                <w:sz w:val="20"/>
                <w:szCs w:val="20"/>
                <w:color w:val="auto"/>
              </w:rPr>
            </w:pPr>
            <w:r>
              <w:rPr>
                <w:rFonts w:ascii="Arial" w:cs="Arial" w:eastAsia="Arial" w:hAnsi="Arial"/>
                <w:sz w:val="14"/>
                <w:szCs w:val="14"/>
                <w:color w:val="auto"/>
              </w:rPr>
              <w:t>(93.4)</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2,326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3,533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(34.2)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14,828</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21,988</w:t>
            </w:r>
          </w:p>
        </w:tc>
        <w:tc>
          <w:tcPr>
            <w:tcW w:w="78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76"/>
        </w:trPr>
        <w:tc>
          <w:tcPr>
            <w:tcW w:w="2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4,091</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15,669</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18,851</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14,868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26.8</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90,198</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93,599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r>
      <w:tr>
        <w:trPr>
          <w:trHeight w:val="258"/>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5,046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4,198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20.2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25,483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27,005</w:t>
            </w:r>
          </w:p>
        </w:tc>
        <w:tc>
          <w:tcPr>
            <w:tcW w:w="7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79</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879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(91.0)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8,738</w:t>
            </w:r>
          </w:p>
        </w:tc>
        <w:tc>
          <w:tcPr>
            <w:tcW w:w="780" w:type="dxa"/>
            <w:vAlign w:val="bottom"/>
          </w:tcPr>
          <w:p>
            <w:pPr>
              <w:jc w:val="right"/>
              <w:spacing w:after="0"/>
              <w:rPr>
                <w:sz w:val="20"/>
                <w:szCs w:val="20"/>
                <w:color w:val="auto"/>
              </w:rPr>
            </w:pPr>
            <w:r>
              <w:rPr>
                <w:rFonts w:ascii="Arial" w:cs="Arial" w:eastAsia="Arial" w:hAnsi="Arial"/>
                <w:sz w:val="14"/>
                <w:szCs w:val="14"/>
                <w:color w:val="auto"/>
              </w:rPr>
              <w:t>(95.1)</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1,164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957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21.6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5,994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6,945</w:t>
            </w:r>
          </w:p>
        </w:tc>
        <w:tc>
          <w:tcPr>
            <w:tcW w:w="78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658</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577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14.0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3,747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3,797</w:t>
            </w: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142</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142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896</w:t>
            </w: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4,260</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3,951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7.8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25,450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26,200</w:t>
            </w: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147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(85.0)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2,529</w:t>
            </w:r>
          </w:p>
        </w:tc>
        <w:tc>
          <w:tcPr>
            <w:tcW w:w="780" w:type="dxa"/>
            <w:vAlign w:val="bottom"/>
          </w:tcPr>
          <w:p>
            <w:pPr>
              <w:jc w:val="right"/>
              <w:spacing w:after="0"/>
              <w:rPr>
                <w:sz w:val="20"/>
                <w:szCs w:val="20"/>
                <w:color w:val="auto"/>
              </w:rPr>
            </w:pPr>
            <w:r>
              <w:rPr>
                <w:rFonts w:ascii="Arial" w:cs="Arial" w:eastAsia="Arial" w:hAnsi="Arial"/>
                <w:sz w:val="14"/>
                <w:szCs w:val="14"/>
                <w:color w:val="auto"/>
              </w:rPr>
              <w:t>(94.4)</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2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XTS</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753</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12,124</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10,860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11.6</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62,812</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76,122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r>
      <w:tr>
        <w:trPr>
          <w:trHeight w:val="258"/>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1,719</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1,667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11,002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8,718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26.2</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3,869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21,266</w:t>
            </w:r>
          </w:p>
        </w:tc>
        <w:tc>
          <w:tcPr>
            <w:tcW w:w="780" w:type="dxa"/>
            <w:vAlign w:val="bottom"/>
          </w:tcPr>
          <w:p>
            <w:pPr>
              <w:jc w:val="right"/>
              <w:spacing w:after="0"/>
              <w:rPr>
                <w:sz w:val="20"/>
                <w:szCs w:val="20"/>
                <w:color w:val="auto"/>
              </w:rPr>
            </w:pPr>
            <w:r>
              <w:rPr>
                <w:rFonts w:ascii="Arial" w:cs="Arial" w:eastAsia="Arial" w:hAnsi="Arial"/>
                <w:sz w:val="14"/>
                <w:szCs w:val="14"/>
                <w:color w:val="auto"/>
              </w:rPr>
              <w:t>(99.7)</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9,123</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8,486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7.5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49,697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48,761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325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673.8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65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3,511</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17,921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106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(93.4)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814</w:t>
            </w:r>
          </w:p>
        </w:tc>
        <w:tc>
          <w:tcPr>
            <w:tcW w:w="780" w:type="dxa"/>
            <w:vAlign w:val="bottom"/>
          </w:tcPr>
          <w:p>
            <w:pPr>
              <w:jc w:val="right"/>
              <w:spacing w:after="0"/>
              <w:rPr>
                <w:sz w:val="20"/>
                <w:szCs w:val="20"/>
                <w:color w:val="auto"/>
              </w:rPr>
            </w:pPr>
            <w:r>
              <w:rPr>
                <w:rFonts w:ascii="Arial" w:cs="Arial" w:eastAsia="Arial" w:hAnsi="Arial"/>
                <w:sz w:val="14"/>
                <w:szCs w:val="14"/>
                <w:color w:val="auto"/>
              </w:rPr>
              <w:t>(98.6)</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4,124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3,010</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37.0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21,457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16,114</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33.2</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1,475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1,299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7,022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6,896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18,983</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24,896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(23.8)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113,884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122,972</w:t>
            </w:r>
          </w:p>
        </w:tc>
        <w:tc>
          <w:tcPr>
            <w:tcW w:w="7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20,793</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17,954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15.8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110,890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95,838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15.7</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8,104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5,798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39.8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37,817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32,956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14.7</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870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(98.7)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35,502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17,274</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16,325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98,495</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103,644</w:t>
            </w: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31,402</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23,737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32.3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141,437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122,783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15.2</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33,566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32,579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194,508</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182,785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6.4</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6,785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42,240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5,136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3,354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53.1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23,068</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18,606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24.0</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6,427</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5,476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17.4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33,274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34,013</w:t>
            </w: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9,570</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6,787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41.0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48,866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50,027</w:t>
            </w: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6"/>
        </w:trPr>
        <w:tc>
          <w:tcPr>
            <w:tcW w:w="2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1,760</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561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213.7</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8,817</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2,745</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221.2</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180,098</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156,848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14.8</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961,662</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904,548</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w:t>
            </w:r>
          </w:p>
        </w:tc>
      </w:tr>
      <w:tr>
        <w:trPr>
          <w:trHeight w:val="258"/>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9,796</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6,285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55.9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42,160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39,811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880</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739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19.1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5,641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4,148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36.0</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2,105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1,835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14.7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12,056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10,136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18.9</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12,479</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12,377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0.8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72,945</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67,598</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7,795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6,989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11.5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46,602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41,364</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12.7</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2,279</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3,000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12,662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15,164</w:t>
            </w:r>
          </w:p>
        </w:tc>
        <w:tc>
          <w:tcPr>
            <w:tcW w:w="7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76"/>
        </w:trPr>
        <w:tc>
          <w:tcPr>
            <w:tcW w:w="2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2,343</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1,540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52.1</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8,975</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9,125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37,677</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32,782</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14.9</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201,041</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187,364</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w:t>
            </w:r>
          </w:p>
        </w:tc>
      </w:tr>
      <w:tr>
        <w:trPr>
          <w:trHeight w:val="291"/>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248,750</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215,358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15.5</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1,315,713</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1,261,633</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w:t>
            </w:r>
          </w:p>
        </w:tc>
      </w:tr>
    </w:tbl>
    <w:p>
      <w:pPr>
        <w:spacing w:after="0" w:line="76" w:lineRule="exact"/>
        <w:rPr>
          <w:sz w:val="20"/>
          <w:szCs w:val="20"/>
          <w:color w:val="auto"/>
        </w:rPr>
      </w:pPr>
    </w:p>
    <w:p>
      <w:pPr>
        <w:sectPr>
          <w:pgSz w:w="11900" w:h="16838" w:orient="portrait"/>
          <w:cols w:equalWidth="0" w:num="1">
            <w:col w:w="9300"/>
          </w:cols>
          <w:pgMar w:left="1300" w:top="930" w:right="1299" w:bottom="121" w:gutter="0" w:footer="0" w:header="0"/>
        </w:sectPr>
      </w:pPr>
    </w:p>
    <w:p>
      <w:pPr>
        <w:ind w:left="80"/>
        <w:spacing w:after="0"/>
        <w:rPr>
          <w:sz w:val="20"/>
          <w:szCs w:val="20"/>
          <w:color w:val="auto"/>
        </w:rPr>
      </w:pPr>
      <w:r>
        <w:rPr>
          <w:rFonts w:ascii="Arial" w:cs="Arial" w:eastAsia="Arial" w:hAnsi="Arial"/>
          <w:sz w:val="13"/>
          <w:szCs w:val="13"/>
          <w:color w:val="auto"/>
        </w:rPr>
        <w:t>* 25 selling days for the June period this year and 24 for last year.</w:t>
      </w:r>
    </w:p>
    <w:p>
      <w:pPr>
        <w:sectPr>
          <w:pgSz w:w="11900" w:h="16838" w:orient="portrait"/>
          <w:cols w:equalWidth="0" w:num="1">
            <w:col w:w="9300"/>
          </w:cols>
          <w:pgMar w:left="1300" w:top="930" w:right="1299" w:bottom="121"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2019-12-09T19:11:36Z</dcterms:created>
  <dcterms:modified xsi:type="dcterms:W3CDTF">2019-12-09T19:11:36Z</dcterms:modified>
</cp:coreProperties>
</file>