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3"/>
        <w:spacing w:after="0"/>
        <w:rPr>
          <w:sz w:val="20"/>
          <w:szCs w:val="20"/>
          <w:color w:val="auto"/>
        </w:rPr>
      </w:pPr>
      <w:r>
        <w:rPr>
          <w:rFonts w:ascii="Arial" w:cs="Arial" w:eastAsia="Arial" w:hAnsi="Arial"/>
          <w:sz w:val="17"/>
          <w:szCs w:val="17"/>
          <w:color w:val="0000FF"/>
        </w:rPr>
        <w:t>Chief Executive Officer</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69,214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06/11/2014</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69,214</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69,214</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June 11, 2014, pursuant to the Company's 2014 Long-Term Incentive Plan (the "GMLTIP"). The RSUs will vest annually in three equal installments beginning on February 13, 2015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06/13/2014</w:t>
            </w:r>
          </w:p>
        </w:tc>
        <w:tc>
          <w:tcPr>
            <w:tcW w:w="0" w:type="dxa"/>
            <w:vAlign w:val="bottom"/>
          </w:tcPr>
          <w:p>
            <w:pPr>
              <w:spacing w:after="0"/>
              <w:rPr>
                <w:sz w:val="1"/>
                <w:szCs w:val="1"/>
                <w:color w:val="auto"/>
              </w:rPr>
            </w:pPr>
          </w:p>
        </w:tc>
      </w:tr>
      <w:tr>
        <w:trPr>
          <w:trHeight w:val="92"/>
        </w:trPr>
        <w:tc>
          <w:tcPr>
            <w:tcW w:w="12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5"/>
              </w:rPr>
              <w:t>fact for Ms. Barra</w:t>
            </w:r>
          </w:p>
        </w:tc>
        <w:tc>
          <w:tcPr>
            <w:tcW w:w="84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60" w:type="dxa"/>
            <w:vAlign w:val="bottom"/>
            <w:tcBorders>
              <w:bottom w:val="single" w:sz="8" w:color="auto"/>
            </w:tcBorders>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2019-12-18T15:31:38Z</dcterms:created>
  <dcterms:modified xsi:type="dcterms:W3CDTF">2019-12-18T15:31:38Z</dcterms:modified>
</cp:coreProperties>
</file>