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Free Writing Prospectus 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the Preliminary Prospectus Supplement</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May 5, 2025 to the Prospectus dated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28, 2025. Registration Statement</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 333-284557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as of May 5, 2025</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5.350% Senior Notes due 2028</w:t>
      </w:r>
    </w:p>
    <w:p>
      <w:pPr>
        <w:spacing w:after="0" w:line="3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5.625% Senior Notes due 2030</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6.250% Senior Notes due 2035</w:t>
      </w:r>
    </w:p>
    <w:p>
      <w:pPr>
        <w:spacing w:after="0" w:line="205" w:lineRule="exact"/>
        <w:rPr>
          <w:sz w:val="24"/>
          <w:szCs w:val="24"/>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relates only to the offering of the Securities and should be read together with the preliminary prospectus supplement of General Motors Company dated May 5, 2025 (the “Preliminary Prospectus Supplement”) to its prospectus dated January 28, 2025,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213995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Applicable to the Securities</w:t>
      </w:r>
    </w:p>
    <w:p>
      <w:pPr>
        <w:sectPr>
          <w:pgSz w:w="11900" w:h="16838" w:orient="portrait"/>
          <w:cols w:equalWidth="0" w:num="1">
            <w:col w:w="11020"/>
          </w:cols>
          <w:pgMar w:left="440" w:top="229" w:right="439" w:bottom="594" w:gutter="0" w:footer="0" w:header="0"/>
        </w:sect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125" w:lineRule="exact"/>
        <w:rPr>
          <w:sz w:val="24"/>
          <w:szCs w:val="24"/>
          <w:color w:val="auto"/>
        </w:rPr>
      </w:pPr>
    </w:p>
    <w:p>
      <w:pPr>
        <w:sectPr>
          <w:pgSz w:w="11900" w:h="16838" w:orient="portrait"/>
          <w:cols w:equalWidth="0" w:num="2">
            <w:col w:w="1820" w:space="720"/>
            <w:col w:w="8480"/>
          </w:cols>
          <w:pgMar w:left="440" w:top="229" w:right="439" w:bottom="594"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May 5, 2025</w:t>
      </w:r>
    </w:p>
    <w:p>
      <w:pPr>
        <w:spacing w:after="0" w:line="125" w:lineRule="exact"/>
        <w:rPr>
          <w:sz w:val="24"/>
          <w:szCs w:val="24"/>
          <w:color w:val="auto"/>
        </w:rPr>
      </w:pPr>
    </w:p>
    <w:p>
      <w:pPr>
        <w:sectPr>
          <w:pgSz w:w="11900" w:h="16838" w:orient="portrait"/>
          <w:cols w:equalWidth="0" w:num="2">
            <w:col w:w="1820" w:space="720"/>
            <w:col w:w="8480"/>
          </w:cols>
          <w:pgMar w:left="440" w:top="229" w:right="439" w:bottom="594"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May 7, 2025 (T+2)*</w:t>
      </w:r>
    </w:p>
    <w:p>
      <w:pPr>
        <w:spacing w:after="0" w:line="125" w:lineRule="exact"/>
        <w:rPr>
          <w:sz w:val="24"/>
          <w:szCs w:val="24"/>
          <w:color w:val="auto"/>
        </w:rPr>
      </w:pPr>
    </w:p>
    <w:p>
      <w:pPr>
        <w:sectPr>
          <w:pgSz w:w="11900" w:h="16838" w:orient="portrait"/>
          <w:cols w:equalWidth="0" w:num="2">
            <w:col w:w="1820" w:space="720"/>
            <w:col w:w="8480"/>
          </w:cols>
          <w:pgMar w:left="440" w:top="229" w:right="439" w:bottom="594" w:gutter="0" w:footer="0" w:header="0"/>
          <w:type w:val="continuous"/>
        </w:sect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Citigroup Global Markets Inc.</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08" w:lineRule="exact"/>
        <w:rPr>
          <w:sz w:val="24"/>
          <w:szCs w:val="24"/>
          <w:color w:val="auto"/>
        </w:rPr>
      </w:pPr>
    </w:p>
    <w:p>
      <w:pPr>
        <w:sectPr>
          <w:pgSz w:w="11900" w:h="16838" w:orient="portrait"/>
          <w:cols w:equalWidth="0" w:num="2">
            <w:col w:w="1820" w:space="720"/>
            <w:col w:w="8480"/>
          </w:cols>
          <w:pgMar w:left="440" w:top="229" w:right="439" w:bottom="594"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Joint Lead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Credit Agricole Securities (USA) Inc.</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Lloyds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Santander US Capital Markets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SG Americas Securities, LLC</w:t>
      </w:r>
    </w:p>
    <w:p>
      <w:pPr>
        <w:spacing w:after="0" w:line="108" w:lineRule="exact"/>
        <w:rPr>
          <w:sz w:val="24"/>
          <w:szCs w:val="24"/>
          <w:color w:val="auto"/>
        </w:rPr>
      </w:pPr>
    </w:p>
    <w:p>
      <w:pPr>
        <w:sectPr>
          <w:pgSz w:w="11900" w:h="16838" w:orient="portrait"/>
          <w:cols w:equalWidth="0" w:num="2">
            <w:col w:w="1820" w:space="720"/>
            <w:col w:w="8480"/>
          </w:cols>
          <w:pgMar w:left="440" w:top="229" w:right="439" w:bottom="594"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UniCredit Capital Markets LLC</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Cabrera Capital Markets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Banco Bradesco BBI S.A.</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200" w:lineRule="exact"/>
        <w:rPr>
          <w:sz w:val="24"/>
          <w:szCs w:val="24"/>
          <w:color w:val="auto"/>
        </w:rPr>
      </w:pPr>
    </w:p>
    <w:p>
      <w:pPr>
        <w:sectPr>
          <w:pgSz w:w="11900" w:h="16838" w:orient="portrait"/>
          <w:cols w:equalWidth="0" w:num="2">
            <w:col w:w="1820" w:space="720"/>
            <w:col w:w="8480"/>
          </w:cols>
          <w:pgMar w:left="440" w:top="229" w:right="439" w:bottom="594"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Applicable to the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5.350% Senior Notes due 2028</w:t>
      </w:r>
    </w:p>
    <w:p>
      <w:pPr>
        <w:sectPr>
          <w:pgSz w:w="11900" w:h="16838" w:orient="portrait"/>
          <w:cols w:equalWidth="0" w:num="1">
            <w:col w:w="11020"/>
          </w:cols>
          <w:pgMar w:left="440" w:top="229" w:right="439" w:bottom="594" w:gutter="0" w:footer="0" w:header="0"/>
          <w:type w:val="continuous"/>
        </w:sect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Securities: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5.350% Senior Notes due 2028</w:t>
      </w:r>
    </w:p>
    <w:p>
      <w:pPr>
        <w:spacing w:after="0" w:line="125" w:lineRule="exact"/>
        <w:rPr>
          <w:sz w:val="24"/>
          <w:szCs w:val="24"/>
          <w:color w:val="auto"/>
        </w:rPr>
      </w:pPr>
    </w:p>
    <w:p>
      <w:pPr>
        <w:sectPr>
          <w:pgSz w:w="11900" w:h="16838" w:orient="portrait"/>
          <w:cols w:equalWidth="0" w:num="2">
            <w:col w:w="1820" w:space="720"/>
            <w:col w:w="8480"/>
          </w:cols>
          <w:pgMar w:left="440" w:top="229" w:right="439" w:bottom="594"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Security Type: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Senior Unsecured Notes</w:t>
      </w:r>
    </w:p>
    <w:p>
      <w:pPr>
        <w:spacing w:after="0" w:line="125" w:lineRule="exact"/>
        <w:rPr>
          <w:sz w:val="24"/>
          <w:szCs w:val="24"/>
          <w:color w:val="auto"/>
        </w:rPr>
      </w:pPr>
    </w:p>
    <w:p>
      <w:pPr>
        <w:sectPr>
          <w:pgSz w:w="11900" w:h="16838" w:orient="portrait"/>
          <w:cols w:equalWidth="0" w:num="2">
            <w:col w:w="1820" w:space="720"/>
            <w:col w:w="8480"/>
          </w:cols>
          <w:pgMar w:left="440" w:top="229" w:right="439" w:bottom="594"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Principal Amount: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$750,000,000</w:t>
      </w:r>
    </w:p>
    <w:p>
      <w:pPr>
        <w:spacing w:after="0" w:line="125" w:lineRule="exact"/>
        <w:rPr>
          <w:sz w:val="24"/>
          <w:szCs w:val="24"/>
          <w:color w:val="auto"/>
        </w:rPr>
      </w:pPr>
    </w:p>
    <w:p>
      <w:pPr>
        <w:sectPr>
          <w:pgSz w:w="11900" w:h="16838" w:orient="portrait"/>
          <w:cols w:equalWidth="0" w:num="2">
            <w:col w:w="1820" w:space="720"/>
            <w:col w:w="8480"/>
          </w:cols>
          <w:pgMar w:left="440" w:top="229" w:right="439" w:bottom="594"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99.942%, plus accrued and unpaid interest, if any, from May 7, 2025</w:t>
      </w:r>
    </w:p>
    <w:p>
      <w:pPr>
        <w:spacing w:after="0" w:line="125" w:lineRule="exact"/>
        <w:rPr>
          <w:sz w:val="24"/>
          <w:szCs w:val="24"/>
          <w:color w:val="auto"/>
        </w:rPr>
      </w:pPr>
    </w:p>
    <w:p>
      <w:pPr>
        <w:sectPr>
          <w:pgSz w:w="11900" w:h="16838" w:orient="portrait"/>
          <w:cols w:equalWidth="0" w:num="2">
            <w:col w:w="1820" w:space="720"/>
            <w:col w:w="8480"/>
          </w:cols>
          <w:pgMar w:left="440" w:top="229" w:right="439" w:bottom="594"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15, 2028</w:t>
      </w:r>
    </w:p>
    <w:p>
      <w:pPr>
        <w:spacing w:after="0" w:line="125" w:lineRule="exact"/>
        <w:rPr>
          <w:sz w:val="24"/>
          <w:szCs w:val="24"/>
          <w:color w:val="auto"/>
        </w:rPr>
      </w:pPr>
    </w:p>
    <w:p>
      <w:pPr>
        <w:sectPr>
          <w:pgSz w:w="11900" w:h="16838" w:orient="portrait"/>
          <w:cols w:equalWidth="0" w:num="2">
            <w:col w:w="1820" w:space="720"/>
            <w:col w:w="8480"/>
          </w:cols>
          <w:pgMar w:left="440" w:top="229" w:right="439" w:bottom="594"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Coupon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5.350% per year</w:t>
      </w:r>
    </w:p>
    <w:p>
      <w:pPr>
        <w:sectPr>
          <w:pgSz w:w="11900" w:h="16838" w:orient="portrait"/>
          <w:cols w:equalWidth="0" w:num="2">
            <w:col w:w="1840" w:space="700"/>
            <w:col w:w="8480"/>
          </w:cols>
          <w:pgMar w:left="440" w:top="229" w:right="439" w:bottom="594"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Spread to Benchmark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-213360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+ 155 bps</w:t>
      </w:r>
    </w:p>
    <w:p>
      <w:pPr>
        <w:spacing w:after="0" w:line="39" w:lineRule="exact"/>
        <w:rPr>
          <w:sz w:val="20"/>
          <w:szCs w:val="20"/>
          <w:color w:val="auto"/>
        </w:rPr>
      </w:pPr>
    </w:p>
    <w:p>
      <w:pPr>
        <w:sectPr>
          <w:pgSz w:w="11900" w:h="16838" w:orient="portrait"/>
          <w:cols w:equalWidth="0" w:num="2">
            <w:col w:w="1820" w:space="720"/>
            <w:col w:w="7479"/>
          </w:cols>
          <w:pgMar w:left="440" w:top="266" w:right="1440"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Treasury:</w:t>
      </w:r>
    </w:p>
    <w:p>
      <w:pPr>
        <w:sectPr>
          <w:pgSz w:w="11900" w:h="16838" w:orient="portrait"/>
          <w:cols w:equalWidth="0" w:num="1">
            <w:col w:w="10019"/>
          </w:cols>
          <w:pgMar w:left="440" w:top="266" w:right="1440"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3.750% due April 15, 2028</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99-25+; 3.823%</w:t>
      </w:r>
    </w:p>
    <w:p>
      <w:pPr>
        <w:spacing w:after="0" w:line="27" w:lineRule="exact"/>
        <w:rPr>
          <w:sz w:val="20"/>
          <w:szCs w:val="20"/>
          <w:color w:val="auto"/>
        </w:rPr>
      </w:pPr>
    </w:p>
    <w:p>
      <w:pPr>
        <w:sectPr>
          <w:pgSz w:w="11900" w:h="16838" w:orient="portrait"/>
          <w:cols w:equalWidth="0" w:num="2">
            <w:col w:w="2420" w:space="120"/>
            <w:col w:w="747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Yield:</w:t>
      </w:r>
    </w:p>
    <w:p>
      <w:pPr>
        <w:sectPr>
          <w:pgSz w:w="11900" w:h="16838" w:orient="portrait"/>
          <w:cols w:equalWidth="0" w:num="1">
            <w:col w:w="10019"/>
          </w:cols>
          <w:pgMar w:left="440" w:top="266" w:right="1440"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Ratings**: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and October 15, beginning October 15,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and October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 360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 bps prior to March 15, 2028 (one month prior to maturity)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March 15, 2028 (one month prior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Baa2 by Moody’s Investors Service,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BBB by Standard &amp; Poor’s Ratings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BBB by Fitch Ratings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37045V BC3 / US37045VBC37</w:t>
      </w:r>
    </w:p>
    <w:p>
      <w:pPr>
        <w:spacing w:after="0" w:line="200" w:lineRule="exact"/>
        <w:rPr>
          <w:sz w:val="20"/>
          <w:szCs w:val="20"/>
          <w:color w:val="auto"/>
        </w:rPr>
      </w:pPr>
    </w:p>
    <w:p>
      <w:pPr>
        <w:sectPr>
          <w:pgSz w:w="11900" w:h="16838" w:orient="portrait"/>
          <w:cols w:equalWidth="0" w:num="2">
            <w:col w:w="1860" w:space="680"/>
            <w:col w:w="7479"/>
          </w:cols>
          <w:pgMar w:left="440" w:top="266" w:right="1440" w:bottom="1440" w:gutter="0" w:footer="0" w:header="0"/>
          <w:type w:val="continuous"/>
        </w:sectPr>
      </w:pP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Terms Applicable to the</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5.625% Senior Notes due 2030</w:t>
      </w:r>
    </w:p>
    <w:p>
      <w:pPr>
        <w:sectPr>
          <w:pgSz w:w="11900" w:h="16838" w:orient="portrait"/>
          <w:cols w:equalWidth="0" w:num="1">
            <w:col w:w="10019"/>
          </w:cols>
          <w:pgMar w:left="440" w:top="266" w:right="1440" w:bottom="1440" w:gutter="0" w:footer="0" w:header="0"/>
          <w:type w:val="continuous"/>
        </w:sectPr>
      </w:pPr>
    </w:p>
    <w:p>
      <w:pPr>
        <w:spacing w:after="0" w:line="252" w:lineRule="exact"/>
        <w:rPr>
          <w:sz w:val="20"/>
          <w:szCs w:val="20"/>
          <w:color w:val="auto"/>
        </w:rPr>
      </w:pPr>
    </w:p>
    <w:p>
      <w:pPr>
        <w:spacing w:after="0" w:line="363" w:lineRule="auto"/>
        <w:rPr>
          <w:sz w:val="20"/>
          <w:szCs w:val="20"/>
          <w:color w:val="auto"/>
        </w:rPr>
      </w:pPr>
      <w:r>
        <w:rPr>
          <w:rFonts w:ascii="Times New Roman" w:cs="Times New Roman" w:eastAsia="Times New Roman" w:hAnsi="Times New Roman"/>
          <w:sz w:val="18"/>
          <w:szCs w:val="18"/>
          <w:b w:val="1"/>
          <w:bCs w:val="1"/>
          <w:color w:val="auto"/>
        </w:rPr>
        <w:t>Title of Securities: Security Type: Principal Amount: Price to Public: Maturity Date: Coupon (Interest Rate): Yield to Maturity: Spread to Benchmark</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5.625% Senior Notes due 2030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99.949%, plus accrued and unpaid interest, if any, from May 7,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2030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5.625% per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5.638%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+ 170 bps</w:t>
      </w:r>
    </w:p>
    <w:p>
      <w:pPr>
        <w:spacing w:after="0" w:line="27" w:lineRule="exact"/>
        <w:rPr>
          <w:sz w:val="20"/>
          <w:szCs w:val="20"/>
          <w:color w:val="auto"/>
        </w:rPr>
      </w:pPr>
    </w:p>
    <w:p>
      <w:pPr>
        <w:sectPr>
          <w:pgSz w:w="11900" w:h="16838" w:orient="portrait"/>
          <w:cols w:equalWidth="0" w:num="2">
            <w:col w:w="1840" w:space="700"/>
            <w:col w:w="747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Treasury:</w:t>
      </w:r>
    </w:p>
    <w:p>
      <w:pPr>
        <w:sectPr>
          <w:pgSz w:w="11900" w:h="16838" w:orient="portrait"/>
          <w:cols w:equalWidth="0" w:num="1">
            <w:col w:w="10019"/>
          </w:cols>
          <w:pgMar w:left="440" w:top="266" w:right="1440"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3.875% due April 30, 2030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99-23; 3.938%</w:t>
      </w:r>
    </w:p>
    <w:p>
      <w:pPr>
        <w:spacing w:after="0" w:line="27" w:lineRule="exact"/>
        <w:rPr>
          <w:sz w:val="20"/>
          <w:szCs w:val="20"/>
          <w:color w:val="auto"/>
        </w:rPr>
      </w:pPr>
    </w:p>
    <w:p>
      <w:pPr>
        <w:sectPr>
          <w:pgSz w:w="11900" w:h="16838" w:orient="portrait"/>
          <w:cols w:equalWidth="0" w:num="2">
            <w:col w:w="2420" w:space="120"/>
            <w:col w:w="747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Yield:</w:t>
      </w:r>
    </w:p>
    <w:p>
      <w:pPr>
        <w:sectPr>
          <w:pgSz w:w="11900" w:h="16838" w:orient="portrait"/>
          <w:cols w:equalWidth="0" w:num="1">
            <w:col w:w="10019"/>
          </w:cols>
          <w:pgMar w:left="440" w:top="266" w:right="1440"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Make-whole Call:</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and October 15, beginning October 15,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and October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 360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 bps prior to March 15, 2030 (one month prior to maturity)</w:t>
      </w:r>
    </w:p>
    <w:p>
      <w:pPr>
        <w:sectPr>
          <w:pgSz w:w="11900" w:h="16838" w:orient="portrait"/>
          <w:cols w:equalWidth="0" w:num="2">
            <w:col w:w="1860" w:space="680"/>
            <w:col w:w="7479"/>
          </w:cols>
          <w:pgMar w:left="440" w:top="266" w:right="1440" w:bottom="1440" w:gutter="0" w:footer="0" w:header="0"/>
          <w:type w:val="continuous"/>
        </w:sectPr>
      </w:pPr>
    </w:p>
    <w:bookmarkStart w:id="2" w:name="page3"/>
    <w:bookmarkEnd w:id="2"/>
    <w:p>
      <w:pPr>
        <w:ind w:left="4"/>
        <w:spacing w:after="0"/>
        <w:rPr>
          <w:sz w:val="20"/>
          <w:szCs w:val="20"/>
          <w:color w:val="auto"/>
        </w:rPr>
      </w:pPr>
      <w:r>
        <w:rPr>
          <w:rFonts w:ascii="Times New Roman" w:cs="Times New Roman" w:eastAsia="Times New Roman" w:hAnsi="Times New Roman"/>
          <w:sz w:val="17"/>
          <w:szCs w:val="17"/>
          <w:b w:val="1"/>
          <w:bCs w:val="1"/>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 or after March 15, 2030 (one month prior to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-206375</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1824" w:space="720"/>
            <w:col w:w="8420"/>
          </w:cols>
          <w:pgMar w:left="436" w:top="266" w:right="499" w:bottom="1440" w:gutter="0" w:footer="0" w:header="0"/>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5"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Expected 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Baa2 by Moody’s Investors Service,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BBB by Standard &amp; Poor’s Ratings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BBB by Fitch Ratings</w:t>
      </w:r>
    </w:p>
    <w:p>
      <w:pPr>
        <w:spacing w:after="0" w:line="108"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37045V BA7 / US37045VBA70</w:t>
      </w:r>
    </w:p>
    <w:p>
      <w:pPr>
        <w:spacing w:after="0" w:line="200"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spacing w:after="0" w:line="24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Terms Applicable to the</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6.250% Senior Notes due 2035</w:t>
      </w:r>
    </w:p>
    <w:p>
      <w:pPr>
        <w:sectPr>
          <w:pgSz w:w="11900" w:h="16838" w:orient="portrait"/>
          <w:cols w:equalWidth="0" w:num="1">
            <w:col w:w="10964"/>
          </w:cols>
          <w:pgMar w:left="436" w:top="266" w:right="499" w:bottom="1440" w:gutter="0" w:footer="0" w:header="0"/>
          <w:type w:val="continuous"/>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Title of Securities: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6.250% Senior Notes due 2035</w:t>
      </w:r>
    </w:p>
    <w:p>
      <w:pPr>
        <w:spacing w:after="0" w:line="125"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Security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Senior Unsecured Notes</w:t>
      </w:r>
    </w:p>
    <w:p>
      <w:pPr>
        <w:spacing w:after="0" w:line="125"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$500,000,000</w:t>
      </w:r>
    </w:p>
    <w:p>
      <w:pPr>
        <w:spacing w:after="0" w:line="138"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99.735%, plus accrued and unpaid interest, if any, from May 7, 2025</w:t>
      </w:r>
    </w:p>
    <w:p>
      <w:pPr>
        <w:spacing w:after="0" w:line="125"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15, 2035</w:t>
      </w:r>
    </w:p>
    <w:p>
      <w:pPr>
        <w:spacing w:after="0" w:line="125"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6.250% per year</w:t>
      </w:r>
    </w:p>
    <w:p>
      <w:pPr>
        <w:spacing w:after="0" w:line="125" w:lineRule="exact"/>
        <w:rPr>
          <w:sz w:val="20"/>
          <w:szCs w:val="20"/>
          <w:color w:val="auto"/>
        </w:rPr>
      </w:pPr>
    </w:p>
    <w:p>
      <w:pPr>
        <w:sectPr>
          <w:pgSz w:w="11900" w:h="16838" w:orient="portrait"/>
          <w:cols w:equalWidth="0" w:num="2">
            <w:col w:w="1844" w:space="70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6.287%</w:t>
      </w:r>
    </w:p>
    <w:p>
      <w:pPr>
        <w:spacing w:after="0" w:line="125"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right="140"/>
        <w:spacing w:after="0" w:line="317" w:lineRule="auto"/>
        <w:rPr>
          <w:sz w:val="20"/>
          <w:szCs w:val="20"/>
          <w:color w:val="auto"/>
        </w:rPr>
      </w:pPr>
      <w:r>
        <w:rPr>
          <w:rFonts w:ascii="Times New Roman" w:cs="Times New Roman" w:eastAsia="Times New Roman" w:hAnsi="Times New Roman"/>
          <w:sz w:val="17"/>
          <w:szCs w:val="17"/>
          <w:b w:val="1"/>
          <w:bCs w:val="1"/>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+ 195 bps</w:t>
      </w:r>
    </w:p>
    <w:p>
      <w:pPr>
        <w:spacing w:after="0" w:line="340"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4.625% due February 15, 2035</w:t>
      </w:r>
    </w:p>
    <w:p>
      <w:pPr>
        <w:spacing w:after="0" w:line="125"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Benchmark Treasury Price and</w:t>
      </w:r>
    </w:p>
    <w:p>
      <w:pPr>
        <w:spacing w:after="0" w:line="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102-08+; 4.337%</w:t>
      </w:r>
    </w:p>
    <w:p>
      <w:pPr>
        <w:spacing w:after="0" w:line="340" w:lineRule="exact"/>
        <w:rPr>
          <w:sz w:val="20"/>
          <w:szCs w:val="20"/>
          <w:color w:val="auto"/>
        </w:rPr>
      </w:pPr>
    </w:p>
    <w:p>
      <w:pPr>
        <w:sectPr>
          <w:pgSz w:w="11900" w:h="16838" w:orient="portrait"/>
          <w:cols w:equalWidth="0" w:num="2">
            <w:col w:w="2424" w:space="1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15 and October 15, beginning October 15, 2025</w:t>
      </w:r>
    </w:p>
    <w:p>
      <w:pPr>
        <w:spacing w:after="0" w:line="124" w:lineRule="exact"/>
        <w:rPr>
          <w:sz w:val="20"/>
          <w:szCs w:val="20"/>
          <w:color w:val="auto"/>
        </w:rPr>
      </w:pPr>
    </w:p>
    <w:p>
      <w:pPr>
        <w:sectPr>
          <w:pgSz w:w="11900" w:h="16838" w:orient="portrait"/>
          <w:cols w:equalWidth="0" w:num="2">
            <w:col w:w="1864" w:space="68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1 and October 1</w:t>
      </w:r>
    </w:p>
    <w:p>
      <w:pPr>
        <w:spacing w:after="0" w:line="124"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Day Count Convention: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 / 360</w:t>
      </w:r>
    </w:p>
    <w:p>
      <w:pPr>
        <w:spacing w:after="0" w:line="125"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Make-whole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 bps prior to January 15, 2035 (three months prior to maturity)</w:t>
      </w:r>
    </w:p>
    <w:p>
      <w:pPr>
        <w:spacing w:after="0" w:line="124"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 or after January 15, 2035 (three months prior to maturity)</w:t>
      </w:r>
    </w:p>
    <w:p>
      <w:pPr>
        <w:spacing w:after="0" w:line="125"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5" w:lineRule="exact"/>
        <w:rPr>
          <w:sz w:val="20"/>
          <w:szCs w:val="20"/>
          <w:color w:val="auto"/>
        </w:rPr>
      </w:pPr>
    </w:p>
    <w:p>
      <w:pPr>
        <w:sectPr>
          <w:pgSz w:w="11900" w:h="16838" w:orient="portrait"/>
          <w:cols w:equalWidth="0" w:num="2">
            <w:col w:w="1824" w:space="720"/>
            <w:col w:w="8420"/>
          </w:cols>
          <w:pgMar w:left="436" w:top="266" w:right="499" w:bottom="1440" w:gutter="0" w:footer="0" w:header="0"/>
          <w:type w:val="continuous"/>
        </w:sectPr>
      </w:pPr>
    </w:p>
    <w:p>
      <w:pPr>
        <w:ind w:left="4"/>
        <w:spacing w:after="0"/>
        <w:tabs>
          <w:tab w:leader="none" w:pos="2524" w:val="left"/>
        </w:tabs>
        <w:rPr>
          <w:sz w:val="20"/>
          <w:szCs w:val="20"/>
          <w:color w:val="auto"/>
        </w:rPr>
      </w:pPr>
      <w:r>
        <w:rPr>
          <w:rFonts w:ascii="Times New Roman" w:cs="Times New Roman" w:eastAsia="Times New Roman" w:hAnsi="Times New Roman"/>
          <w:sz w:val="18"/>
          <w:szCs w:val="18"/>
          <w:b w:val="1"/>
          <w:bCs w:val="1"/>
          <w:color w:val="auto"/>
        </w:rPr>
        <w:t>Expected Ratings**:</w:t>
      </w:r>
      <w:r>
        <w:rPr>
          <w:sz w:val="20"/>
          <w:szCs w:val="20"/>
          <w:color w:val="auto"/>
        </w:rPr>
        <w:tab/>
      </w:r>
      <w:r>
        <w:rPr>
          <w:rFonts w:ascii="Times New Roman" w:cs="Times New Roman" w:eastAsia="Times New Roman" w:hAnsi="Times New Roman"/>
          <w:sz w:val="17"/>
          <w:szCs w:val="17"/>
          <w:color w:val="auto"/>
        </w:rPr>
        <w:t>Baa2 by Moody’s Investors Service, Inc.</w:t>
      </w:r>
    </w:p>
    <w:p>
      <w:pPr>
        <w:spacing w:after="0" w:line="31" w:lineRule="exact"/>
        <w:rPr>
          <w:sz w:val="20"/>
          <w:szCs w:val="20"/>
          <w:color w:val="auto"/>
        </w:rPr>
      </w:pPr>
    </w:p>
    <w:p>
      <w:pPr>
        <w:ind w:left="2544" w:right="5220" w:hanging="6"/>
        <w:spacing w:after="0" w:line="260" w:lineRule="auto"/>
        <w:tabs>
          <w:tab w:leader="none" w:pos="29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Standard &amp; Poor’s Ratings Services BBB by Fitch Ratings</w:t>
      </w:r>
    </w:p>
    <w:p>
      <w:pPr>
        <w:spacing w:after="0" w:line="83" w:lineRule="exact"/>
        <w:rPr>
          <w:sz w:val="20"/>
          <w:szCs w:val="20"/>
          <w:color w:val="auto"/>
        </w:rPr>
      </w:pPr>
    </w:p>
    <w:p>
      <w:pPr>
        <w:ind w:left="4"/>
        <w:spacing w:after="0"/>
        <w:tabs>
          <w:tab w:leader="none" w:pos="2524" w:val="left"/>
        </w:tabs>
        <w:rPr>
          <w:sz w:val="20"/>
          <w:szCs w:val="20"/>
          <w:color w:val="auto"/>
        </w:rPr>
      </w:pPr>
      <w:r>
        <w:rPr>
          <w:rFonts w:ascii="Times New Roman" w:cs="Times New Roman" w:eastAsia="Times New Roman" w:hAnsi="Times New Roman"/>
          <w:sz w:val="18"/>
          <w:szCs w:val="18"/>
          <w:b w:val="1"/>
          <w:bCs w:val="1"/>
          <w:color w:val="auto"/>
        </w:rPr>
        <w:t>CUSIP / ISIN:</w:t>
      </w:r>
      <w:r>
        <w:rPr>
          <w:sz w:val="20"/>
          <w:szCs w:val="20"/>
          <w:color w:val="auto"/>
        </w:rPr>
        <w:tab/>
      </w:r>
      <w:r>
        <w:rPr>
          <w:rFonts w:ascii="Times New Roman" w:cs="Times New Roman" w:eastAsia="Times New Roman" w:hAnsi="Times New Roman"/>
          <w:sz w:val="17"/>
          <w:szCs w:val="17"/>
          <w:color w:val="auto"/>
        </w:rPr>
        <w:t>37045V BB5 / US37045VBB53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525780</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4" w:hanging="424"/>
        <w:spacing w:after="0" w:line="256" w:lineRule="auto"/>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 Rule 15c6-1 of the Exchange Act, trades in the secondary market are generally required to settle in one business day, unless the parties to any such trade expressly agree otherwise. Accordingly, purchasers who wish to trade notes before the first business day prior to settlement will be required, by virtue of the fact that the notes initially will settle T + 2, to specify an alternative settlement cycle at the time of any such trade to prevent a failed settlement. Purchasers of the notes who wish to trade the notes prior to settlement should</w:t>
      </w:r>
    </w:p>
    <w:p>
      <w:pPr>
        <w:spacing w:after="0" w:line="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consult their own advisor.</w:t>
      </w:r>
    </w:p>
    <w:p>
      <w:pPr>
        <w:spacing w:after="0" w:line="9"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A security rating is not a recommendation to buy, sell or hold securities and may be subject to revision or withdrawal at any time.</w:t>
      </w:r>
    </w:p>
    <w:p>
      <w:pPr>
        <w:sectPr>
          <w:pgSz w:w="11900" w:h="16838" w:orient="portrait"/>
          <w:cols w:equalWidth="0" w:num="1">
            <w:col w:w="10964"/>
          </w:cols>
          <w:pgMar w:left="436" w:top="266" w:right="499" w:bottom="1440" w:gutter="0" w:footer="0" w:header="0"/>
          <w:type w:val="continuous"/>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contacting Citigroup Global Markets Inc., c/o Broadridge Financial Solutions, 1155 Long Island Avenue, Edgewood, NY 11717 or by telephone at 1-800-831-9146, or Goldman Sachs &amp; Co. LLC, Attention: Prospectus Department, 200 West Street, New York, NY 10282, telephone: 1-866-471-2526, facsimile: 212-902-9316 or by emailing prospectus-ny@ny.email.gs.com, or Wells Fargo Securities, LLC, 608 2nd Avenue South, Suite 1000, Minneapolis, MN 55402, Attn: WFS Customer Service, Telephone: +1-800-645-3751, email: wfscustomerservice@wellsfargo.com.</w:t>
      </w:r>
    </w:p>
    <w:p>
      <w:pPr>
        <w:spacing w:after="0" w:line="190"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Securities in any state or jurisdiction in which such offer, solicitation or sale would be unlawful.</w:t>
      </w:r>
    </w:p>
    <w:p>
      <w:pPr>
        <w:spacing w:after="0" w:line="171"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7"/>
          <w:szCs w:val="17"/>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5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2025-05-06T05:17:08Z</dcterms:created>
  <dcterms:modified xsi:type="dcterms:W3CDTF">2025-05-06T05:17:08Z</dcterms:modified>
</cp:coreProperties>
</file>