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6"/>
              </w:rPr>
              <w:t>102</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7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47,044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right="16"/>
              <w:spacing w:after="0"/>
              <w:rPr>
                <w:sz w:val="20"/>
                <w:szCs w:val="20"/>
                <w:color w:val="auto"/>
              </w:rPr>
            </w:pPr>
            <w:r>
              <w:rPr>
                <w:rFonts w:ascii="Arial" w:cs="Arial" w:eastAsia="Arial" w:hAnsi="Arial"/>
                <w:sz w:val="14"/>
                <w:szCs w:val="14"/>
                <w:color w:val="0000FF"/>
                <w:w w:val="98"/>
              </w:rPr>
              <w:t>D</w:t>
            </w:r>
          </w:p>
        </w:tc>
        <w:tc>
          <w:tcPr>
            <w:tcW w:w="320" w:type="dxa"/>
            <w:vAlign w:val="bottom"/>
          </w:tcPr>
          <w:p>
            <w:pPr>
              <w:spacing w:after="0"/>
              <w:rPr>
                <w:sz w:val="23"/>
                <w:szCs w:val="23"/>
                <w:color w:val="auto"/>
              </w:rPr>
            </w:pPr>
          </w:p>
        </w:tc>
        <w:tc>
          <w:tcPr>
            <w:tcW w:w="540" w:type="dxa"/>
            <w:vAlign w:val="bottom"/>
          </w:tcPr>
          <w:p>
            <w:pPr>
              <w:jc w:val="center"/>
              <w:ind w:left="130"/>
              <w:spacing w:after="0"/>
              <w:rPr>
                <w:sz w:val="20"/>
                <w:szCs w:val="20"/>
                <w:color w:val="auto"/>
              </w:rPr>
            </w:pPr>
            <w:r>
              <w:rPr>
                <w:rFonts w:ascii="Arial" w:cs="Arial" w:eastAsia="Arial" w:hAnsi="Arial"/>
                <w:sz w:val="18"/>
                <w:szCs w:val="18"/>
                <w:color w:val="0000FF"/>
                <w:w w:val="89"/>
              </w:rPr>
              <w:t>63</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46,981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Pr>
          <w:p>
            <w:pPr>
              <w:spacing w:after="0"/>
              <w:rPr>
                <w:sz w:val="23"/>
                <w:szCs w:val="23"/>
                <w:color w:val="auto"/>
              </w:rPr>
            </w:pPr>
          </w:p>
        </w:tc>
        <w:tc>
          <w:tcPr>
            <w:tcW w:w="540" w:type="dxa"/>
            <w:vAlign w:val="bottom"/>
          </w:tcPr>
          <w:p>
            <w:pPr>
              <w:jc w:val="center"/>
              <w:ind w:left="130"/>
              <w:spacing w:after="0"/>
              <w:rPr>
                <w:sz w:val="20"/>
                <w:szCs w:val="20"/>
                <w:color w:val="auto"/>
              </w:rPr>
            </w:pPr>
            <w:r>
              <w:rPr>
                <w:rFonts w:ascii="Arial" w:cs="Arial" w:eastAsia="Arial" w:hAnsi="Arial"/>
                <w:sz w:val="18"/>
                <w:szCs w:val="18"/>
                <w:color w:val="0000FF"/>
                <w:w w:val="89"/>
              </w:rPr>
              <w:t>39</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46,942</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102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102</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2016 in cash, less a portion withheld for taxes.</w:t>
      </w:r>
    </w:p>
    <w:p>
      <w:pPr>
        <w:jc w:val="both"/>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SSUs are fully vested when made and settled in three equal, annual installments beginning one year after the date of grant. The GMSSP gave the Reporting Person the option of having a settlement made by delivery of shares of the Common Stock or by the delivery of cash in an amount equal to the fair market value of the Stock as of the applicable anniversary date of the SSU's grant. Under the GMSSP, the fair value of the Common Stock is the average of the high and low trading prices for the Stock as reported on the New York Stock Exchange, on which it is listed, on December 30, 2016, which was $34.99.</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Stevens</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2019-12-04T02:00:42Z</dcterms:created>
  <dcterms:modified xsi:type="dcterms:W3CDTF">2019-12-04T02:00:42Z</dcterms:modified>
</cp:coreProperties>
</file>