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 Nysschen Carel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12,857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02/10/2016</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12,857</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12,857</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2016, pursuant to the Company's 2014 Long-Term Incentive Plan (the "GMLTIP"). The RSUs will vest annually in three equal installments beginning on February 10, 2017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W. Boyle,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1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108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Mr. de</w:t>
      </w:r>
      <w:r>
        <w:rPr>
          <w:sz w:val="20"/>
          <w:szCs w:val="20"/>
          <w:color w:val="auto"/>
        </w:rPr>
        <w:tab/>
      </w:r>
      <w:r>
        <w:rPr>
          <w:rFonts w:ascii="Arial" w:cs="Arial" w:eastAsia="Arial" w:hAnsi="Arial"/>
          <w:sz w:val="15"/>
          <w:szCs w:val="15"/>
          <w:color w:val="0000FF"/>
        </w:rPr>
        <w:t>02/12/2016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Nysschen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430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4535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2019-12-08T19:41:25Z</dcterms:created>
  <dcterms:modified xsi:type="dcterms:W3CDTF">2019-12-08T19:41:25Z</dcterms:modified>
</cp:coreProperties>
</file>