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2"/>
        </w:trPr>
        <w:tc>
          <w:tcPr>
            <w:tcW w:w="2160" w:type="dxa"/>
            <w:vAlign w:val="bottom"/>
          </w:tcPr>
          <w:p>
            <w:pPr>
              <w:spacing w:after="0"/>
              <w:rPr>
                <w:sz w:val="20"/>
                <w:szCs w:val="20"/>
                <w:color w:val="auto"/>
              </w:rPr>
            </w:pPr>
            <w:r>
              <w:rPr>
                <w:rFonts w:ascii="Arial" w:cs="Arial" w:eastAsia="Arial" w:hAnsi="Arial"/>
                <w:sz w:val="17"/>
                <w:szCs w:val="17"/>
                <w:color w:val="auto"/>
              </w:rPr>
              <w:t>SEC Form 3</w:t>
            </w:r>
          </w:p>
        </w:tc>
        <w:tc>
          <w:tcPr>
            <w:tcW w:w="6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60" w:type="dxa"/>
            <w:vAlign w:val="bottom"/>
          </w:tcPr>
          <w:p>
            <w:pPr>
              <w:ind w:left="760"/>
              <w:spacing w:after="0"/>
              <w:rPr>
                <w:sz w:val="20"/>
                <w:szCs w:val="20"/>
                <w:color w:val="auto"/>
              </w:rPr>
            </w:pPr>
            <w:r>
              <w:rPr>
                <w:rFonts w:ascii="Arial" w:cs="Arial" w:eastAsia="Arial" w:hAnsi="Arial"/>
                <w:sz w:val="19"/>
                <w:szCs w:val="19"/>
                <w:b w:val="1"/>
                <w:bCs w:val="1"/>
                <w:color w:val="auto"/>
              </w:rPr>
              <w:t>FORM 3</w:t>
            </w:r>
          </w:p>
        </w:tc>
        <w:tc>
          <w:tcPr>
            <w:tcW w:w="6700" w:type="dxa"/>
            <w:vAlign w:val="bottom"/>
          </w:tcPr>
          <w:p>
            <w:pPr>
              <w:jc w:val="center"/>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04" w:lineRule="exact"/>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
        </w:trPr>
        <w:tc>
          <w:tcPr>
            <w:tcW w:w="2160" w:type="dxa"/>
            <w:vAlign w:val="bottom"/>
          </w:tcPr>
          <w:p>
            <w:pPr>
              <w:spacing w:after="0"/>
              <w:rPr>
                <w:sz w:val="5"/>
                <w:szCs w:val="5"/>
                <w:color w:val="auto"/>
              </w:rPr>
            </w:pPr>
          </w:p>
        </w:tc>
        <w:tc>
          <w:tcPr>
            <w:tcW w:w="6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8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3"/>
        </w:trPr>
        <w:tc>
          <w:tcPr>
            <w:tcW w:w="21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47" w:lineRule="exact"/>
              <w:rPr>
                <w:sz w:val="20"/>
                <w:szCs w:val="20"/>
                <w:color w:val="auto"/>
              </w:rPr>
            </w:pPr>
            <w:r>
              <w:rPr>
                <w:rFonts w:ascii="Arial" w:cs="Arial" w:eastAsia="Arial" w:hAnsi="Arial"/>
                <w:sz w:val="17"/>
                <w:szCs w:val="17"/>
                <w:b w:val="1"/>
                <w:bCs w:val="1"/>
                <w:color w:val="auto"/>
                <w:w w:val="97"/>
              </w:rPr>
              <w:t>INITIAL STATEMENT OF BENEFICIAL OWNERSHIP OF SECURITIES</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160" w:type="dxa"/>
            <w:vAlign w:val="bottom"/>
          </w:tcPr>
          <w:p>
            <w:pPr>
              <w:spacing w:after="0"/>
              <w:rPr>
                <w:sz w:val="9"/>
                <w:szCs w:val="9"/>
                <w:color w:val="auto"/>
              </w:rPr>
            </w:pPr>
          </w:p>
        </w:tc>
        <w:tc>
          <w:tcPr>
            <w:tcW w:w="6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1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tcPr>
          <w:p>
            <w:pPr>
              <w:spacing w:after="0"/>
              <w:rPr>
                <w:sz w:val="2"/>
                <w:szCs w:val="2"/>
                <w:color w:val="auto"/>
              </w:rPr>
            </w:pPr>
          </w:p>
        </w:tc>
        <w:tc>
          <w:tcPr>
            <w:tcW w:w="6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6962775</wp:posOffset>
            </wp:positionH>
            <wp:positionV relativeFrom="paragraph">
              <wp:posOffset>-486410</wp:posOffset>
            </wp:positionV>
            <wp:extent cx="6350" cy="487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87045"/>
                    </a:xfrm>
                    <a:prstGeom prst="rect">
                      <a:avLst/>
                    </a:prstGeom>
                    <a:noFill/>
                  </pic:spPr>
                </pic:pic>
              </a:graphicData>
            </a:graphic>
          </wp:anchor>
        </w:drawing>
        <w:drawing>
          <wp:anchor simplePos="0" relativeHeight="251657728" behindDoc="1" locked="0" layoutInCell="0" allowOverlap="1">
            <wp:simplePos x="0" y="0"/>
            <wp:positionH relativeFrom="column">
              <wp:posOffset>5627370</wp:posOffset>
            </wp:positionH>
            <wp:positionV relativeFrom="paragraph">
              <wp:posOffset>-492760</wp:posOffset>
            </wp:positionV>
            <wp:extent cx="6350" cy="493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93395"/>
                    </a:xfrm>
                    <a:prstGeom prst="rect">
                      <a:avLst/>
                    </a:prstGeom>
                    <a:noFill/>
                  </pic:spPr>
                </pic:pic>
              </a:graphicData>
            </a:graphic>
          </wp:anchor>
        </w:drawing>
        <w:drawing>
          <wp:anchor simplePos="0" relativeHeight="251657728" behindDoc="1" locked="0" layoutInCell="0" allowOverlap="1">
            <wp:simplePos x="0" y="0"/>
            <wp:positionH relativeFrom="column">
              <wp:posOffset>5647055</wp:posOffset>
            </wp:positionH>
            <wp:positionV relativeFrom="paragraph">
              <wp:posOffset>-473075</wp:posOffset>
            </wp:positionV>
            <wp:extent cx="1303020" cy="4540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020" cy="45402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6993890" cy="129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1296035"/>
                    </a:xfrm>
                    <a:prstGeom prst="rect">
                      <a:avLst/>
                    </a:prstGeom>
                    <a:noFill/>
                  </pic:spPr>
                </pic:pic>
              </a:graphicData>
            </a:graphic>
          </wp:anchor>
        </w:drawing>
      </w:r>
    </w:p>
    <w:p>
      <w:pPr>
        <w:sectPr>
          <w:pgSz w:w="11900" w:h="16838" w:orient="portrait"/>
          <w:cols w:equalWidth="0" w:num="1">
            <w:col w:w="11020"/>
          </w:cols>
          <w:pgMar w:left="440" w:top="206"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10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060" w:type="dxa"/>
            <w:vAlign w:val="bottom"/>
            <w:gridSpan w:val="2"/>
            <w:vMerge w:val="restart"/>
          </w:tcPr>
          <w:p>
            <w:pPr>
              <w:ind w:left="20"/>
              <w:spacing w:after="0"/>
              <w:rPr>
                <w:rFonts w:ascii="Arial" w:cs="Arial" w:eastAsia="Arial" w:hAnsi="Arial"/>
                <w:sz w:val="17"/>
                <w:szCs w:val="17"/>
                <w:u w:val="single" w:color="auto"/>
                <w:color w:val="0000EE"/>
              </w:rPr>
            </w:pPr>
            <w:hyperlink r:id="rId12">
              <w:r>
                <w:rPr>
                  <w:rFonts w:ascii="Arial" w:cs="Arial" w:eastAsia="Arial" w:hAnsi="Arial"/>
                  <w:sz w:val="17"/>
                  <w:szCs w:val="17"/>
                  <w:u w:val="single" w:color="auto"/>
                  <w:color w:val="0000EE"/>
                </w:rPr>
                <w:t>Carlisle Stephen K.</w:t>
              </w:r>
            </w:hyperlink>
          </w:p>
        </w:tc>
        <w:tc>
          <w:tcPr>
            <w:tcW w:w="1100" w:type="dxa"/>
            <w:vAlign w:val="bottom"/>
          </w:tcPr>
          <w:p>
            <w:pPr>
              <w:spacing w:after="0"/>
              <w:rPr>
                <w:sz w:val="8"/>
                <w:szCs w:val="8"/>
                <w:color w:val="auto"/>
              </w:rPr>
            </w:pPr>
          </w:p>
        </w:tc>
        <w:tc>
          <w:tcPr>
            <w:tcW w:w="1420" w:type="dxa"/>
            <w:vAlign w:val="bottom"/>
          </w:tcPr>
          <w:p>
            <w:pPr>
              <w:ind w:left="120"/>
              <w:spacing w:after="0" w:line="96" w:lineRule="exact"/>
              <w:rPr>
                <w:sz w:val="20"/>
                <w:szCs w:val="20"/>
                <w:color w:val="auto"/>
              </w:rPr>
            </w:pPr>
            <w:r>
              <w:rPr>
                <w:rFonts w:ascii="Arial" w:cs="Arial" w:eastAsia="Arial" w:hAnsi="Arial"/>
                <w:sz w:val="10"/>
                <w:szCs w:val="10"/>
                <w:color w:val="auto"/>
              </w:rPr>
              <w:t>Statement (Month/Day/Year)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2520" w:type="dxa"/>
            <w:vAlign w:val="bottom"/>
            <w:gridSpan w:val="2"/>
          </w:tcPr>
          <w:p>
            <w:pPr>
              <w:ind w:left="1220"/>
              <w:spacing w:after="0"/>
              <w:rPr>
                <w:sz w:val="20"/>
                <w:szCs w:val="20"/>
                <w:color w:val="auto"/>
              </w:rPr>
            </w:pPr>
            <w:r>
              <w:rPr>
                <w:rFonts w:ascii="Arial" w:cs="Arial" w:eastAsia="Arial" w:hAnsi="Arial"/>
                <w:sz w:val="13"/>
                <w:szCs w:val="13"/>
                <w:color w:val="0000FF"/>
              </w:rPr>
              <w:t>07/15/2020</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0"/>
                <w:szCs w:val="10"/>
                <w:color w:val="auto"/>
              </w:rPr>
              <w:t>(Last)</w:t>
            </w:r>
          </w:p>
        </w:tc>
        <w:tc>
          <w:tcPr>
            <w:tcW w:w="1220" w:type="dxa"/>
            <w:vAlign w:val="bottom"/>
          </w:tcPr>
          <w:p>
            <w:pPr>
              <w:ind w:left="24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6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60" w:type="dxa"/>
            <w:vAlign w:val="bottom"/>
            <w:gridSpan w:val="2"/>
          </w:tcPr>
          <w:p>
            <w:pPr>
              <w:ind w:left="20"/>
              <w:spacing w:after="0"/>
              <w:rPr>
                <w:sz w:val="20"/>
                <w:szCs w:val="20"/>
                <w:color w:val="auto"/>
              </w:rPr>
            </w:pPr>
            <w:r>
              <w:rPr>
                <w:rFonts w:ascii="Arial" w:cs="Arial" w:eastAsia="Arial" w:hAnsi="Arial"/>
                <w:sz w:val="13"/>
                <w:szCs w:val="13"/>
                <w:color w:val="0000FF"/>
              </w:rPr>
              <w:t>300 RENAISSANCE CENTER</w:t>
            </w:r>
          </w:p>
        </w:tc>
        <w:tc>
          <w:tcPr>
            <w:tcW w:w="1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6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0000FF"/>
              </w:rPr>
              <w:t>DETROIT</w:t>
            </w:r>
          </w:p>
        </w:tc>
        <w:tc>
          <w:tcPr>
            <w:tcW w:w="1220" w:type="dxa"/>
            <w:vAlign w:val="bottom"/>
          </w:tcPr>
          <w:p>
            <w:pPr>
              <w:ind w:left="240"/>
              <w:spacing w:after="0"/>
              <w:rPr>
                <w:sz w:val="20"/>
                <w:szCs w:val="20"/>
                <w:color w:val="auto"/>
              </w:rPr>
            </w:pPr>
            <w:r>
              <w:rPr>
                <w:rFonts w:ascii="Arial" w:cs="Arial" w:eastAsia="Arial" w:hAnsi="Arial"/>
                <w:sz w:val="13"/>
                <w:szCs w:val="13"/>
                <w:color w:val="0000FF"/>
              </w:rPr>
              <w:t>MI</w:t>
            </w:r>
          </w:p>
        </w:tc>
        <w:tc>
          <w:tcPr>
            <w:tcW w:w="1100" w:type="dxa"/>
            <w:vAlign w:val="bottom"/>
          </w:tcPr>
          <w:p>
            <w:pPr>
              <w:ind w:left="60"/>
              <w:spacing w:after="0"/>
              <w:rPr>
                <w:sz w:val="20"/>
                <w:szCs w:val="20"/>
                <w:color w:val="auto"/>
              </w:rPr>
            </w:pPr>
            <w:r>
              <w:rPr>
                <w:rFonts w:ascii="Arial" w:cs="Arial" w:eastAsia="Arial" w:hAnsi="Arial"/>
                <w:sz w:val="13"/>
                <w:szCs w:val="13"/>
                <w:color w:val="0000FF"/>
              </w:rPr>
              <w:t>48265</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9" w:lineRule="exact"/>
        <w:rPr>
          <w:sz w:val="24"/>
          <w:szCs w:val="24"/>
          <w:color w:val="auto"/>
        </w:rPr>
      </w:pPr>
    </w:p>
    <w:p>
      <w:pPr>
        <w:spacing w:after="0"/>
        <w:rPr>
          <w:rFonts w:ascii="Arial" w:cs="Arial" w:eastAsia="Arial" w:hAnsi="Arial"/>
          <w:sz w:val="17"/>
          <w:szCs w:val="17"/>
          <w:color w:val="0000EE"/>
        </w:rPr>
      </w:pPr>
      <w:hyperlink r:id="rId13">
        <w:r>
          <w:rPr>
            <w:rFonts w:ascii="Arial" w:cs="Arial" w:eastAsia="Arial" w:hAnsi="Arial"/>
            <w:sz w:val="17"/>
            <w:szCs w:val="17"/>
            <w:u w:val="single" w:color="auto"/>
            <w:color w:val="0000EE"/>
          </w:rPr>
          <w:t>General Motors Co</w:t>
        </w:r>
        <w:r>
          <w:rPr>
            <w:rFonts w:ascii="Arial" w:cs="Arial" w:eastAsia="Arial" w:hAnsi="Arial"/>
            <w:sz w:val="17"/>
            <w:szCs w:val="17"/>
            <w:color w:val="0000EE"/>
          </w:rPr>
          <w:t xml:space="preserve"> </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3"/>
          <w:szCs w:val="13"/>
          <w:color w:val="0000FF"/>
        </w:rPr>
        <w:t>GM</w:t>
      </w:r>
      <w:r>
        <w:rPr>
          <w:rFonts w:ascii="Arial" w:cs="Arial" w:eastAsia="Arial" w:hAnsi="Arial"/>
          <w:sz w:val="17"/>
          <w:szCs w:val="17"/>
          <w:color w:val="0000EE"/>
        </w:rPr>
        <w:t xml:space="preserve"> </w:t>
      </w:r>
      <w:r>
        <w:rPr>
          <w:rFonts w:ascii="Arial" w:cs="Arial" w:eastAsia="Arial" w:hAnsi="Arial"/>
          <w:sz w:val="17"/>
          <w:szCs w:val="17"/>
          <w:color w:val="000000"/>
        </w:rPr>
        <w:t>]</w:t>
      </w:r>
    </w:p>
    <w:p>
      <w:pPr>
        <w:spacing w:after="0" w:line="272"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260" w:type="dxa"/>
            <w:vAlign w:val="bottom"/>
            <w:gridSpan w:val="3"/>
          </w:tcPr>
          <w:p>
            <w:pPr>
              <w:spacing w:after="0"/>
              <w:rPr>
                <w:sz w:val="20"/>
                <w:szCs w:val="20"/>
                <w:color w:val="auto"/>
              </w:rPr>
            </w:pPr>
            <w:r>
              <w:rPr>
                <w:rFonts w:ascii="Arial" w:cs="Arial" w:eastAsia="Arial" w:hAnsi="Arial"/>
                <w:sz w:val="10"/>
                <w:szCs w:val="10"/>
                <w:color w:val="auto"/>
              </w:rPr>
              <w:t>4. 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0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24"/>
        </w:trPr>
        <w:tc>
          <w:tcPr>
            <w:tcW w:w="1700" w:type="dxa"/>
            <w:vAlign w:val="bottom"/>
            <w:gridSpan w:val="2"/>
          </w:tcPr>
          <w:p>
            <w:pPr>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20" w:type="dxa"/>
            <w:vAlign w:val="bottom"/>
          </w:tcPr>
          <w:p>
            <w:pPr>
              <w:spacing w:after="0"/>
              <w:rPr>
                <w:sz w:val="7"/>
                <w:szCs w:val="7"/>
                <w:color w:val="auto"/>
              </w:rPr>
            </w:pPr>
          </w:p>
        </w:tc>
        <w:tc>
          <w:tcPr>
            <w:tcW w:w="1280" w:type="dxa"/>
            <w:vAlign w:val="bottom"/>
            <w:vMerge w:val="restart"/>
          </w:tcPr>
          <w:p>
            <w:pPr>
              <w:ind w:left="10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1560" w:type="dxa"/>
            <w:vAlign w:val="bottom"/>
            <w:vMerge w:val="continue"/>
          </w:tcPr>
          <w:p>
            <w:pPr>
              <w:spacing w:after="0"/>
              <w:rPr>
                <w:sz w:val="3"/>
                <w:szCs w:val="3"/>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00" w:type="dxa"/>
            <w:vAlign w:val="bottom"/>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124"/>
        </w:trPr>
        <w:tc>
          <w:tcPr>
            <w:tcW w:w="420" w:type="dxa"/>
            <w:vAlign w:val="bottom"/>
            <w:vMerge w:val="restart"/>
          </w:tcPr>
          <w:p>
            <w:pPr>
              <w:ind w:left="220"/>
              <w:spacing w:after="0"/>
              <w:rPr>
                <w:sz w:val="20"/>
                <w:szCs w:val="20"/>
                <w:color w:val="auto"/>
              </w:rPr>
            </w:pPr>
            <w:r>
              <w:rPr>
                <w:rFonts w:ascii="Arial" w:cs="Arial" w:eastAsia="Arial" w:hAnsi="Arial"/>
                <w:sz w:val="13"/>
                <w:szCs w:val="13"/>
                <w:color w:val="0000FF"/>
              </w:rPr>
              <w:t>X</w:t>
            </w:r>
          </w:p>
        </w:tc>
        <w:tc>
          <w:tcPr>
            <w:tcW w:w="1280" w:type="dxa"/>
            <w:vAlign w:val="bottom"/>
            <w:vMerge w:val="restart"/>
          </w:tcPr>
          <w:p>
            <w:pPr>
              <w:ind w:left="10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20" w:type="dxa"/>
            <w:vAlign w:val="bottom"/>
            <w:vMerge w:val="continue"/>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vMerge w:val="restart"/>
          </w:tcPr>
          <w:p>
            <w:pPr>
              <w:ind w:left="80"/>
              <w:spacing w:after="0"/>
              <w:rPr>
                <w:sz w:val="20"/>
                <w:szCs w:val="20"/>
                <w:color w:val="auto"/>
              </w:rPr>
            </w:pP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tc>
        <w:tc>
          <w:tcPr>
            <w:tcW w:w="0" w:type="dxa"/>
            <w:vAlign w:val="bottom"/>
          </w:tcPr>
          <w:p>
            <w:pPr>
              <w:spacing w:after="0" w:line="20" w:lineRule="exact"/>
              <w:rPr>
                <w:sz w:val="1"/>
                <w:szCs w:val="1"/>
                <w:color w:val="auto"/>
              </w:rPr>
            </w:pPr>
          </w:p>
        </w:tc>
      </w:tr>
      <w:tr>
        <w:trPr>
          <w:trHeight w:val="82"/>
        </w:trPr>
        <w:tc>
          <w:tcPr>
            <w:tcW w:w="420" w:type="dxa"/>
            <w:vAlign w:val="bottom"/>
            <w:vMerge w:val="continue"/>
          </w:tcPr>
          <w:p>
            <w:pPr>
              <w:spacing w:after="0"/>
              <w:rPr>
                <w:sz w:val="7"/>
                <w:szCs w:val="7"/>
                <w:color w:val="auto"/>
              </w:rPr>
            </w:pPr>
          </w:p>
        </w:tc>
        <w:tc>
          <w:tcPr>
            <w:tcW w:w="1280" w:type="dxa"/>
            <w:vAlign w:val="bottom"/>
            <w:vMerge w:val="restart"/>
          </w:tcPr>
          <w:p>
            <w:pPr>
              <w:ind w:left="100"/>
              <w:spacing w:after="0"/>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42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2840" w:type="dxa"/>
            <w:vAlign w:val="bottom"/>
            <w:gridSpan w:val="2"/>
          </w:tcPr>
          <w:p>
            <w:pPr>
              <w:ind w:left="500"/>
              <w:spacing w:after="0"/>
              <w:rPr>
                <w:sz w:val="20"/>
                <w:szCs w:val="20"/>
                <w:color w:val="auto"/>
              </w:rPr>
            </w:pPr>
            <w:r>
              <w:rPr>
                <w:rFonts w:ascii="Arial" w:cs="Arial" w:eastAsia="Arial" w:hAnsi="Arial"/>
                <w:sz w:val="13"/>
                <w:szCs w:val="13"/>
                <w:color w:val="0000FF"/>
              </w:rPr>
              <w:t>Executive Vice President</w:t>
            </w:r>
          </w:p>
        </w:tc>
        <w:tc>
          <w:tcPr>
            <w:tcW w:w="140" w:type="dxa"/>
            <w:vAlign w:val="bottom"/>
          </w:tcPr>
          <w:p>
            <w:pPr>
              <w:spacing w:after="0"/>
              <w:rPr>
                <w:sz w:val="15"/>
                <w:szCs w:val="15"/>
                <w:color w:val="auto"/>
              </w:rPr>
            </w:pPr>
          </w:p>
        </w:tc>
        <w:tc>
          <w:tcPr>
            <w:tcW w:w="2600" w:type="dxa"/>
            <w:vAlign w:val="bottom"/>
          </w:tcPr>
          <w:p>
            <w:pPr>
              <w:ind w:left="3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282" w:lineRule="exact"/>
        <w:rPr>
          <w:sz w:val="24"/>
          <w:szCs w:val="24"/>
          <w:color w:val="auto"/>
        </w:rPr>
      </w:pPr>
    </w:p>
    <w:p>
      <w:pPr>
        <w:sectPr>
          <w:pgSz w:w="11900" w:h="16838" w:orient="portrait"/>
          <w:cols w:equalWidth="0" w:num="2">
            <w:col w:w="4660" w:space="340"/>
            <w:col w:w="6020"/>
          </w:cols>
          <w:pgMar w:left="440" w:top="206" w:right="439" w:bottom="1440" w:gutter="0" w:footer="0" w:header="0"/>
          <w:type w:val="continuous"/>
        </w:sectPr>
      </w:pPr>
    </w:p>
    <w:p>
      <w:pPr>
        <w:spacing w:after="0" w:line="50"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10"/>
          <w:szCs w:val="10"/>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6993890" cy="631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3890" cy="63182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2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700" w:type="dxa"/>
            <w:vAlign w:val="bottom"/>
          </w:tcPr>
          <w:p>
            <w:pPr>
              <w:ind w:left="1760"/>
              <w:spacing w:after="0"/>
              <w:rPr>
                <w:sz w:val="20"/>
                <w:szCs w:val="20"/>
                <w:color w:val="auto"/>
              </w:rPr>
            </w:pPr>
            <w:r>
              <w:rPr>
                <w:rFonts w:ascii="Arial" w:cs="Arial" w:eastAsia="Arial" w:hAnsi="Arial"/>
                <w:sz w:val="10"/>
                <w:szCs w:val="10"/>
                <w:b w:val="1"/>
                <w:bCs w:val="1"/>
                <w:color w:val="auto"/>
              </w:rPr>
              <w:t>2. Amount of Securities Beneficially</w:t>
            </w: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3. Ownership Form:</w:t>
            </w:r>
          </w:p>
        </w:tc>
        <w:tc>
          <w:tcPr>
            <w:tcW w:w="2900" w:type="dxa"/>
            <w:vAlign w:val="bottom"/>
          </w:tcPr>
          <w:p>
            <w:pPr>
              <w:ind w:left="10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4"/>
        </w:trPr>
        <w:tc>
          <w:tcPr>
            <w:tcW w:w="3120" w:type="dxa"/>
            <w:vAlign w:val="bottom"/>
          </w:tcPr>
          <w:p>
            <w:pPr>
              <w:spacing w:after="0"/>
              <w:rPr>
                <w:sz w:val="9"/>
                <w:szCs w:val="9"/>
                <w:color w:val="auto"/>
              </w:rPr>
            </w:pPr>
          </w:p>
        </w:tc>
        <w:tc>
          <w:tcPr>
            <w:tcW w:w="3700" w:type="dxa"/>
            <w:vAlign w:val="bottom"/>
          </w:tcPr>
          <w:p>
            <w:pPr>
              <w:ind w:left="1760"/>
              <w:spacing w:after="0" w:line="114" w:lineRule="exact"/>
              <w:rPr>
                <w:sz w:val="20"/>
                <w:szCs w:val="20"/>
                <w:color w:val="auto"/>
              </w:rPr>
            </w:pPr>
            <w:r>
              <w:rPr>
                <w:rFonts w:ascii="Arial" w:cs="Arial" w:eastAsia="Arial" w:hAnsi="Arial"/>
                <w:sz w:val="10"/>
                <w:szCs w:val="10"/>
                <w:b w:val="1"/>
                <w:bCs w:val="1"/>
                <w:color w:val="auto"/>
              </w:rPr>
              <w:t>Owned (Instr. 4)</w:t>
            </w:r>
          </w:p>
        </w:tc>
        <w:tc>
          <w:tcPr>
            <w:tcW w:w="1260" w:type="dxa"/>
            <w:vAlign w:val="bottom"/>
          </w:tcPr>
          <w:p>
            <w:pPr>
              <w:ind w:left="160"/>
              <w:spacing w:after="0" w:line="114" w:lineRule="exact"/>
              <w:rPr>
                <w:sz w:val="20"/>
                <w:szCs w:val="20"/>
                <w:color w:val="auto"/>
              </w:rPr>
            </w:pPr>
            <w:r>
              <w:rPr>
                <w:rFonts w:ascii="Arial" w:cs="Arial" w:eastAsia="Arial" w:hAnsi="Arial"/>
                <w:sz w:val="10"/>
                <w:szCs w:val="10"/>
                <w:b w:val="1"/>
                <w:bCs w:val="1"/>
                <w:color w:val="auto"/>
              </w:rPr>
              <w:t>Direct (D) or Indirect</w:t>
            </w:r>
          </w:p>
        </w:tc>
        <w:tc>
          <w:tcPr>
            <w:tcW w:w="2900" w:type="dxa"/>
            <w:vAlign w:val="bottom"/>
          </w:tcPr>
          <w:p>
            <w:pPr>
              <w:spacing w:after="0"/>
              <w:rPr>
                <w:sz w:val="9"/>
                <w:szCs w:val="9"/>
                <w:color w:val="auto"/>
              </w:rPr>
            </w:pPr>
          </w:p>
        </w:tc>
      </w:tr>
      <w:tr>
        <w:trPr>
          <w:trHeight w:val="136"/>
        </w:trPr>
        <w:tc>
          <w:tcPr>
            <w:tcW w:w="31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(I) (Instr. 5)</w:t>
            </w:r>
          </w:p>
        </w:tc>
        <w:tc>
          <w:tcPr>
            <w:tcW w:w="2900" w:type="dxa"/>
            <w:vAlign w:val="bottom"/>
          </w:tcPr>
          <w:p>
            <w:pPr>
              <w:spacing w:after="0"/>
              <w:rPr>
                <w:sz w:val="11"/>
                <w:szCs w:val="11"/>
                <w:color w:val="auto"/>
              </w:rPr>
            </w:pPr>
          </w:p>
        </w:tc>
      </w:tr>
      <w:tr>
        <w:trPr>
          <w:trHeight w:val="33"/>
        </w:trPr>
        <w:tc>
          <w:tcPr>
            <w:tcW w:w="3120" w:type="dxa"/>
            <w:vAlign w:val="bottom"/>
            <w:tcBorders>
              <w:bottom w:val="single" w:sz="8" w:color="2C2C2C"/>
            </w:tcBorders>
          </w:tcPr>
          <w:p>
            <w:pPr>
              <w:spacing w:after="0"/>
              <w:rPr>
                <w:sz w:val="2"/>
                <w:szCs w:val="2"/>
                <w:color w:val="auto"/>
              </w:rPr>
            </w:pPr>
          </w:p>
        </w:tc>
        <w:tc>
          <w:tcPr>
            <w:tcW w:w="37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90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940" w:type="dxa"/>
            <w:vAlign w:val="bottom"/>
          </w:tcPr>
          <w:p>
            <w:pPr>
              <w:ind w:left="40"/>
              <w:spacing w:after="0"/>
              <w:rPr>
                <w:sz w:val="20"/>
                <w:szCs w:val="20"/>
                <w:color w:val="auto"/>
              </w:rPr>
            </w:pPr>
            <w:r>
              <w:rPr>
                <w:rFonts w:ascii="Arial" w:cs="Arial" w:eastAsia="Arial" w:hAnsi="Arial"/>
                <w:sz w:val="13"/>
                <w:szCs w:val="13"/>
                <w:color w:val="0000FF"/>
              </w:rPr>
              <w:t>Common Stock</w:t>
            </w: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40" w:type="dxa"/>
            <w:vAlign w:val="bottom"/>
          </w:tcPr>
          <w:p>
            <w:pPr>
              <w:ind w:left="720"/>
              <w:spacing w:after="0"/>
              <w:rPr>
                <w:sz w:val="20"/>
                <w:szCs w:val="20"/>
                <w:color w:val="auto"/>
              </w:rPr>
            </w:pPr>
            <w:r>
              <w:rPr>
                <w:rFonts w:ascii="Arial" w:cs="Arial" w:eastAsia="Arial" w:hAnsi="Arial"/>
                <w:sz w:val="13"/>
                <w:szCs w:val="13"/>
                <w:color w:val="0000FF"/>
              </w:rPr>
              <w:t>55,409</w:t>
            </w:r>
          </w:p>
        </w:tc>
        <w:tc>
          <w:tcPr>
            <w:tcW w:w="640" w:type="dxa"/>
            <w:vAlign w:val="bottom"/>
          </w:tcPr>
          <w:p>
            <w:pPr>
              <w:ind w:left="36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29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440" w:type="dxa"/>
            <w:vAlign w:val="bottom"/>
            <w:tcBorders>
              <w:bottom w:val="single" w:sz="8" w:color="2C2C2C"/>
            </w:tcBorders>
            <w:gridSpan w:val="3"/>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808080"/>
            </w:tcBorders>
          </w:tcPr>
          <w:p>
            <w:pPr>
              <w:spacing w:after="0"/>
              <w:rPr>
                <w:sz w:val="14"/>
                <w:szCs w:val="14"/>
                <w:color w:val="auto"/>
              </w:rPr>
            </w:pPr>
          </w:p>
        </w:tc>
        <w:tc>
          <w:tcPr>
            <w:tcW w:w="29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3440" w:type="dxa"/>
            <w:vAlign w:val="bottom"/>
            <w:tcBorders>
              <w:top w:val="single" w:sz="8" w:color="2C2C2C"/>
            </w:tcBorders>
            <w:gridSpan w:val="3"/>
          </w:tcPr>
          <w:p>
            <w:pPr>
              <w:ind w:left="22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4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16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4820" w:type="dxa"/>
            <w:vAlign w:val="bottom"/>
            <w:gridSpan w:val="5"/>
          </w:tcPr>
          <w:p>
            <w:pPr>
              <w:ind w:left="70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9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94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740" w:type="dxa"/>
            <w:vAlign w:val="bottom"/>
          </w:tcPr>
          <w:p>
            <w:pPr>
              <w:spacing w:after="0"/>
              <w:rPr>
                <w:sz w:val="12"/>
                <w:szCs w:val="12"/>
                <w:color w:val="auto"/>
              </w:rPr>
            </w:pPr>
          </w:p>
        </w:tc>
        <w:tc>
          <w:tcPr>
            <w:tcW w:w="130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w:t>
            </w:r>
          </w:p>
        </w:tc>
        <w:tc>
          <w:tcPr>
            <w:tcW w:w="720" w:type="dxa"/>
            <w:vAlign w:val="bottom"/>
          </w:tcPr>
          <w:p>
            <w:pPr>
              <w:ind w:left="40"/>
              <w:spacing w:after="0"/>
              <w:rPr>
                <w:sz w:val="20"/>
                <w:szCs w:val="20"/>
                <w:color w:val="auto"/>
              </w:rPr>
            </w:pPr>
            <w:r>
              <w:rPr>
                <w:rFonts w:ascii="Arial" w:cs="Arial" w:eastAsia="Arial" w:hAnsi="Arial"/>
                <w:sz w:val="10"/>
                <w:szCs w:val="10"/>
                <w:b w:val="1"/>
                <w:bCs w:val="1"/>
                <w:color w:val="auto"/>
              </w:rPr>
              <w:t>4.</w:t>
            </w:r>
          </w:p>
        </w:tc>
        <w:tc>
          <w:tcPr>
            <w:tcW w:w="86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660" w:type="dxa"/>
            <w:vAlign w:val="bottom"/>
            <w:gridSpan w:val="2"/>
          </w:tcPr>
          <w:p>
            <w:pPr>
              <w:ind w:left="10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Expiration Date</w:t>
            </w:r>
          </w:p>
        </w:tc>
        <w:tc>
          <w:tcPr>
            <w:tcW w:w="214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Derivative Security (Instr. 4)</w:t>
            </w:r>
          </w:p>
        </w:tc>
        <w:tc>
          <w:tcPr>
            <w:tcW w:w="640" w:type="dxa"/>
            <w:vAlign w:val="bottom"/>
          </w:tcPr>
          <w:p>
            <w:pPr>
              <w:spacing w:after="0"/>
              <w:rPr>
                <w:sz w:val="9"/>
                <w:szCs w:val="9"/>
                <w:color w:val="auto"/>
              </w:rPr>
            </w:pP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Conversion</w:t>
            </w:r>
          </w:p>
        </w:tc>
        <w:tc>
          <w:tcPr>
            <w:tcW w:w="86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Form: Direct</w:t>
            </w:r>
          </w:p>
        </w:tc>
        <w:tc>
          <w:tcPr>
            <w:tcW w:w="1660" w:type="dxa"/>
            <w:vAlign w:val="bottom"/>
            <w:gridSpan w:val="2"/>
          </w:tcPr>
          <w:p>
            <w:pPr>
              <w:ind w:left="100"/>
              <w:spacing w:after="0" w:line="114" w:lineRule="exact"/>
              <w:rPr>
                <w:sz w:val="20"/>
                <w:szCs w:val="20"/>
                <w:color w:val="auto"/>
              </w:rPr>
            </w:pPr>
            <w:r>
              <w:rPr>
                <w:rFonts w:ascii="Arial" w:cs="Arial" w:eastAsia="Arial" w:hAnsi="Arial"/>
                <w:sz w:val="10"/>
                <w:szCs w:val="10"/>
                <w:b w:val="1"/>
                <w:bCs w:val="1"/>
                <w:color w:val="auto"/>
              </w:rPr>
              <w:t>Ownership (Instr. 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(Month/Day/Year)</w:t>
            </w:r>
          </w:p>
        </w:tc>
        <w:tc>
          <w:tcPr>
            <w:tcW w:w="2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or Exercise</w:t>
            </w:r>
          </w:p>
        </w:tc>
        <w:tc>
          <w:tcPr>
            <w:tcW w:w="86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(D) or Indirect</w:t>
            </w: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vMerge w:val="restart"/>
          </w:tcPr>
          <w:p>
            <w:pPr>
              <w:ind w:left="40"/>
              <w:spacing w:after="0" w:line="114" w:lineRule="exact"/>
              <w:rPr>
                <w:sz w:val="20"/>
                <w:szCs w:val="20"/>
                <w:color w:val="auto"/>
              </w:rPr>
            </w:pPr>
            <w:r>
              <w:rPr>
                <w:rFonts w:ascii="Arial" w:cs="Arial" w:eastAsia="Arial" w:hAnsi="Arial"/>
                <w:sz w:val="10"/>
                <w:szCs w:val="10"/>
                <w:b w:val="1"/>
                <w:bCs w:val="1"/>
                <w:color w:val="auto"/>
              </w:rPr>
              <w:t>Price of</w:t>
            </w:r>
          </w:p>
        </w:tc>
        <w:tc>
          <w:tcPr>
            <w:tcW w:w="860" w:type="dxa"/>
            <w:vAlign w:val="bottom"/>
            <w:vMerge w:val="restart"/>
          </w:tcPr>
          <w:p>
            <w:pPr>
              <w:ind w:left="100"/>
              <w:spacing w:after="0" w:line="114" w:lineRule="exact"/>
              <w:rPr>
                <w:sz w:val="20"/>
                <w:szCs w:val="20"/>
                <w:color w:val="auto"/>
              </w:rPr>
            </w:pPr>
            <w:r>
              <w:rPr>
                <w:rFonts w:ascii="Arial" w:cs="Arial" w:eastAsia="Arial" w:hAnsi="Arial"/>
                <w:sz w:val="10"/>
                <w:szCs w:val="10"/>
                <w:b w:val="1"/>
                <w:bCs w:val="1"/>
                <w:color w:val="auto"/>
              </w:rPr>
              <w:t>(I) (Instr. 5)</w:t>
            </w: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6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tcPr>
          <w:p>
            <w:pPr>
              <w:ind w:left="40"/>
              <w:spacing w:after="0" w:line="106" w:lineRule="exact"/>
              <w:rPr>
                <w:sz w:val="20"/>
                <w:szCs w:val="20"/>
                <w:color w:val="auto"/>
              </w:rPr>
            </w:pPr>
            <w:r>
              <w:rPr>
                <w:rFonts w:ascii="Arial" w:cs="Arial" w:eastAsia="Arial" w:hAnsi="Arial"/>
                <w:sz w:val="10"/>
                <w:szCs w:val="10"/>
                <w:b w:val="1"/>
                <w:bCs w:val="1"/>
                <w:color w:val="auto"/>
              </w:rPr>
              <w:t>Derivative</w:t>
            </w:r>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Date</w:t>
            </w:r>
          </w:p>
        </w:tc>
        <w:tc>
          <w:tcPr>
            <w:tcW w:w="62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rPr>
              <w:t>Expiration</w:t>
            </w:r>
          </w:p>
        </w:tc>
        <w:tc>
          <w:tcPr>
            <w:tcW w:w="21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4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Security</w:t>
            </w:r>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40" w:type="dxa"/>
            <w:vAlign w:val="bottom"/>
            <w:vMerge w:val="continue"/>
          </w:tcPr>
          <w:p>
            <w:pPr>
              <w:spacing w:after="0"/>
              <w:rPr>
                <w:sz w:val="11"/>
                <w:szCs w:val="11"/>
                <w:color w:val="auto"/>
              </w:rPr>
            </w:pPr>
          </w:p>
        </w:tc>
        <w:tc>
          <w:tcPr>
            <w:tcW w:w="640" w:type="dxa"/>
            <w:vAlign w:val="bottom"/>
          </w:tcPr>
          <w:p>
            <w:pPr>
              <w:ind w:left="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9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94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Restricted Stock Units</w:t>
            </w:r>
            <w:r>
              <w:rPr>
                <w:rFonts w:ascii="Arial" w:cs="Arial" w:eastAsia="Arial" w:hAnsi="Arial"/>
                <w:sz w:val="17"/>
                <w:szCs w:val="17"/>
                <w:color w:val="008000"/>
                <w:vertAlign w:val="superscript"/>
              </w:rPr>
              <w:t>(1)</w:t>
            </w:r>
          </w:p>
        </w:tc>
        <w:tc>
          <w:tcPr>
            <w:tcW w:w="1420" w:type="dxa"/>
            <w:vAlign w:val="bottom"/>
            <w:tcBorders>
              <w:bottom w:val="single" w:sz="8" w:color="2C2C2C"/>
            </w:tcBorders>
            <w:gridSpan w:val="2"/>
          </w:tcPr>
          <w:p>
            <w:pPr>
              <w:jc w:val="center"/>
              <w:ind w:left="691"/>
              <w:spacing w:after="0"/>
              <w:rPr>
                <w:sz w:val="20"/>
                <w:szCs w:val="20"/>
                <w:color w:val="auto"/>
              </w:rPr>
            </w:pPr>
            <w:r>
              <w:rPr>
                <w:rFonts w:ascii="Arial" w:cs="Arial" w:eastAsia="Arial" w:hAnsi="Arial"/>
                <w:sz w:val="10"/>
                <w:szCs w:val="10"/>
                <w:color w:val="0000FF"/>
                <w:w w:val="95"/>
              </w:rPr>
              <w:t>04/01/2021</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0"/>
                <w:szCs w:val="10"/>
                <w:color w:val="0000FF"/>
                <w:w w:val="91"/>
              </w:rPr>
              <w:t>04/01/2021</w:t>
            </w:r>
          </w:p>
        </w:tc>
        <w:tc>
          <w:tcPr>
            <w:tcW w:w="2140" w:type="dxa"/>
            <w:vAlign w:val="bottom"/>
            <w:tcBorders>
              <w:bottom w:val="single" w:sz="8" w:color="2C2C2C"/>
            </w:tcBorders>
          </w:tcPr>
          <w:p>
            <w:pPr>
              <w:ind w:left="640"/>
              <w:spacing w:after="0"/>
              <w:rPr>
                <w:sz w:val="20"/>
                <w:szCs w:val="20"/>
                <w:color w:val="auto"/>
              </w:rPr>
            </w:pPr>
            <w:r>
              <w:rPr>
                <w:rFonts w:ascii="Arial" w:cs="Arial" w:eastAsia="Arial" w:hAnsi="Arial"/>
                <w:sz w:val="13"/>
                <w:szCs w:val="13"/>
                <w:color w:val="0000FF"/>
              </w:rPr>
              <w:t>Common Stock</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2"/>
              </w:rPr>
              <w:t>1,560</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8"/>
              </w:rPr>
              <w:t>0.0</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00FF"/>
              </w:rPr>
              <w:t>D</w:t>
            </w:r>
          </w:p>
        </w:tc>
        <w:tc>
          <w:tcPr>
            <w:tcW w:w="16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94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Employee Stock Option (Right to Buy)</w:t>
            </w:r>
            <w:r>
              <w:rPr>
                <w:rFonts w:ascii="Arial" w:cs="Arial" w:eastAsia="Arial" w:hAnsi="Arial"/>
                <w:sz w:val="17"/>
                <w:szCs w:val="17"/>
                <w:color w:val="008000"/>
                <w:vertAlign w:val="superscript"/>
              </w:rPr>
              <w:t>(2)</w:t>
            </w:r>
          </w:p>
        </w:tc>
        <w:tc>
          <w:tcPr>
            <w:tcW w:w="1420" w:type="dxa"/>
            <w:vAlign w:val="bottom"/>
            <w:tcBorders>
              <w:bottom w:val="single" w:sz="8" w:color="2C2C2C"/>
            </w:tcBorders>
            <w:gridSpan w:val="2"/>
          </w:tcPr>
          <w:p>
            <w:pPr>
              <w:jc w:val="center"/>
              <w:ind w:left="711"/>
              <w:spacing w:after="0"/>
              <w:rPr>
                <w:sz w:val="20"/>
                <w:szCs w:val="20"/>
                <w:color w:val="auto"/>
              </w:rPr>
            </w:pPr>
            <w:r>
              <w:rPr>
                <w:rFonts w:ascii="Arial" w:cs="Arial" w:eastAsia="Arial" w:hAnsi="Arial"/>
                <w:sz w:val="10"/>
                <w:szCs w:val="10"/>
                <w:color w:val="0000FF"/>
                <w:w w:val="90"/>
              </w:rPr>
              <w:t>02/15/2020</w:t>
            </w:r>
            <w:r>
              <w:rPr>
                <w:rFonts w:ascii="Arial" w:cs="Arial" w:eastAsia="Arial" w:hAnsi="Arial"/>
                <w:sz w:val="17"/>
                <w:szCs w:val="17"/>
                <w:color w:val="008000"/>
                <w:w w:val="90"/>
                <w:vertAlign w:val="superscript"/>
              </w:rPr>
              <w:t>(2)</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0"/>
                <w:szCs w:val="10"/>
                <w:color w:val="0000FF"/>
                <w:w w:val="91"/>
              </w:rPr>
              <w:t>07/28/2025</w:t>
            </w:r>
          </w:p>
        </w:tc>
        <w:tc>
          <w:tcPr>
            <w:tcW w:w="2140" w:type="dxa"/>
            <w:vAlign w:val="bottom"/>
            <w:tcBorders>
              <w:bottom w:val="single" w:sz="8" w:color="2C2C2C"/>
            </w:tcBorders>
          </w:tcPr>
          <w:p>
            <w:pPr>
              <w:ind w:left="640"/>
              <w:spacing w:after="0"/>
              <w:rPr>
                <w:sz w:val="20"/>
                <w:szCs w:val="20"/>
                <w:color w:val="auto"/>
              </w:rPr>
            </w:pPr>
            <w:r>
              <w:rPr>
                <w:rFonts w:ascii="Arial" w:cs="Arial" w:eastAsia="Arial" w:hAnsi="Arial"/>
                <w:sz w:val="13"/>
                <w:szCs w:val="13"/>
                <w:color w:val="0000FF"/>
              </w:rPr>
              <w:t>Common Stock</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3"/>
              </w:rPr>
              <w:t>151,844</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2"/>
              </w:rPr>
              <w:t>31.32</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00FF"/>
              </w:rPr>
              <w:t>D</w:t>
            </w:r>
          </w:p>
        </w:tc>
        <w:tc>
          <w:tcPr>
            <w:tcW w:w="16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94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Employee Stock Option (Right to Buy)</w:t>
            </w:r>
            <w:r>
              <w:rPr>
                <w:rFonts w:ascii="Arial" w:cs="Arial" w:eastAsia="Arial" w:hAnsi="Arial"/>
                <w:sz w:val="17"/>
                <w:szCs w:val="17"/>
                <w:color w:val="008000"/>
                <w:vertAlign w:val="superscript"/>
              </w:rPr>
              <w:t>(3)</w:t>
            </w:r>
          </w:p>
        </w:tc>
        <w:tc>
          <w:tcPr>
            <w:tcW w:w="1420" w:type="dxa"/>
            <w:vAlign w:val="bottom"/>
            <w:tcBorders>
              <w:bottom w:val="single" w:sz="8" w:color="2C2C2C"/>
            </w:tcBorders>
            <w:gridSpan w:val="2"/>
          </w:tcPr>
          <w:p>
            <w:pPr>
              <w:jc w:val="center"/>
              <w:ind w:left="711"/>
              <w:spacing w:after="0"/>
              <w:rPr>
                <w:sz w:val="20"/>
                <w:szCs w:val="20"/>
                <w:color w:val="auto"/>
              </w:rPr>
            </w:pPr>
            <w:r>
              <w:rPr>
                <w:rFonts w:ascii="Arial" w:cs="Arial" w:eastAsia="Arial" w:hAnsi="Arial"/>
                <w:sz w:val="10"/>
                <w:szCs w:val="10"/>
                <w:color w:val="0000FF"/>
                <w:w w:val="90"/>
              </w:rPr>
              <w:t>02/14/2020</w:t>
            </w:r>
            <w:r>
              <w:rPr>
                <w:rFonts w:ascii="Arial" w:cs="Arial" w:eastAsia="Arial" w:hAnsi="Arial"/>
                <w:sz w:val="17"/>
                <w:szCs w:val="17"/>
                <w:color w:val="008000"/>
                <w:w w:val="90"/>
                <w:vertAlign w:val="superscript"/>
              </w:rPr>
              <w:t>(3)</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0"/>
                <w:szCs w:val="10"/>
                <w:color w:val="0000FF"/>
                <w:w w:val="91"/>
              </w:rPr>
              <w:t>06/07/2027</w:t>
            </w:r>
          </w:p>
        </w:tc>
        <w:tc>
          <w:tcPr>
            <w:tcW w:w="2140" w:type="dxa"/>
            <w:vAlign w:val="bottom"/>
            <w:tcBorders>
              <w:bottom w:val="single" w:sz="8" w:color="2C2C2C"/>
            </w:tcBorders>
          </w:tcPr>
          <w:p>
            <w:pPr>
              <w:ind w:left="640"/>
              <w:spacing w:after="0"/>
              <w:rPr>
                <w:sz w:val="20"/>
                <w:szCs w:val="20"/>
                <w:color w:val="auto"/>
              </w:rPr>
            </w:pPr>
            <w:r>
              <w:rPr>
                <w:rFonts w:ascii="Arial" w:cs="Arial" w:eastAsia="Arial" w:hAnsi="Arial"/>
                <w:sz w:val="13"/>
                <w:szCs w:val="13"/>
                <w:color w:val="0000FF"/>
              </w:rPr>
              <w:t>Common Stock</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5"/>
              </w:rPr>
              <w:t>40,412</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2"/>
              </w:rPr>
              <w:t>34.34</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00FF"/>
              </w:rPr>
              <w:t>D</w:t>
            </w:r>
          </w:p>
        </w:tc>
        <w:tc>
          <w:tcPr>
            <w:tcW w:w="16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94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Employee Stock Option (Right to Buy)</w:t>
            </w:r>
            <w:r>
              <w:rPr>
                <w:rFonts w:ascii="Arial" w:cs="Arial" w:eastAsia="Arial" w:hAnsi="Arial"/>
                <w:sz w:val="17"/>
                <w:szCs w:val="17"/>
                <w:color w:val="008000"/>
                <w:vertAlign w:val="superscript"/>
              </w:rPr>
              <w:t>(4)</w:t>
            </w:r>
          </w:p>
        </w:tc>
        <w:tc>
          <w:tcPr>
            <w:tcW w:w="1420" w:type="dxa"/>
            <w:vAlign w:val="bottom"/>
            <w:tcBorders>
              <w:bottom w:val="single" w:sz="8" w:color="2C2C2C"/>
            </w:tcBorders>
            <w:gridSpan w:val="2"/>
          </w:tcPr>
          <w:p>
            <w:pPr>
              <w:jc w:val="center"/>
              <w:ind w:left="711"/>
              <w:spacing w:after="0"/>
              <w:rPr>
                <w:sz w:val="20"/>
                <w:szCs w:val="20"/>
                <w:color w:val="auto"/>
              </w:rPr>
            </w:pPr>
            <w:r>
              <w:rPr>
                <w:rFonts w:ascii="Arial" w:cs="Arial" w:eastAsia="Arial" w:hAnsi="Arial"/>
                <w:sz w:val="9"/>
                <w:szCs w:val="9"/>
                <w:color w:val="008000"/>
                <w:w w:val="90"/>
              </w:rPr>
              <w:t>(4)</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0"/>
                <w:szCs w:val="10"/>
                <w:color w:val="0000FF"/>
                <w:w w:val="91"/>
              </w:rPr>
              <w:t>02/11/2028</w:t>
            </w:r>
          </w:p>
        </w:tc>
        <w:tc>
          <w:tcPr>
            <w:tcW w:w="2140" w:type="dxa"/>
            <w:vAlign w:val="bottom"/>
            <w:tcBorders>
              <w:bottom w:val="single" w:sz="8" w:color="2C2C2C"/>
            </w:tcBorders>
          </w:tcPr>
          <w:p>
            <w:pPr>
              <w:ind w:left="640"/>
              <w:spacing w:after="0"/>
              <w:rPr>
                <w:sz w:val="20"/>
                <w:szCs w:val="20"/>
                <w:color w:val="auto"/>
              </w:rPr>
            </w:pPr>
            <w:r>
              <w:rPr>
                <w:rFonts w:ascii="Arial" w:cs="Arial" w:eastAsia="Arial" w:hAnsi="Arial"/>
                <w:sz w:val="13"/>
                <w:szCs w:val="13"/>
                <w:color w:val="0000FF"/>
              </w:rPr>
              <w:t>Common Stock</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5"/>
              </w:rPr>
              <w:t>24,306</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4"/>
              </w:rPr>
              <w:t>41.4</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00FF"/>
              </w:rPr>
              <w:t>D</w:t>
            </w:r>
          </w:p>
        </w:tc>
        <w:tc>
          <w:tcPr>
            <w:tcW w:w="16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94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Employee Stock Option (Right to Buy)</w:t>
            </w:r>
            <w:r>
              <w:rPr>
                <w:rFonts w:ascii="Arial" w:cs="Arial" w:eastAsia="Arial" w:hAnsi="Arial"/>
                <w:sz w:val="17"/>
                <w:szCs w:val="17"/>
                <w:color w:val="008000"/>
                <w:vertAlign w:val="superscript"/>
              </w:rPr>
              <w:t>(5)</w:t>
            </w:r>
          </w:p>
        </w:tc>
        <w:tc>
          <w:tcPr>
            <w:tcW w:w="1420" w:type="dxa"/>
            <w:vAlign w:val="bottom"/>
            <w:tcBorders>
              <w:bottom w:val="single" w:sz="8" w:color="2C2C2C"/>
            </w:tcBorders>
            <w:gridSpan w:val="2"/>
          </w:tcPr>
          <w:p>
            <w:pPr>
              <w:jc w:val="center"/>
              <w:ind w:left="711"/>
              <w:spacing w:after="0"/>
              <w:rPr>
                <w:sz w:val="20"/>
                <w:szCs w:val="20"/>
                <w:color w:val="auto"/>
              </w:rPr>
            </w:pPr>
            <w:r>
              <w:rPr>
                <w:rFonts w:ascii="Arial" w:cs="Arial" w:eastAsia="Arial" w:hAnsi="Arial"/>
                <w:sz w:val="9"/>
                <w:szCs w:val="9"/>
                <w:color w:val="008000"/>
                <w:w w:val="90"/>
              </w:rPr>
              <w:t>(5)</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0"/>
                <w:szCs w:val="10"/>
                <w:color w:val="0000FF"/>
                <w:w w:val="91"/>
              </w:rPr>
              <w:t>02/11/2028</w:t>
            </w:r>
          </w:p>
        </w:tc>
        <w:tc>
          <w:tcPr>
            <w:tcW w:w="2140" w:type="dxa"/>
            <w:vAlign w:val="bottom"/>
            <w:tcBorders>
              <w:bottom w:val="single" w:sz="8" w:color="2C2C2C"/>
            </w:tcBorders>
          </w:tcPr>
          <w:p>
            <w:pPr>
              <w:ind w:left="640"/>
              <w:spacing w:after="0"/>
              <w:rPr>
                <w:sz w:val="20"/>
                <w:szCs w:val="20"/>
                <w:color w:val="auto"/>
              </w:rPr>
            </w:pPr>
            <w:r>
              <w:rPr>
                <w:rFonts w:ascii="Arial" w:cs="Arial" w:eastAsia="Arial" w:hAnsi="Arial"/>
                <w:sz w:val="13"/>
                <w:szCs w:val="13"/>
                <w:color w:val="0000FF"/>
              </w:rPr>
              <w:t>Common Stock</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5"/>
              </w:rPr>
              <w:t>18,565</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4"/>
              </w:rPr>
              <w:t>39.5</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00FF"/>
              </w:rPr>
              <w:t>D</w:t>
            </w:r>
          </w:p>
        </w:tc>
        <w:tc>
          <w:tcPr>
            <w:tcW w:w="16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94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Employee Stock Option (Right to Buy)</w:t>
            </w:r>
            <w:r>
              <w:rPr>
                <w:rFonts w:ascii="Arial" w:cs="Arial" w:eastAsia="Arial" w:hAnsi="Arial"/>
                <w:sz w:val="17"/>
                <w:szCs w:val="17"/>
                <w:color w:val="008000"/>
                <w:vertAlign w:val="superscript"/>
              </w:rPr>
              <w:t>(6)</w:t>
            </w:r>
          </w:p>
        </w:tc>
        <w:tc>
          <w:tcPr>
            <w:tcW w:w="1420" w:type="dxa"/>
            <w:vAlign w:val="bottom"/>
            <w:tcBorders>
              <w:bottom w:val="single" w:sz="8" w:color="2C2C2C"/>
            </w:tcBorders>
            <w:gridSpan w:val="2"/>
          </w:tcPr>
          <w:p>
            <w:pPr>
              <w:jc w:val="center"/>
              <w:ind w:left="711"/>
              <w:spacing w:after="0"/>
              <w:rPr>
                <w:sz w:val="20"/>
                <w:szCs w:val="20"/>
                <w:color w:val="auto"/>
              </w:rPr>
            </w:pPr>
            <w:r>
              <w:rPr>
                <w:rFonts w:ascii="Arial" w:cs="Arial" w:eastAsia="Arial" w:hAnsi="Arial"/>
                <w:sz w:val="9"/>
                <w:szCs w:val="9"/>
                <w:color w:val="008000"/>
                <w:w w:val="90"/>
              </w:rPr>
              <w:t>(6)</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0"/>
                <w:szCs w:val="10"/>
                <w:color w:val="0000FF"/>
                <w:w w:val="91"/>
              </w:rPr>
              <w:t>02/13/2029</w:t>
            </w:r>
          </w:p>
        </w:tc>
        <w:tc>
          <w:tcPr>
            <w:tcW w:w="2140" w:type="dxa"/>
            <w:vAlign w:val="bottom"/>
            <w:tcBorders>
              <w:bottom w:val="single" w:sz="8" w:color="2C2C2C"/>
            </w:tcBorders>
          </w:tcPr>
          <w:p>
            <w:pPr>
              <w:ind w:left="640"/>
              <w:spacing w:after="0"/>
              <w:rPr>
                <w:sz w:val="20"/>
                <w:szCs w:val="20"/>
                <w:color w:val="auto"/>
              </w:rPr>
            </w:pPr>
            <w:r>
              <w:rPr>
                <w:rFonts w:ascii="Arial" w:cs="Arial" w:eastAsia="Arial" w:hAnsi="Arial"/>
                <w:sz w:val="13"/>
                <w:szCs w:val="13"/>
                <w:color w:val="0000FF"/>
              </w:rPr>
              <w:t>Common Stock</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5"/>
              </w:rPr>
              <w:t>45,834</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2"/>
              </w:rPr>
              <w:t>39</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00FF"/>
              </w:rPr>
              <w:t>D</w:t>
            </w:r>
          </w:p>
        </w:tc>
        <w:tc>
          <w:tcPr>
            <w:tcW w:w="16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2C2C2C"/>
            </w:tcBorders>
          </w:tcPr>
          <w:p>
            <w:pPr>
              <w:spacing w:after="0"/>
              <w:rPr>
                <w:sz w:val="21"/>
                <w:szCs w:val="21"/>
                <w:color w:val="auto"/>
              </w:rPr>
            </w:pPr>
          </w:p>
        </w:tc>
        <w:tc>
          <w:tcPr>
            <w:tcW w:w="294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Employee Stock Option (Right to Buy)</w:t>
            </w:r>
            <w:r>
              <w:rPr>
                <w:rFonts w:ascii="Arial" w:cs="Arial" w:eastAsia="Arial" w:hAnsi="Arial"/>
                <w:sz w:val="17"/>
                <w:szCs w:val="17"/>
                <w:color w:val="008000"/>
                <w:vertAlign w:val="superscript"/>
              </w:rPr>
              <w:t>(7)</w:t>
            </w:r>
          </w:p>
        </w:tc>
        <w:tc>
          <w:tcPr>
            <w:tcW w:w="1420" w:type="dxa"/>
            <w:vAlign w:val="bottom"/>
            <w:tcBorders>
              <w:bottom w:val="single" w:sz="8" w:color="2C2C2C"/>
            </w:tcBorders>
            <w:gridSpan w:val="2"/>
          </w:tcPr>
          <w:p>
            <w:pPr>
              <w:jc w:val="center"/>
              <w:ind w:left="711"/>
              <w:spacing w:after="0"/>
              <w:rPr>
                <w:sz w:val="20"/>
                <w:szCs w:val="20"/>
                <w:color w:val="auto"/>
              </w:rPr>
            </w:pPr>
            <w:r>
              <w:rPr>
                <w:rFonts w:ascii="Arial" w:cs="Arial" w:eastAsia="Arial" w:hAnsi="Arial"/>
                <w:sz w:val="9"/>
                <w:szCs w:val="9"/>
                <w:color w:val="008000"/>
                <w:w w:val="90"/>
              </w:rPr>
              <w:t>(7)</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0"/>
                <w:szCs w:val="10"/>
                <w:color w:val="0000FF"/>
                <w:w w:val="91"/>
              </w:rPr>
              <w:t>02/12/2030</w:t>
            </w:r>
          </w:p>
        </w:tc>
        <w:tc>
          <w:tcPr>
            <w:tcW w:w="2140" w:type="dxa"/>
            <w:vAlign w:val="bottom"/>
            <w:tcBorders>
              <w:bottom w:val="single" w:sz="8" w:color="2C2C2C"/>
            </w:tcBorders>
          </w:tcPr>
          <w:p>
            <w:pPr>
              <w:ind w:left="640"/>
              <w:spacing w:after="0"/>
              <w:rPr>
                <w:sz w:val="20"/>
                <w:szCs w:val="20"/>
                <w:color w:val="auto"/>
              </w:rPr>
            </w:pPr>
            <w:r>
              <w:rPr>
                <w:rFonts w:ascii="Arial" w:cs="Arial" w:eastAsia="Arial" w:hAnsi="Arial"/>
                <w:sz w:val="13"/>
                <w:szCs w:val="13"/>
                <w:color w:val="0000FF"/>
              </w:rPr>
              <w:t>Common Stock</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5"/>
              </w:rPr>
              <w:t>75,645</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2"/>
              </w:rPr>
              <w:t>35.49</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00FF"/>
              </w:rPr>
              <w:t>D</w:t>
            </w:r>
          </w:p>
        </w:tc>
        <w:tc>
          <w:tcPr>
            <w:tcW w:w="164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94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-2136775</wp:posOffset>
            </wp:positionV>
            <wp:extent cx="6993890" cy="2039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3890" cy="2039620"/>
                    </a:xfrm>
                    <a:prstGeom prst="rect">
                      <a:avLst/>
                    </a:prstGeom>
                    <a:noFill/>
                  </pic:spPr>
                </pic:pic>
              </a:graphicData>
            </a:graphic>
          </wp:anchor>
        </w:drawing>
      </w:r>
    </w:p>
    <w:p>
      <w:pPr>
        <w:spacing w:after="0" w:line="5" w:lineRule="exact"/>
        <w:rPr>
          <w:sz w:val="24"/>
          <w:szCs w:val="24"/>
          <w:color w:val="auto"/>
        </w:rPr>
      </w:pPr>
    </w:p>
    <w:p>
      <w:pPr>
        <w:ind w:left="140" w:hanging="106"/>
        <w:spacing w:after="0"/>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The Restricted Stock Units ("RSUs") reported in this item were awarded on May 7, 2020, pursuant to the Company's 2017 Long-Term Incentive Plan. The RSUs will vest on April 1, 2021, and will be settled in shares of the Company's common stock.</w:t>
      </w:r>
    </w:p>
    <w:p>
      <w:pPr>
        <w:spacing w:after="0" w:line="51" w:lineRule="exact"/>
        <w:rPr>
          <w:rFonts w:ascii="Arial" w:cs="Arial" w:eastAsia="Arial" w:hAnsi="Arial"/>
          <w:sz w:val="9"/>
          <w:szCs w:val="9"/>
          <w:color w:val="008000"/>
        </w:rPr>
      </w:pPr>
    </w:p>
    <w:p>
      <w:pPr>
        <w:ind w:left="40" w:right="180" w:hanging="6"/>
        <w:spacing w:after="0" w:line="269" w:lineRule="auto"/>
        <w:tabs>
          <w:tab w:leader="none" w:pos="144"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These Stock Options were granted on July 28, 2015, under the Company's 2014 Long-Term Incentive Plan. Forty percent of the options became exercisable on February 15, 2017; the remaining 60% became exercisable in three equal installments on February 15, 2018, February 15, 2019, and February 15, 2020.</w:t>
      </w:r>
    </w:p>
    <w:p>
      <w:pPr>
        <w:spacing w:after="0" w:line="11" w:lineRule="exact"/>
        <w:rPr>
          <w:rFonts w:ascii="Arial" w:cs="Arial" w:eastAsia="Arial" w:hAnsi="Arial"/>
          <w:sz w:val="10"/>
          <w:szCs w:val="10"/>
          <w:color w:val="008000"/>
        </w:rPr>
      </w:pPr>
    </w:p>
    <w:p>
      <w:pPr>
        <w:ind w:left="40" w:right="80" w:hanging="6"/>
        <w:spacing w:after="0" w:line="269" w:lineRule="auto"/>
        <w:tabs>
          <w:tab w:leader="none" w:pos="144"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These Stock Options were granted on June 7, 2017, under the Company's 2017 Long-Term Incentive Plan. The options became exercisable in three equal installments. The first installment became exercisable on February 14, 2018, and the next two installments became exercisable on February 14, 2019, and February 14, 2020.</w:t>
      </w:r>
    </w:p>
    <w:p>
      <w:pPr>
        <w:spacing w:after="0" w:line="11" w:lineRule="exact"/>
        <w:rPr>
          <w:rFonts w:ascii="Arial" w:cs="Arial" w:eastAsia="Arial" w:hAnsi="Arial"/>
          <w:sz w:val="10"/>
          <w:szCs w:val="10"/>
          <w:color w:val="008000"/>
        </w:rPr>
      </w:pPr>
    </w:p>
    <w:p>
      <w:pPr>
        <w:ind w:left="140" w:hanging="106"/>
        <w:spacing w:after="0"/>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These Stock Options were granted on February 13, 2018, under the Company's 2017 LTIP. One-third became exercisable on February 13, 2019; one-third became exercisable February 13, 2020; and one-third will become exercisable on Februry 13, 2021.</w:t>
      </w:r>
    </w:p>
    <w:p>
      <w:pPr>
        <w:spacing w:after="0" w:line="51" w:lineRule="exact"/>
        <w:rPr>
          <w:rFonts w:ascii="Arial" w:cs="Arial" w:eastAsia="Arial" w:hAnsi="Arial"/>
          <w:sz w:val="9"/>
          <w:szCs w:val="9"/>
          <w:color w:val="008000"/>
        </w:rPr>
      </w:pPr>
    </w:p>
    <w:p>
      <w:pPr>
        <w:ind w:left="140" w:hanging="106"/>
        <w:spacing w:after="0"/>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These Stock Options were granted on July 2, 2018, under the Company's 2017 LTIP. One-third became exercisable on February 13, 2019; one-third became exercisable on February 13, 2020; and one-third will become exercisable on February 13, 2021.</w:t>
      </w:r>
    </w:p>
    <w:p>
      <w:pPr>
        <w:spacing w:after="0" w:line="51" w:lineRule="exact"/>
        <w:rPr>
          <w:rFonts w:ascii="Arial" w:cs="Arial" w:eastAsia="Arial" w:hAnsi="Arial"/>
          <w:sz w:val="9"/>
          <w:szCs w:val="9"/>
          <w:color w:val="008000"/>
        </w:rPr>
      </w:pPr>
    </w:p>
    <w:p>
      <w:pPr>
        <w:ind w:left="40" w:right="280" w:hanging="6"/>
        <w:spacing w:after="0" w:line="269" w:lineRule="auto"/>
        <w:tabs>
          <w:tab w:leader="none" w:pos="144"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These Stock Options were granted on February 13, 2019, under the Company's 2017 LTIP. One-third became exercisable on February 13, 2020; one-third will become exercisable on February 13, 2021; and one-third will become exercisble on February 13, 2022.</w:t>
      </w:r>
    </w:p>
    <w:p>
      <w:pPr>
        <w:spacing w:after="0" w:line="11" w:lineRule="exact"/>
        <w:rPr>
          <w:rFonts w:ascii="Arial" w:cs="Arial" w:eastAsia="Arial" w:hAnsi="Arial"/>
          <w:sz w:val="10"/>
          <w:szCs w:val="10"/>
          <w:color w:val="008000"/>
        </w:rPr>
      </w:pPr>
    </w:p>
    <w:p>
      <w:pPr>
        <w:ind w:left="140" w:hanging="106"/>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These Stock Options were granted on February 12, 2020, under the Company's 2017 LTIP. One-third will vest on February 12, 2021; one-third will vest on February 12, 2022; and one-third will vest on February 12, 2023.</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ind w:left="6620"/>
        <w:spacing w:after="0" w:line="235" w:lineRule="auto"/>
        <w:rPr>
          <w:sz w:val="20"/>
          <w:szCs w:val="20"/>
          <w:color w:val="auto"/>
        </w:rPr>
      </w:pPr>
      <w:r>
        <w:rPr>
          <w:rFonts w:ascii="Arial" w:cs="Arial" w:eastAsia="Arial" w:hAnsi="Arial"/>
          <w:sz w:val="13"/>
          <w:szCs w:val="13"/>
          <w:color w:val="0000FF"/>
        </w:rPr>
        <w:t xml:space="preserve">/s/ Tia Y. Turk, Attorney-in-Fact for Mr. </w:t>
      </w:r>
      <w:r>
        <w:rPr>
          <w:rFonts w:ascii="Arial" w:cs="Arial" w:eastAsia="Arial" w:hAnsi="Arial"/>
          <w:sz w:val="26"/>
          <w:szCs w:val="26"/>
          <w:color w:val="0000FF"/>
          <w:vertAlign w:val="subscript"/>
        </w:rPr>
        <w:t>07/20/2020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-21590</wp:posOffset>
            </wp:positionV>
            <wp:extent cx="137223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72235" cy="635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3"/>
          <w:szCs w:val="13"/>
          <w:color w:val="0000FF"/>
        </w:rPr>
        <w:t>Carlisle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-11430</wp:posOffset>
            </wp:positionV>
            <wp:extent cx="26606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6065" cy="6350"/>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-64135</wp:posOffset>
            </wp:positionV>
            <wp:extent cx="38989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89890" cy="6350"/>
                    </a:xfrm>
                    <a:prstGeom prst="rect">
                      <a:avLst/>
                    </a:prstGeom>
                    <a:noFill/>
                  </pic:spPr>
                </pic:pic>
              </a:graphicData>
            </a:graphic>
          </wp:anchor>
        </w:drawing>
      </w:r>
    </w:p>
    <w:p>
      <w:pPr>
        <w:spacing w:after="0" w:line="33" w:lineRule="exact"/>
        <w:rPr>
          <w:sz w:val="24"/>
          <w:szCs w:val="24"/>
          <w:color w:val="auto"/>
        </w:rPr>
      </w:pPr>
    </w:p>
    <w:p>
      <w:pPr>
        <w:ind w:left="6620"/>
        <w:spacing w:after="0"/>
        <w:tabs>
          <w:tab w:leader="none" w:pos="8800" w:val="left"/>
        </w:tabs>
        <w:rPr>
          <w:sz w:val="20"/>
          <w:szCs w:val="20"/>
          <w:color w:val="auto"/>
        </w:rPr>
      </w:pPr>
      <w:r>
        <w:rPr>
          <w:rFonts w:ascii="Arial" w:cs="Arial" w:eastAsia="Arial" w:hAnsi="Arial"/>
          <w:sz w:val="10"/>
          <w:szCs w:val="10"/>
          <w:color w:val="auto"/>
        </w:rPr>
        <w:t>** Signature of Reporting Person</w:t>
      </w:r>
      <w:r>
        <w:rPr>
          <w:sz w:val="20"/>
          <w:szCs w:val="20"/>
          <w:color w:val="auto"/>
        </w:rPr>
        <w:tab/>
      </w:r>
      <w:r>
        <w:rPr>
          <w:rFonts w:ascii="Arial" w:cs="Arial" w:eastAsia="Arial" w:hAnsi="Arial"/>
          <w:sz w:val="10"/>
          <w:szCs w:val="10"/>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40" w:lineRule="exact"/>
        <w:rPr>
          <w:sz w:val="24"/>
          <w:szCs w:val="24"/>
          <w:color w:val="auto"/>
        </w:rPr>
      </w:pPr>
    </w:p>
    <w:p>
      <w:pPr>
        <w:jc w:val="both"/>
        <w:ind w:left="40" w:right="5000" w:hanging="6"/>
        <w:spacing w:after="0" w:line="322" w:lineRule="auto"/>
        <w:tabs>
          <w:tab w:leader="none" w:pos="149"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6"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81779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2020-07-20T15:49:55Z</dcterms:created>
  <dcterms:modified xsi:type="dcterms:W3CDTF">2020-07-20T15:49:55Z</dcterms:modified>
</cp:coreProperties>
</file>