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875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75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7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STEPHENS THOMAS G</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Chairman</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764"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740" w:type="dxa"/>
            <w:vAlign w:val="bottom"/>
            <w:gridSpan w:val="5"/>
          </w:tcPr>
          <w:p>
            <w:pPr>
              <w:jc w:val="center"/>
              <w:ind w:right="32"/>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80" w:type="dxa"/>
            <w:vAlign w:val="bottom"/>
            <w:gridSpan w:val="10"/>
          </w:tcPr>
          <w:p>
            <w:pPr>
              <w:ind w:left="4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80" w:type="dxa"/>
            <w:vAlign w:val="bottom"/>
            <w:gridSpan w:val="10"/>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2"/>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jc w:val="center"/>
              <w:ind w:righ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w w:val="96"/>
              </w:rPr>
              <w:t>Amount</w:t>
            </w:r>
          </w:p>
        </w:tc>
        <w:tc>
          <w:tcPr>
            <w:tcW w:w="58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7"/>
              </w:rPr>
              <w:t>4,380</w:t>
            </w:r>
            <w:r>
              <w:rPr>
                <w:rFonts w:ascii="Arial" w:cs="Arial" w:eastAsia="Arial" w:hAnsi="Arial"/>
                <w:sz w:val="21"/>
                <w:szCs w:val="21"/>
                <w:color w:val="008000"/>
                <w:w w:val="87"/>
                <w:vertAlign w:val="superscript"/>
              </w:rPr>
              <w:t>(2)</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92"/>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5,180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1,350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ind w:left="5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30.39</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3,830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6"/>
              </w:rPr>
              <w:t>15,627</w:t>
            </w:r>
            <w:r>
              <w:rPr>
                <w:rFonts w:ascii="Arial" w:cs="Arial" w:eastAsia="Arial" w:hAnsi="Arial"/>
                <w:sz w:val="21"/>
                <w:szCs w:val="21"/>
                <w:color w:val="008000"/>
                <w:w w:val="86"/>
                <w:vertAlign w:val="superscript"/>
              </w:rPr>
              <w:t>(5)</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92"/>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19,457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4,814</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ind w:left="5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30.39</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11,613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(6)</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2"/>
              </w:rPr>
              <w:t>44,423</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92"/>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56,036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1"/>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9"/>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31"/>
              <w:spacing w:after="0" w:line="132"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vMerge w:val="restart"/>
          </w:tcPr>
          <w:p>
            <w:pPr>
              <w:jc w:val="center"/>
              <w:ind w:right="80"/>
              <w:spacing w:after="0"/>
              <w:rPr>
                <w:sz w:val="20"/>
                <w:szCs w:val="20"/>
                <w:color w:val="auto"/>
              </w:rPr>
            </w:pPr>
            <w:r>
              <w:rPr>
                <w:rFonts w:ascii="Arial" w:cs="Arial" w:eastAsia="Arial" w:hAnsi="Arial"/>
                <w:sz w:val="13"/>
                <w:szCs w:val="13"/>
                <w:color w:val="0000FF"/>
              </w:rPr>
              <w:t>4,380</w:t>
            </w:r>
            <w:r>
              <w:rPr>
                <w:rFonts w:ascii="Arial" w:cs="Arial" w:eastAsia="Arial" w:hAnsi="Arial"/>
                <w:sz w:val="21"/>
                <w:szCs w:val="21"/>
                <w:color w:val="008000"/>
                <w:vertAlign w:val="superscript"/>
              </w:rPr>
              <w:t>(2)</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ind w:right="12"/>
              <w:spacing w:after="0"/>
              <w:rPr>
                <w:sz w:val="20"/>
                <w:szCs w:val="20"/>
                <w:color w:val="auto"/>
              </w:rPr>
            </w:pPr>
            <w:r>
              <w:rPr>
                <w:rFonts w:ascii="Arial" w:cs="Arial" w:eastAsia="Arial" w:hAnsi="Arial"/>
                <w:sz w:val="17"/>
                <w:szCs w:val="17"/>
                <w:color w:val="0000FF"/>
              </w:rPr>
              <w:t>4,380</w:t>
            </w:r>
            <w:r>
              <w:rPr>
                <w:rFonts w:ascii="Arial" w:cs="Arial" w:eastAsia="Arial" w:hAnsi="Arial"/>
                <w:sz w:val="21"/>
                <w:szCs w:val="21"/>
                <w:color w:val="008000"/>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61"/>
              <w:spacing w:after="0"/>
              <w:rPr>
                <w:sz w:val="20"/>
                <w:szCs w:val="20"/>
                <w:color w:val="auto"/>
              </w:rPr>
            </w:pPr>
            <w:r>
              <w:rPr>
                <w:rFonts w:ascii="Arial" w:cs="Arial" w:eastAsia="Arial" w:hAnsi="Arial"/>
                <w:sz w:val="13"/>
                <w:szCs w:val="13"/>
                <w:color w:val="0000FF"/>
              </w:rPr>
              <w:t>4,380</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174"/>
              <w:spacing w:after="0"/>
              <w:rPr>
                <w:sz w:val="20"/>
                <w:szCs w:val="20"/>
                <w:color w:val="auto"/>
              </w:rPr>
            </w:pPr>
            <w:r>
              <w:rPr>
                <w:rFonts w:ascii="Arial" w:cs="Arial" w:eastAsia="Arial" w:hAnsi="Arial"/>
                <w:sz w:val="13"/>
                <w:szCs w:val="13"/>
                <w:color w:val="0000FF"/>
              </w:rPr>
              <w:t>06/30/2011</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1060" w:type="dxa"/>
            <w:vAlign w:val="bottom"/>
            <w:vMerge w:val="continue"/>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ind w:right="11"/>
              <w:spacing w:after="0"/>
              <w:rPr>
                <w:sz w:val="20"/>
                <w:szCs w:val="20"/>
                <w:color w:val="auto"/>
              </w:rPr>
            </w:pPr>
            <w:r>
              <w:rPr>
                <w:rFonts w:ascii="Arial" w:cs="Arial" w:eastAsia="Arial" w:hAnsi="Arial"/>
                <w:sz w:val="11"/>
                <w:szCs w:val="11"/>
                <w:color w:val="008000"/>
                <w:w w:val="88"/>
              </w:rPr>
              <w:t>(1)</w:t>
            </w: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restart"/>
          </w:tcPr>
          <w:p>
            <w:pPr>
              <w:jc w:val="center"/>
              <w:ind w:right="12"/>
              <w:spacing w:after="0"/>
              <w:rPr>
                <w:sz w:val="20"/>
                <w:szCs w:val="20"/>
                <w:color w:val="auto"/>
              </w:rPr>
            </w:pPr>
            <w:r>
              <w:rPr>
                <w:rFonts w:ascii="Arial" w:cs="Arial" w:eastAsia="Arial" w:hAnsi="Arial"/>
                <w:sz w:val="13"/>
                <w:szCs w:val="13"/>
                <w:color w:val="0000FF"/>
                <w:w w:val="92"/>
              </w:rPr>
              <w:t>Stock</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vMerge w:val="restart"/>
          </w:tcPr>
          <w:p>
            <w:pPr>
              <w:jc w:val="center"/>
              <w:ind w:right="60"/>
              <w:spacing w:after="0"/>
              <w:rPr>
                <w:sz w:val="20"/>
                <w:szCs w:val="20"/>
                <w:color w:val="auto"/>
              </w:rPr>
            </w:pPr>
            <w:r>
              <w:rPr>
                <w:rFonts w:ascii="Arial" w:cs="Arial" w:eastAsia="Arial" w:hAnsi="Arial"/>
                <w:sz w:val="13"/>
                <w:szCs w:val="13"/>
                <w:color w:val="0000FF"/>
              </w:rPr>
              <w:t>15,627</w:t>
            </w:r>
            <w:r>
              <w:rPr>
                <w:rFonts w:ascii="Arial" w:cs="Arial" w:eastAsia="Arial" w:hAnsi="Arial"/>
                <w:sz w:val="21"/>
                <w:szCs w:val="21"/>
                <w:color w:val="008000"/>
                <w:vertAlign w:val="superscript"/>
              </w:rPr>
              <w:t>(5)</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15,627</w:t>
            </w:r>
            <w:r>
              <w:rPr>
                <w:rFonts w:ascii="Arial" w:cs="Arial" w:eastAsia="Arial" w:hAnsi="Arial"/>
                <w:sz w:val="21"/>
                <w:szCs w:val="21"/>
                <w:color w:val="008000"/>
                <w:w w:val="92"/>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21"/>
              <w:spacing w:after="0"/>
              <w:rPr>
                <w:sz w:val="20"/>
                <w:szCs w:val="20"/>
                <w:color w:val="auto"/>
              </w:rPr>
            </w:pPr>
            <w:r>
              <w:rPr>
                <w:rFonts w:ascii="Arial" w:cs="Arial" w:eastAsia="Arial" w:hAnsi="Arial"/>
                <w:sz w:val="13"/>
                <w:szCs w:val="13"/>
                <w:color w:val="0000FF"/>
              </w:rPr>
              <w:t>31,248</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74"/>
              <w:spacing w:after="0"/>
              <w:rPr>
                <w:sz w:val="20"/>
                <w:szCs w:val="20"/>
                <w:color w:val="auto"/>
              </w:rPr>
            </w:pPr>
            <w:r>
              <w:rPr>
                <w:rFonts w:ascii="Arial" w:cs="Arial" w:eastAsia="Arial" w:hAnsi="Arial"/>
                <w:sz w:val="13"/>
                <w:szCs w:val="13"/>
                <w:color w:val="0000FF"/>
              </w:rPr>
              <w:t>06/30/2011</w:t>
            </w:r>
          </w:p>
        </w:tc>
        <w:tc>
          <w:tcPr>
            <w:tcW w:w="112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1060" w:type="dxa"/>
            <w:vAlign w:val="bottom"/>
            <w:vMerge w:val="continue"/>
          </w:tcPr>
          <w:p>
            <w:pPr>
              <w:spacing w:after="0"/>
              <w:rPr>
                <w:sz w:val="13"/>
                <w:szCs w:val="13"/>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(1)</w:t>
            </w:r>
          </w:p>
        </w:tc>
        <w:tc>
          <w:tcPr>
            <w:tcW w:w="760" w:type="dxa"/>
            <w:vAlign w:val="bottom"/>
          </w:tcPr>
          <w:p>
            <w:pPr>
              <w:jc w:val="center"/>
              <w:ind w:right="11"/>
              <w:spacing w:after="0"/>
              <w:rPr>
                <w:sz w:val="20"/>
                <w:szCs w:val="20"/>
                <w:color w:val="auto"/>
              </w:rPr>
            </w:pPr>
            <w:r>
              <w:rPr>
                <w:rFonts w:ascii="Arial" w:cs="Arial" w:eastAsia="Arial" w:hAnsi="Arial"/>
                <w:sz w:val="11"/>
                <w:szCs w:val="11"/>
                <w:color w:val="008000"/>
                <w:w w:val="88"/>
              </w:rPr>
              <w:t>(1)</w:t>
            </w:r>
          </w:p>
        </w:tc>
        <w:tc>
          <w:tcPr>
            <w:tcW w:w="5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6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ind w:right="12"/>
              <w:spacing w:after="0" w:line="144" w:lineRule="exact"/>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60" w:firstLine="4"/>
        <w:spacing w:after="0" w:line="323"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shares of Common Stock, less a portion withheld for taxes.</w:t>
      </w:r>
    </w:p>
    <w:p>
      <w:pPr>
        <w:ind w:left="40" w:right="16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is deemed to have received a grant of 4,383 SSUs, of which 1,461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13,149 SSUs granted on June 30, 2009, of which 4,380 SSUs became payable on June 30, 2011.</w:t>
      </w:r>
    </w:p>
    <w:p>
      <w:pPr>
        <w:spacing w:after="0" w:line="31" w:lineRule="exact"/>
        <w:rPr>
          <w:rFonts w:ascii="Arial" w:cs="Arial" w:eastAsia="Arial" w:hAnsi="Arial"/>
          <w:sz w:val="13"/>
          <w:szCs w:val="13"/>
          <w:color w:val="008000"/>
        </w:rPr>
      </w:pPr>
    </w:p>
    <w:p>
      <w:pPr>
        <w:ind w:left="40" w:right="200" w:firstLine="4"/>
        <w:spacing w:after="0" w:line="323"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do not have an expiration or exercise date or carry a conversion or exercise price. Each SSU is the economic equivalent of one share of Common Stock. Under the GMSSP, the fair value of the Common Stock is the average of the high and low trading prices for the Common Stock as reported on the New York Stock Exchange, on which the Common Stock is listed, on the date of the transaction, which was $30.39.</w:t>
      </w:r>
    </w:p>
    <w:p>
      <w:pPr>
        <w:ind w:left="40" w:right="22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June 30, 2010 pursuant to the GMSSP and vested upon grant. The portion of this award currently payable was settled on June 30, 2011 in shares of Common Stock, less a portion withheld for taxes.</w:t>
      </w:r>
    </w:p>
    <w:p>
      <w:pPr>
        <w:spacing w:after="0" w:line="22" w:lineRule="exact"/>
        <w:rPr>
          <w:rFonts w:ascii="Arial" w:cs="Arial" w:eastAsia="Arial" w:hAnsi="Arial"/>
          <w:sz w:val="13"/>
          <w:szCs w:val="13"/>
          <w:color w:val="008000"/>
        </w:rPr>
      </w:pPr>
    </w:p>
    <w:p>
      <w:pPr>
        <w:jc w:val="both"/>
        <w:ind w:left="40" w:right="200" w:firstLine="4"/>
        <w:spacing w:after="0" w:line="24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15,627 SSUs, of which 5,209 SSUs were scheduled to be payable on June 30, 2011. Pursuant to the terms of the GMSSP, each issued and outstanding SSUs was automatically converted upon the effectiveness of the Stock Split into three SSUs, so that the employee was credited with a total of 46,881 SSUs granted on June 30, 2010, of which 15,627 SSUs became payable on June 30, 2011.</w:t>
      </w:r>
    </w:p>
    <w:p>
      <w:pPr>
        <w:spacing w:after="0" w:line="29" w:lineRule="exact"/>
        <w:rPr>
          <w:rFonts w:ascii="Arial" w:cs="Arial" w:eastAsia="Arial" w:hAnsi="Arial"/>
          <w:sz w:val="13"/>
          <w:szCs w:val="13"/>
          <w:color w:val="008000"/>
        </w:rPr>
      </w:pPr>
    </w:p>
    <w:p>
      <w:pPr>
        <w:ind w:left="40" w:right="26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07/05/2011</w:t>
            </w:r>
          </w:p>
        </w:tc>
        <w:tc>
          <w:tcPr>
            <w:tcW w:w="0" w:type="dxa"/>
            <w:vAlign w:val="bottom"/>
          </w:tcPr>
          <w:p>
            <w:pPr>
              <w:spacing w:after="0"/>
              <w:rPr>
                <w:sz w:val="1"/>
                <w:szCs w:val="1"/>
                <w:color w:val="auto"/>
              </w:rPr>
            </w:pPr>
          </w:p>
        </w:tc>
      </w:tr>
      <w:tr>
        <w:trPr>
          <w:trHeight w:val="90"/>
        </w:trPr>
        <w:tc>
          <w:tcPr>
            <w:tcW w:w="206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Mr. Stephens</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7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76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2019-12-17T00:14:33Z</dcterms:created>
  <dcterms:modified xsi:type="dcterms:W3CDTF">2019-12-17T00:14:33Z</dcterms:modified>
</cp:coreProperties>
</file>