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UNITED STATES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Washington, D.C. 20549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Proxy Statement Pursuant to Section 14(a) of the Securities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Exchange Act of 1934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2140"/>
        <w:spacing w:after="0" w:line="150" w:lineRule="exact"/>
        <w:tabs>
          <w:tab w:leader="none" w:pos="622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3"/>
          <w:szCs w:val="13"/>
          <w:color w:val="auto"/>
        </w:rPr>
        <w:t>☑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3"/>
          <w:szCs w:val="13"/>
          <w:color w:val="auto"/>
        </w:rPr>
        <w:t xml:space="preserve">☐ </w:t>
      </w:r>
      <w:r>
        <w:rPr>
          <w:rFonts w:ascii="Arial" w:cs="Arial" w:eastAsia="Arial" w:hAnsi="Arial"/>
          <w:sz w:val="13"/>
          <w:szCs w:val="13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176530</wp:posOffset>
            </wp:positionV>
            <wp:extent cx="7003415" cy="11315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113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Check the appropriate box: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700" w:hanging="497"/>
        <w:spacing w:after="0"/>
        <w:tabs>
          <w:tab w:leader="none" w:pos="7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9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700" w:hanging="497"/>
        <w:spacing w:after="0"/>
        <w:tabs>
          <w:tab w:leader="none" w:pos="7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CONFIDENTIAL, FOR USE OF THE COMMISSION ONLY (AS PERMITTED BY RULE 14a-6(e)(2))</w:t>
      </w:r>
    </w:p>
    <w:p>
      <w:pPr>
        <w:spacing w:after="0" w:line="9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700" w:hanging="497"/>
        <w:spacing w:after="0"/>
        <w:tabs>
          <w:tab w:leader="none" w:pos="7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700" w:hanging="497"/>
        <w:spacing w:after="0"/>
        <w:tabs>
          <w:tab w:leader="none" w:pos="7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700" w:hanging="497"/>
        <w:spacing w:after="0"/>
        <w:tabs>
          <w:tab w:leader="none" w:pos="7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Pursuant to ss.240.14a-12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7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40" w:type="dxa"/>
            <w:vAlign w:val="bottom"/>
          </w:tcPr>
          <w:p>
            <w:pPr>
              <w:jc w:val="center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b w:val="1"/>
                <w:bCs w:val="1"/>
                <w:color w:val="0033A0"/>
                <w:w w:val="97"/>
              </w:rPr>
              <w:t>GENERAL MOTORS COMPANY</w:t>
            </w:r>
          </w:p>
        </w:tc>
      </w:tr>
      <w:tr>
        <w:trPr>
          <w:trHeight w:val="35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40" w:type="dxa"/>
            <w:vAlign w:val="bottom"/>
          </w:tcPr>
          <w:p>
            <w:pPr>
              <w:jc w:val="center"/>
              <w:ind w:righ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(Name of Registrant as Specified In Its Charter)</w:t>
            </w:r>
          </w:p>
        </w:tc>
      </w:tr>
      <w:tr>
        <w:trPr>
          <w:trHeight w:val="18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40" w:type="dxa"/>
            <w:vAlign w:val="bottom"/>
          </w:tcPr>
          <w:p>
            <w:pPr>
              <w:jc w:val="center"/>
              <w:ind w:righ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(Name of Person(s) Filing Proxy Statement, if other than the Registrant)</w:t>
            </w:r>
          </w:p>
        </w:tc>
      </w:tr>
      <w:tr>
        <w:trPr>
          <w:trHeight w:val="228"/>
        </w:trPr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6"/>
        </w:trPr>
        <w:tc>
          <w:tcPr>
            <w:tcW w:w="11040" w:type="dxa"/>
            <w:vAlign w:val="bottom"/>
            <w:tcBorders>
              <w:left w:val="single" w:sz="8" w:color="auto"/>
              <w:bottom w:val="single" w:sz="8" w:color="E5F5FB"/>
              <w:right w:val="single" w:sz="8" w:color="auto"/>
            </w:tcBorders>
            <w:gridSpan w:val="3"/>
            <w:shd w:val="clear" w:color="auto" w:fill="E5F5FB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Payment of Filing Fee (Check the appropriate box):</w:t>
            </w:r>
          </w:p>
        </w:tc>
      </w:tr>
      <w:tr>
        <w:trPr>
          <w:trHeight w:val="221"/>
        </w:trPr>
        <w:tc>
          <w:tcPr>
            <w:tcW w:w="4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4"/>
                <w:szCs w:val="14"/>
                <w:color w:val="auto"/>
              </w:rPr>
              <w:t>☑</w:t>
            </w:r>
          </w:p>
        </w:tc>
        <w:tc>
          <w:tcPr>
            <w:tcW w:w="106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fee required.</w:t>
            </w:r>
          </w:p>
        </w:tc>
      </w:tr>
      <w:tr>
        <w:trPr>
          <w:trHeight w:val="223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4"/>
                <w:szCs w:val="14"/>
                <w:color w:val="auto"/>
              </w:rPr>
              <w:t>☐</w:t>
            </w:r>
          </w:p>
        </w:tc>
        <w:tc>
          <w:tcPr>
            <w:tcW w:w="106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Fee computed on table below per Exchange Act Rules 14a-6(i)(1) and 0-11.</w:t>
            </w:r>
          </w:p>
        </w:tc>
      </w:tr>
      <w:tr>
        <w:trPr>
          <w:trHeight w:val="172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of each class of securities to which transaction applies:</w:t>
            </w:r>
          </w:p>
        </w:tc>
      </w:tr>
      <w:tr>
        <w:trPr>
          <w:trHeight w:val="203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102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Aggregate number of securities to which transaction applies:</w:t>
            </w:r>
          </w:p>
        </w:tc>
      </w:tr>
      <w:tr>
        <w:trPr>
          <w:trHeight w:val="192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(3)</w:t>
            </w:r>
          </w:p>
        </w:tc>
        <w:tc>
          <w:tcPr>
            <w:tcW w:w="102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 unit price or other underlying value of transaction computed pursuant to Exchange Act Rule 0-11 (set forth the amount on which the filing fee is calculated</w:t>
            </w:r>
          </w:p>
        </w:tc>
      </w:tr>
      <w:tr>
        <w:trPr>
          <w:trHeight w:val="172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state how it was determined):</w:t>
            </w:r>
          </w:p>
        </w:tc>
      </w:tr>
      <w:tr>
        <w:trPr>
          <w:trHeight w:val="203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(4)</w:t>
            </w:r>
          </w:p>
        </w:tc>
        <w:tc>
          <w:tcPr>
            <w:tcW w:w="102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Proposed maximum aggregate value of transaction:</w:t>
            </w:r>
          </w:p>
        </w:tc>
      </w:tr>
      <w:tr>
        <w:trPr>
          <w:trHeight w:val="203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(5)</w:t>
            </w:r>
          </w:p>
        </w:tc>
        <w:tc>
          <w:tcPr>
            <w:tcW w:w="102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Total fee paid:</w:t>
            </w:r>
          </w:p>
        </w:tc>
      </w:tr>
      <w:tr>
        <w:trPr>
          <w:trHeight w:val="39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40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4"/>
                <w:szCs w:val="14"/>
                <w:color w:val="auto"/>
              </w:rPr>
              <w:t>☐</w:t>
            </w:r>
          </w:p>
        </w:tc>
        <w:tc>
          <w:tcPr>
            <w:tcW w:w="106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Fee paid previously with preliminary materials.</w:t>
            </w:r>
          </w:p>
        </w:tc>
      </w:tr>
      <w:tr>
        <w:trPr>
          <w:trHeight w:val="23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183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4"/>
                <w:szCs w:val="14"/>
                <w:color w:val="auto"/>
              </w:rPr>
              <w:t>☐</w:t>
            </w:r>
          </w:p>
        </w:tc>
        <w:tc>
          <w:tcPr>
            <w:tcW w:w="106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Check box if any part of the fee is offset as provided by Exchange Act Rule 0-11(a)(2) and identify the filing for which the offsetting fee was paid</w:t>
            </w:r>
          </w:p>
        </w:tc>
      </w:tr>
      <w:tr>
        <w:trPr>
          <w:trHeight w:val="190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previously. Identify the previous filing by registration statement number, or the Form or Schedule and the date of its filing.</w:t>
            </w:r>
          </w:p>
        </w:tc>
      </w:tr>
      <w:tr>
        <w:trPr>
          <w:trHeight w:val="39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11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Previously Paid:</w:t>
            </w:r>
          </w:p>
        </w:tc>
      </w:tr>
      <w:tr>
        <w:trPr>
          <w:trHeight w:val="203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102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Form, Schedule or Registration Statement No.:</w:t>
            </w:r>
          </w:p>
        </w:tc>
      </w:tr>
      <w:tr>
        <w:trPr>
          <w:trHeight w:val="203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(3)</w:t>
            </w:r>
          </w:p>
        </w:tc>
        <w:tc>
          <w:tcPr>
            <w:tcW w:w="102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Party:</w:t>
            </w:r>
          </w:p>
        </w:tc>
      </w:tr>
      <w:tr>
        <w:trPr>
          <w:trHeight w:val="203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(4)</w:t>
            </w:r>
          </w:p>
        </w:tc>
        <w:tc>
          <w:tcPr>
            <w:tcW w:w="102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Filed:</w:t>
            </w:r>
          </w:p>
        </w:tc>
      </w:tr>
      <w:tr>
        <w:trPr>
          <w:trHeight w:val="39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34" w:right="439" w:bottom="1440" w:gutter="0" w:footer="0" w:header="0"/>
        </w:sectPr>
      </w:pPr>
    </w:p>
    <w:bookmarkStart w:id="1" w:name="page2"/>
    <w:bookmarkEnd w:id="1"/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7"/>
          <w:szCs w:val="47"/>
          <w:color w:val="00578E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7376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737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Your </w:t>
      </w:r>
      <w:r>
        <w:rPr>
          <w:rFonts w:ascii="Arial" w:cs="Arial" w:eastAsia="Arial" w:hAnsi="Arial"/>
          <w:sz w:val="47"/>
          <w:szCs w:val="47"/>
          <w:b w:val="1"/>
          <w:bCs w:val="1"/>
          <w:color w:val="00578E"/>
        </w:rPr>
        <w:t>Vote</w:t>
      </w:r>
      <w:r>
        <w:rPr>
          <w:rFonts w:ascii="Arial" w:cs="Arial" w:eastAsia="Arial" w:hAnsi="Arial"/>
          <w:sz w:val="47"/>
          <w:szCs w:val="47"/>
          <w:color w:val="00578E"/>
        </w:rPr>
        <w:t xml:space="preserve"> Counts!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center"/>
        <w:ind w:left="5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00578E"/>
        </w:rPr>
        <w:t>GENERAL MOTORS COMPANY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center"/>
        <w:ind w:left="5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578E"/>
        </w:rPr>
        <w:t>2021 Annual Meeting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821690</wp:posOffset>
            </wp:positionH>
            <wp:positionV relativeFrom="paragraph">
              <wp:posOffset>-128905</wp:posOffset>
            </wp:positionV>
            <wp:extent cx="1405890" cy="2311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23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821690</wp:posOffset>
            </wp:positionH>
            <wp:positionV relativeFrom="paragraph">
              <wp:posOffset>-128905</wp:posOffset>
            </wp:positionV>
            <wp:extent cx="1405890" cy="231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23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left="5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78E"/>
        </w:rPr>
        <w:t>Vote by June 13, 2021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left="5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78E"/>
        </w:rPr>
        <w:t>11:59 PM ET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78E"/>
        </w:rPr>
        <w:t>GENERAL MOTORS COMPANY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80" w:right="6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78E"/>
        </w:rPr>
        <w:t>GENERAL MOTORS GLOBAL HEADQUARTERS MAIL CODE 482-C25-A36 300 RENAISSANCE CENTER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78E"/>
        </w:rPr>
        <w:t>DETROIT, MI 48265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D50124-P53774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-103505</wp:posOffset>
            </wp:positionH>
            <wp:positionV relativeFrom="paragraph">
              <wp:posOffset>80010</wp:posOffset>
            </wp:positionV>
            <wp:extent cx="1259840" cy="68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68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578E"/>
        </w:rPr>
        <w:t>You invested in GENERAL MOTORS COMPANY and it’s time to vote!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0" w:right="9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78E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578E"/>
        </w:rPr>
        <w:t>This is an important notice regarding the</w:t>
      </w:r>
      <w:r>
        <w:rPr>
          <w:rFonts w:ascii="Arial" w:cs="Arial" w:eastAsia="Arial" w:hAnsi="Arial"/>
          <w:sz w:val="18"/>
          <w:szCs w:val="18"/>
          <w:color w:val="00578E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578E"/>
        </w:rPr>
        <w:t>availability of proxy material for the shareholder meeting to be held on June 14, 2021.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578E"/>
        </w:rPr>
        <w:t>Get informed before you vote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0" w:right="1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78E"/>
        </w:rPr>
        <w:t>View the Proxy Statement, Notice of 2021 Annual Meeting of Shareholders and 2020 Annual Report online OR you can receive a free paper or email copy of the material(s) by requesting prior to May 31, 2021.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-103505</wp:posOffset>
            </wp:positionH>
            <wp:positionV relativeFrom="paragraph">
              <wp:posOffset>146050</wp:posOffset>
            </wp:positionV>
            <wp:extent cx="7029450" cy="24942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249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78E"/>
        </w:rPr>
        <w:t>*Please check the meeting materials for any special requirements for meeting attendance.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V1</w:t>
      </w:r>
    </w:p>
    <w:p>
      <w:pPr>
        <w:sectPr>
          <w:pgSz w:w="11900" w:h="16838" w:orient="portrait"/>
          <w:cols w:equalWidth="0" w:num="1">
            <w:col w:w="10860"/>
          </w:cols>
          <w:pgMar w:left="600" w:top="792" w:right="439" w:bottom="1440" w:gutter="0" w:footer="0" w:header="0"/>
        </w:sectPr>
      </w:pPr>
    </w:p>
    <w:bookmarkStart w:id="2" w:name="page3"/>
    <w:bookmarkEnd w:id="2"/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116840</wp:posOffset>
            </wp:positionV>
            <wp:extent cx="6995160" cy="431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578E"/>
        </w:rPr>
        <w:t>THIS IS NOT A VOTABLE BALLOT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78E"/>
        </w:rPr>
        <w:t>This is an overview of the proposals being presented at the</w:t>
      </w:r>
    </w:p>
    <w:p>
      <w:pPr>
        <w:ind w:left="22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78E"/>
        </w:rPr>
        <w:t>upcoming shareholder meeting. Please follow the instructions 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78E"/>
        </w:rPr>
        <w:t>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9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Voting Items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Recommends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20" w:type="dxa"/>
            <w:vAlign w:val="bottom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1.</w:t>
            </w:r>
          </w:p>
        </w:tc>
        <w:tc>
          <w:tcPr>
            <w:tcW w:w="9200" w:type="dxa"/>
            <w:vAlign w:val="bottom"/>
            <w:tcBorders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Election of Directors</w:t>
            </w:r>
          </w:p>
        </w:tc>
        <w:tc>
          <w:tcPr>
            <w:tcW w:w="140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0" w:type="dxa"/>
            <w:vAlign w:val="bottom"/>
            <w:tcBorders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Nominees:</w:t>
            </w:r>
          </w:p>
        </w:tc>
        <w:tc>
          <w:tcPr>
            <w:tcW w:w="140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20" w:type="dxa"/>
            <w:vAlign w:val="bottom"/>
            <w:tcBorders>
              <w:bottom w:val="single" w:sz="8" w:color="00578E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  <w:w w:val="87"/>
              </w:rPr>
              <w:t>1a.</w:t>
            </w:r>
          </w:p>
        </w:tc>
        <w:tc>
          <w:tcPr>
            <w:tcW w:w="9200" w:type="dxa"/>
            <w:vAlign w:val="bottom"/>
            <w:tcBorders>
              <w:bottom w:val="single" w:sz="8" w:color="00578E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Mary T. Barra</w:t>
            </w:r>
          </w:p>
        </w:tc>
        <w:tc>
          <w:tcPr>
            <w:tcW w:w="1400" w:type="dxa"/>
            <w:vAlign w:val="bottom"/>
            <w:tcBorders>
              <w:bottom w:val="single" w:sz="8" w:color="00578E"/>
            </w:tcBorders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42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  <w:w w:val="87"/>
              </w:rPr>
              <w:t>1b.</w:t>
            </w:r>
          </w:p>
        </w:tc>
        <w:tc>
          <w:tcPr>
            <w:tcW w:w="9200" w:type="dxa"/>
            <w:vAlign w:val="bottom"/>
            <w:tcBorders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Wesley G. Bush</w:t>
            </w:r>
          </w:p>
        </w:tc>
        <w:tc>
          <w:tcPr>
            <w:tcW w:w="14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42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  <w:w w:val="91"/>
              </w:rPr>
              <w:t>1c.</w:t>
            </w:r>
          </w:p>
        </w:tc>
        <w:tc>
          <w:tcPr>
            <w:tcW w:w="9200" w:type="dxa"/>
            <w:vAlign w:val="bottom"/>
            <w:tcBorders>
              <w:top w:val="single" w:sz="8" w:color="00578E"/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Linda R. Gooden</w:t>
            </w:r>
          </w:p>
        </w:tc>
        <w:tc>
          <w:tcPr>
            <w:tcW w:w="14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42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  <w:w w:val="87"/>
              </w:rPr>
              <w:t>1d.</w:t>
            </w:r>
          </w:p>
        </w:tc>
        <w:tc>
          <w:tcPr>
            <w:tcW w:w="9200" w:type="dxa"/>
            <w:vAlign w:val="bottom"/>
            <w:tcBorders>
              <w:top w:val="single" w:sz="8" w:color="00578E"/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Joseph Jimenez</w:t>
            </w:r>
          </w:p>
        </w:tc>
        <w:tc>
          <w:tcPr>
            <w:tcW w:w="14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42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  <w:w w:val="87"/>
              </w:rPr>
              <w:t>1e.</w:t>
            </w:r>
          </w:p>
        </w:tc>
        <w:tc>
          <w:tcPr>
            <w:tcW w:w="9200" w:type="dxa"/>
            <w:vAlign w:val="bottom"/>
            <w:tcBorders>
              <w:top w:val="single" w:sz="8" w:color="00578E"/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Jane L. Mendillo</w:t>
            </w:r>
          </w:p>
        </w:tc>
        <w:tc>
          <w:tcPr>
            <w:tcW w:w="14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42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1f.</w:t>
            </w:r>
          </w:p>
        </w:tc>
        <w:tc>
          <w:tcPr>
            <w:tcW w:w="9200" w:type="dxa"/>
            <w:vAlign w:val="bottom"/>
            <w:tcBorders>
              <w:top w:val="single" w:sz="8" w:color="00578E"/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Judith A. Miscik</w:t>
            </w:r>
          </w:p>
        </w:tc>
        <w:tc>
          <w:tcPr>
            <w:tcW w:w="14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42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  <w:w w:val="87"/>
              </w:rPr>
              <w:t>1g.</w:t>
            </w:r>
          </w:p>
        </w:tc>
        <w:tc>
          <w:tcPr>
            <w:tcW w:w="9200" w:type="dxa"/>
            <w:vAlign w:val="bottom"/>
            <w:tcBorders>
              <w:top w:val="single" w:sz="8" w:color="00578E"/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Patricia F. Russo</w:t>
            </w:r>
          </w:p>
        </w:tc>
        <w:tc>
          <w:tcPr>
            <w:tcW w:w="14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42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  <w:w w:val="87"/>
              </w:rPr>
              <w:t>1h.</w:t>
            </w:r>
          </w:p>
        </w:tc>
        <w:tc>
          <w:tcPr>
            <w:tcW w:w="9200" w:type="dxa"/>
            <w:vAlign w:val="bottom"/>
            <w:tcBorders>
              <w:top w:val="single" w:sz="8" w:color="00578E"/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Thomas M. Schoewe</w:t>
            </w:r>
          </w:p>
        </w:tc>
        <w:tc>
          <w:tcPr>
            <w:tcW w:w="14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42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1i.</w:t>
            </w:r>
          </w:p>
        </w:tc>
        <w:tc>
          <w:tcPr>
            <w:tcW w:w="9200" w:type="dxa"/>
            <w:vAlign w:val="bottom"/>
            <w:tcBorders>
              <w:top w:val="single" w:sz="8" w:color="00578E"/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Carol M. Stephenson</w:t>
            </w:r>
          </w:p>
        </w:tc>
        <w:tc>
          <w:tcPr>
            <w:tcW w:w="14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42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1j.</w:t>
            </w:r>
          </w:p>
        </w:tc>
        <w:tc>
          <w:tcPr>
            <w:tcW w:w="9200" w:type="dxa"/>
            <w:vAlign w:val="bottom"/>
            <w:tcBorders>
              <w:top w:val="single" w:sz="8" w:color="00578E"/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Mark A. Tatum</w:t>
            </w:r>
          </w:p>
        </w:tc>
        <w:tc>
          <w:tcPr>
            <w:tcW w:w="14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42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  <w:w w:val="91"/>
              </w:rPr>
              <w:t>1k.</w:t>
            </w:r>
          </w:p>
        </w:tc>
        <w:tc>
          <w:tcPr>
            <w:tcW w:w="9200" w:type="dxa"/>
            <w:vAlign w:val="bottom"/>
            <w:tcBorders>
              <w:top w:val="single" w:sz="8" w:color="00578E"/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Devin N. Wenig</w:t>
            </w:r>
          </w:p>
        </w:tc>
        <w:tc>
          <w:tcPr>
            <w:tcW w:w="14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42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1l.</w:t>
            </w:r>
          </w:p>
        </w:tc>
        <w:tc>
          <w:tcPr>
            <w:tcW w:w="9200" w:type="dxa"/>
            <w:vAlign w:val="bottom"/>
            <w:tcBorders>
              <w:top w:val="single" w:sz="8" w:color="00578E"/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Margaret C. Whitman</w:t>
            </w:r>
          </w:p>
        </w:tc>
        <w:tc>
          <w:tcPr>
            <w:tcW w:w="14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42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2.</w:t>
            </w:r>
          </w:p>
        </w:tc>
        <w:tc>
          <w:tcPr>
            <w:tcW w:w="9200" w:type="dxa"/>
            <w:vAlign w:val="bottom"/>
            <w:tcBorders>
              <w:top w:val="single" w:sz="8" w:color="00578E"/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Advisory Approval of Named Executive Officer Compensation</w:t>
            </w:r>
          </w:p>
        </w:tc>
        <w:tc>
          <w:tcPr>
            <w:tcW w:w="1400" w:type="dxa"/>
            <w:vAlign w:val="bottom"/>
            <w:tcBorders>
              <w:top w:val="single" w:sz="8" w:color="00578E"/>
              <w:bottom w:val="single" w:sz="8" w:color="F0EFF7"/>
            </w:tcBorders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20" w:type="dxa"/>
            <w:vAlign w:val="bottom"/>
            <w:tcBorders>
              <w:top w:val="single" w:sz="8" w:color="00578E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3.</w:t>
            </w:r>
          </w:p>
        </w:tc>
        <w:tc>
          <w:tcPr>
            <w:tcW w:w="9200" w:type="dxa"/>
            <w:vAlign w:val="bottom"/>
            <w:tcBorders>
              <w:top w:val="single" w:sz="8" w:color="00578E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Ratification of the Selection of Ernst &amp; Young LLP as the Company’s Independent Registered Public Accounting</w:t>
            </w:r>
          </w:p>
        </w:tc>
        <w:tc>
          <w:tcPr>
            <w:tcW w:w="1400" w:type="dxa"/>
            <w:vAlign w:val="bottom"/>
            <w:tcBorders>
              <w:top w:val="single" w:sz="8" w:color="00578E"/>
            </w:tcBorders>
            <w:vMerge w:val="restart"/>
            <w:shd w:val="clear" w:color="auto" w:fill="F0EFF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0" w:type="dxa"/>
            <w:vAlign w:val="bottom"/>
            <w:tcBorders>
              <w:right w:val="single" w:sz="8" w:color="00578E"/>
            </w:tcBorders>
            <w:vMerge w:val="restart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Firm for 2021</w:t>
            </w:r>
          </w:p>
        </w:tc>
        <w:tc>
          <w:tcPr>
            <w:tcW w:w="140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42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0" w:type="dxa"/>
            <w:vAlign w:val="bottom"/>
            <w:tcBorders>
              <w:bottom w:val="single" w:sz="8" w:color="F0EFF7"/>
              <w:right w:val="single" w:sz="8" w:color="00578E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20" w:type="dxa"/>
            <w:vAlign w:val="bottom"/>
            <w:tcBorders>
              <w:top w:val="single" w:sz="8" w:color="00578E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4.</w:t>
            </w:r>
          </w:p>
        </w:tc>
        <w:tc>
          <w:tcPr>
            <w:tcW w:w="9200" w:type="dxa"/>
            <w:vAlign w:val="bottom"/>
            <w:tcBorders>
              <w:top w:val="single" w:sz="8" w:color="00578E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Shareholder Proposal Regarding Shareholder Written Consent</w:t>
            </w:r>
          </w:p>
        </w:tc>
        <w:tc>
          <w:tcPr>
            <w:tcW w:w="1400" w:type="dxa"/>
            <w:vAlign w:val="bottom"/>
            <w:tcBorders>
              <w:top w:val="single" w:sz="8" w:color="00578E"/>
            </w:tcBorders>
            <w:vMerge w:val="restart"/>
            <w:shd w:val="clear" w:color="auto" w:fill="F0EFF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Against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42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0" w:type="dxa"/>
            <w:vAlign w:val="bottom"/>
            <w:tcBorders>
              <w:bottom w:val="single" w:sz="8" w:color="F0EFF7"/>
              <w:right w:val="single" w:sz="8" w:color="00578E"/>
            </w:tcBorders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F0EFF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20" w:type="dxa"/>
            <w:vAlign w:val="bottom"/>
            <w:tcBorders>
              <w:top w:val="single" w:sz="8" w:color="00578E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5.</w:t>
            </w:r>
          </w:p>
        </w:tc>
        <w:tc>
          <w:tcPr>
            <w:tcW w:w="9200" w:type="dxa"/>
            <w:vAlign w:val="bottom"/>
            <w:tcBorders>
              <w:top w:val="single" w:sz="8" w:color="00578E"/>
              <w:right w:val="single" w:sz="8" w:color="00578E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Shareholder Proposal Regarding a Report on Greenhouse Gas Emissions Targets as a Performance Element of</w:t>
            </w:r>
          </w:p>
        </w:tc>
        <w:tc>
          <w:tcPr>
            <w:tcW w:w="1400" w:type="dxa"/>
            <w:vAlign w:val="bottom"/>
            <w:tcBorders>
              <w:top w:val="single" w:sz="8" w:color="00578E"/>
            </w:tcBorders>
            <w:vMerge w:val="restart"/>
            <w:shd w:val="clear" w:color="auto" w:fill="F0EFF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578E"/>
              </w:rPr>
              <w:t>Against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0" w:type="dxa"/>
            <w:vAlign w:val="bottom"/>
            <w:tcBorders>
              <w:right w:val="single" w:sz="8" w:color="00578E"/>
            </w:tcBorders>
            <w:vMerge w:val="restart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78E"/>
              </w:rPr>
              <w:t>Executive Compensation</w:t>
            </w:r>
          </w:p>
        </w:tc>
        <w:tc>
          <w:tcPr>
            <w:tcW w:w="140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2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0" w:type="dxa"/>
            <w:vAlign w:val="bottom"/>
            <w:tcBorders>
              <w:bottom w:val="single" w:sz="8" w:color="F0EFF7"/>
              <w:right w:val="single" w:sz="8" w:color="00578E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4"/>
        </w:trPr>
        <w:tc>
          <w:tcPr>
            <w:tcW w:w="420" w:type="dxa"/>
            <w:vAlign w:val="bottom"/>
            <w:tcBorders>
              <w:top w:val="single" w:sz="8" w:color="00578E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0" w:type="dxa"/>
            <w:vAlign w:val="bottom"/>
            <w:tcBorders>
              <w:top w:val="single" w:sz="8" w:color="00578E"/>
              <w:right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578E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76835</wp:posOffset>
            </wp:positionV>
            <wp:extent cx="6995160" cy="1974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9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-5245735</wp:posOffset>
            </wp:positionV>
            <wp:extent cx="137160" cy="1371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-5048250</wp:posOffset>
            </wp:positionV>
            <wp:extent cx="137160" cy="1371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-4817110</wp:posOffset>
            </wp:positionV>
            <wp:extent cx="137160" cy="1371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-4585335</wp:posOffset>
            </wp:positionV>
            <wp:extent cx="137160" cy="1371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-4354195</wp:posOffset>
            </wp:positionV>
            <wp:extent cx="137160" cy="1371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-4122420</wp:posOffset>
            </wp:positionV>
            <wp:extent cx="137160" cy="1371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-3891280</wp:posOffset>
            </wp:positionV>
            <wp:extent cx="137160" cy="1371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-3660140</wp:posOffset>
            </wp:positionV>
            <wp:extent cx="137160" cy="13716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-3428365</wp:posOffset>
            </wp:positionV>
            <wp:extent cx="137160" cy="13716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-3197225</wp:posOffset>
            </wp:positionV>
            <wp:extent cx="137160" cy="13716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-2965450</wp:posOffset>
            </wp:positionV>
            <wp:extent cx="137160" cy="13716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-2734310</wp:posOffset>
            </wp:positionV>
            <wp:extent cx="137160" cy="13716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-2502535</wp:posOffset>
            </wp:positionV>
            <wp:extent cx="137160" cy="13716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-2228215</wp:posOffset>
            </wp:positionV>
            <wp:extent cx="137160" cy="13716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-1945640</wp:posOffset>
            </wp:positionV>
            <wp:extent cx="154305" cy="1543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6160770</wp:posOffset>
            </wp:positionH>
            <wp:positionV relativeFrom="paragraph">
              <wp:posOffset>-1662430</wp:posOffset>
            </wp:positionV>
            <wp:extent cx="154305" cy="1543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“Sign up for E-delivery”.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D50125-P53774</w:t>
      </w:r>
    </w:p>
    <w:sectPr>
      <w:pgSz w:w="11900" w:h="16838" w:orient="portrait"/>
      <w:cols w:equalWidth="0" w:num="1">
        <w:col w:w="11020"/>
      </w:cols>
      <w:pgMar w:left="440" w:top="253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2021-04-30T11:03:44Z</dcterms:created>
  <dcterms:modified xsi:type="dcterms:W3CDTF">2021-04-30T11:03:44Z</dcterms:modified>
</cp:coreProperties>
</file>