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Parks Douglas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6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17,794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7,759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17,794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10/02/2020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10/02/2020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33,417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33,417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-3713480</wp:posOffset>
            </wp:positionV>
            <wp:extent cx="7033895" cy="387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87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("RSUs") were awarded on October 2, 2017, under the Company's 2017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October 1, 2020, under the Company's 2020 Long-Term Incentive Plan. One-third will vest on February 12, 2021; one-third will vest on February 12, 2022; and one-third will vest on February 12, 2023.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Fact for Mr. Parks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3300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2020-10-05T16:07:35Z</dcterms:created>
  <dcterms:modified xsi:type="dcterms:W3CDTF">2020-10-05T16:07:35Z</dcterms:modified>
</cp:coreProperties>
</file>