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1010" cy="461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01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5" w:lineRule="exact"/>
        <w:rPr>
          <w:sz w:val="24"/>
          <w:szCs w:val="24"/>
          <w:color w:val="auto"/>
        </w:rPr>
      </w:pPr>
    </w:p>
    <w:tbl>
      <w:tblPr>
        <w:tblLayout w:type="fixed"/>
        <w:tblInd w:w="1760" w:type="dxa"/>
        <w:tblCellMar>
          <w:top w:w="0" w:type="dxa"/>
          <w:left w:w="0" w:type="dxa"/>
          <w:bottom w:w="0" w:type="dxa"/>
          <w:right w:w="0" w:type="dxa"/>
        </w:tblCellMar>
      </w:tblPr>
      <w:tr>
        <w:trPr>
          <w:trHeight w:val="226"/>
        </w:trPr>
        <w:tc>
          <w:tcPr>
            <w:tcW w:w="4460" w:type="dxa"/>
            <w:vAlign w:val="bottom"/>
          </w:tcPr>
          <w:p>
            <w:pPr>
              <w:jc w:val="center"/>
              <w:ind w:right="107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460" w:type="dxa"/>
            <w:vAlign w:val="bottom"/>
          </w:tcPr>
          <w:p>
            <w:pPr>
              <w:jc w:val="center"/>
              <w:ind w:left="1115"/>
              <w:spacing w:after="0"/>
              <w:rPr>
                <w:sz w:val="20"/>
                <w:szCs w:val="20"/>
                <w:color w:val="auto"/>
              </w:rPr>
            </w:pPr>
            <w:r>
              <w:rPr>
                <w:rFonts w:ascii="Times New Roman" w:cs="Times New Roman" w:eastAsia="Times New Roman" w:hAnsi="Times New Roman"/>
                <w:sz w:val="17"/>
                <w:szCs w:val="17"/>
                <w:b w:val="1"/>
                <w:bCs w:val="1"/>
                <w:color w:val="auto"/>
                <w:w w:val="99"/>
              </w:rPr>
              <w:t>27-0756180</w:t>
            </w:r>
          </w:p>
        </w:tc>
      </w:tr>
      <w:tr>
        <w:trPr>
          <w:trHeight w:val="245"/>
        </w:trPr>
        <w:tc>
          <w:tcPr>
            <w:tcW w:w="4460" w:type="dxa"/>
            <w:vAlign w:val="bottom"/>
          </w:tcPr>
          <w:p>
            <w:pPr>
              <w:jc w:val="center"/>
              <w:ind w:right="1075"/>
              <w:spacing w:after="0"/>
              <w:rPr>
                <w:sz w:val="20"/>
                <w:szCs w:val="20"/>
                <w:color w:val="auto"/>
              </w:rPr>
            </w:pPr>
            <w:r>
              <w:rPr>
                <w:rFonts w:ascii="Times New Roman" w:cs="Times New Roman" w:eastAsia="Times New Roman" w:hAnsi="Times New Roman"/>
                <w:sz w:val="17"/>
                <w:szCs w:val="17"/>
                <w:i w:val="1"/>
                <w:iCs w:val="1"/>
                <w:color w:val="auto"/>
                <w:w w:val="99"/>
              </w:rPr>
              <w:t>(State or other jurisdiction of</w:t>
            </w:r>
          </w:p>
        </w:tc>
        <w:tc>
          <w:tcPr>
            <w:tcW w:w="2460" w:type="dxa"/>
            <w:vAlign w:val="bottom"/>
          </w:tcPr>
          <w:p>
            <w:pPr>
              <w:jc w:val="center"/>
              <w:ind w:left="1115"/>
              <w:spacing w:after="0"/>
              <w:rPr>
                <w:sz w:val="20"/>
                <w:szCs w:val="20"/>
                <w:color w:val="auto"/>
              </w:rPr>
            </w:pPr>
            <w:r>
              <w:rPr>
                <w:rFonts w:ascii="Times New Roman" w:cs="Times New Roman" w:eastAsia="Times New Roman" w:hAnsi="Times New Roman"/>
                <w:sz w:val="17"/>
                <w:szCs w:val="17"/>
                <w:i w:val="1"/>
                <w:iCs w:val="1"/>
                <w:color w:val="auto"/>
              </w:rPr>
              <w:t>(I.R.S. Employer</w:t>
            </w:r>
          </w:p>
        </w:tc>
      </w:tr>
      <w:tr>
        <w:trPr>
          <w:trHeight w:val="226"/>
        </w:trPr>
        <w:tc>
          <w:tcPr>
            <w:tcW w:w="4460" w:type="dxa"/>
            <w:vAlign w:val="bottom"/>
          </w:tcPr>
          <w:p>
            <w:pPr>
              <w:jc w:val="center"/>
              <w:ind w:right="1075"/>
              <w:spacing w:after="0"/>
              <w:rPr>
                <w:sz w:val="20"/>
                <w:szCs w:val="20"/>
                <w:color w:val="auto"/>
              </w:rPr>
            </w:pPr>
            <w:r>
              <w:rPr>
                <w:rFonts w:ascii="Times New Roman" w:cs="Times New Roman" w:eastAsia="Times New Roman" w:hAnsi="Times New Roman"/>
                <w:sz w:val="17"/>
                <w:szCs w:val="17"/>
                <w:i w:val="1"/>
                <w:iCs w:val="1"/>
                <w:color w:val="auto"/>
                <w:w w:val="99"/>
              </w:rPr>
              <w:t>incorporation or organization)</w:t>
            </w:r>
          </w:p>
        </w:tc>
        <w:tc>
          <w:tcPr>
            <w:tcW w:w="2460" w:type="dxa"/>
            <w:vAlign w:val="bottom"/>
          </w:tcPr>
          <w:p>
            <w:pPr>
              <w:jc w:val="center"/>
              <w:ind w:left="1115"/>
              <w:spacing w:after="0"/>
              <w:rPr>
                <w:sz w:val="20"/>
                <w:szCs w:val="20"/>
                <w:color w:val="auto"/>
              </w:rPr>
            </w:pPr>
            <w:r>
              <w:rPr>
                <w:rFonts w:ascii="Times New Roman" w:cs="Times New Roman" w:eastAsia="Times New Roman" w:hAnsi="Times New Roman"/>
                <w:sz w:val="17"/>
                <w:szCs w:val="17"/>
                <w:i w:val="1"/>
                <w:iCs w:val="1"/>
                <w:color w:val="auto"/>
              </w:rPr>
              <w:t>Identification No.)</w:t>
            </w:r>
          </w:p>
        </w:tc>
      </w:tr>
      <w:tr>
        <w:trPr>
          <w:trHeight w:val="309"/>
        </w:trPr>
        <w:tc>
          <w:tcPr>
            <w:tcW w:w="4460" w:type="dxa"/>
            <w:vAlign w:val="bottom"/>
          </w:tcPr>
          <w:p>
            <w:pPr>
              <w:jc w:val="center"/>
              <w:ind w:right="1095"/>
              <w:spacing w:after="0"/>
              <w:rPr>
                <w:sz w:val="20"/>
                <w:szCs w:val="20"/>
                <w:color w:val="auto"/>
              </w:rPr>
            </w:pPr>
            <w:r>
              <w:rPr>
                <w:rFonts w:ascii="Times New Roman" w:cs="Times New Roman" w:eastAsia="Times New Roman" w:hAnsi="Times New Roman"/>
                <w:sz w:val="17"/>
                <w:szCs w:val="17"/>
                <w:b w:val="1"/>
                <w:bCs w:val="1"/>
                <w:color w:val="auto"/>
              </w:rPr>
              <w:t>1240 Woodward Avenue, Detroit, Michigan</w:t>
            </w:r>
          </w:p>
        </w:tc>
        <w:tc>
          <w:tcPr>
            <w:tcW w:w="246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48265</w:t>
            </w:r>
          </w:p>
        </w:tc>
      </w:tr>
      <w:tr>
        <w:trPr>
          <w:trHeight w:val="269"/>
        </w:trPr>
        <w:tc>
          <w:tcPr>
            <w:tcW w:w="4460" w:type="dxa"/>
            <w:vAlign w:val="bottom"/>
          </w:tcPr>
          <w:p>
            <w:pPr>
              <w:jc w:val="center"/>
              <w:ind w:right="1075"/>
              <w:spacing w:after="0"/>
              <w:rPr>
                <w:sz w:val="20"/>
                <w:szCs w:val="20"/>
                <w:color w:val="auto"/>
              </w:rPr>
            </w:pPr>
            <w:r>
              <w:rPr>
                <w:rFonts w:ascii="Times New Roman" w:cs="Times New Roman" w:eastAsia="Times New Roman" w:hAnsi="Times New Roman"/>
                <w:sz w:val="17"/>
                <w:szCs w:val="17"/>
                <w:i w:val="1"/>
                <w:iCs w:val="1"/>
                <w:color w:val="auto"/>
                <w:w w:val="99"/>
              </w:rPr>
              <w:t>(Address of principal executive offices)</w:t>
            </w:r>
          </w:p>
        </w:tc>
        <w:tc>
          <w:tcPr>
            <w:tcW w:w="2460" w:type="dxa"/>
            <w:vAlign w:val="bottom"/>
          </w:tcPr>
          <w:p>
            <w:pPr>
              <w:jc w:val="center"/>
              <w:ind w:left="1115"/>
              <w:spacing w:after="0"/>
              <w:rPr>
                <w:sz w:val="20"/>
                <w:szCs w:val="20"/>
                <w:color w:val="auto"/>
              </w:rPr>
            </w:pPr>
            <w:r>
              <w:rPr>
                <w:rFonts w:ascii="Times New Roman" w:cs="Times New Roman" w:eastAsia="Times New Roman" w:hAnsi="Times New Roman"/>
                <w:sz w:val="17"/>
                <w:szCs w:val="17"/>
                <w:i w:val="1"/>
                <w:iCs w:val="1"/>
                <w:color w:val="auto"/>
                <w:w w:val="99"/>
              </w:rPr>
              <w:t>(Zip Code)</w:t>
            </w: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81"/>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17, 2026 there were 901,665,195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Contingencies, and Uncertainties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720" w:type="dxa"/>
            <w:vAlign w:val="bottom"/>
            <w:shd w:val="clear" w:color="auto" w:fill="CCEEFF"/>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86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87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04"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33020</wp:posOffset>
            </wp:positionV>
            <wp:extent cx="1894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00" w:type="dxa"/>
            <w:vAlign w:val="bottom"/>
          </w:tcPr>
          <w:p>
            <w:pPr>
              <w:spacing w:after="0"/>
              <w:rPr>
                <w:sz w:val="15"/>
                <w:szCs w:val="15"/>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99"/>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8"/>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39,861</w:t>
            </w:r>
          </w:p>
        </w:tc>
      </w:tr>
      <w:tr>
        <w:trPr>
          <w:trHeight w:val="212"/>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w:t>
            </w:r>
          </w:p>
        </w:tc>
      </w:tr>
      <w:tr>
        <w:trPr>
          <w:trHeight w:val="211"/>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44,020</w:t>
            </w:r>
          </w:p>
        </w:tc>
      </w:tr>
      <w:tr>
        <w:trPr>
          <w:trHeight w:val="19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35,191</w:t>
            </w:r>
          </w:p>
        </w:tc>
      </w:tr>
      <w:tr>
        <w:trPr>
          <w:trHeight w:val="212"/>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218"/>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r>
      <w:tr>
        <w:trPr>
          <w:trHeight w:val="206"/>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40,668</w:t>
            </w:r>
          </w:p>
        </w:tc>
      </w:tr>
      <w:tr>
        <w:trPr>
          <w:trHeight w:val="211"/>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7)</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r>
      <w:tr>
        <w:trPr>
          <w:trHeight w:val="21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r>
      <w:tr>
        <w:trPr>
          <w:trHeight w:val="21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r>
      <w:tr>
        <w:trPr>
          <w:trHeight w:val="54"/>
        </w:trPr>
        <w:tc>
          <w:tcPr>
            <w:tcW w:w="8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2"/>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8"/>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12"/>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8"/>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2,853</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r>
      <w:tr>
        <w:trPr>
          <w:trHeight w:val="212"/>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(loss) on hedges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2,987</w:t>
            </w:r>
          </w:p>
        </w:tc>
      </w:tr>
      <w:tr>
        <w:trPr>
          <w:trHeight w:val="212"/>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(Note 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$272 and $244</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$1,160 and $1,168 (Note 4; Note 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5)</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3; Note 8)</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108,767</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$1,563 and $1,557 (Note 4; Note 8)</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6; Note 8)</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3; Note 8)</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172,517</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33,754</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15,591</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79,018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21,151</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124,775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218,116</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uncertainties (Note 13)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63,168</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expense,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 (Note 16)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16)</w:t>
            </w:r>
          </w:p>
        </w:tc>
        <w:tc>
          <w:tcPr>
            <w:tcW w:w="2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22,964</w:t>
            </w: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96"/>
        </w:trPr>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24"/>
                <w:szCs w:val="24"/>
                <w:color w:val="auto"/>
              </w:rPr>
            </w:pPr>
          </w:p>
        </w:tc>
        <w:tc>
          <w:tcPr>
            <w:tcW w:w="9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 Equity</w:t>
            </w:r>
          </w:p>
        </w:tc>
      </w:tr>
      <w:tr>
        <w:trPr>
          <w:trHeight w:val="175"/>
        </w:trPr>
        <w:tc>
          <w:tcPr>
            <w:tcW w:w="416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(Permanent Equity)</w:t>
            </w:r>
          </w:p>
        </w:tc>
      </w:tr>
      <w:tr>
        <w:trPr>
          <w:trHeight w:val="202"/>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65,590</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16)</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1"/>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4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66,427</w:t>
            </w:r>
          </w:p>
        </w:tc>
      </w:tr>
      <w:tr>
        <w:trPr>
          <w:trHeight w:val="21"/>
        </w:trPr>
        <w:tc>
          <w:tcPr>
            <w:tcW w:w="4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63,168</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w:t>
            </w: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16)</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21"/>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4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64,694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We also provide automotive financing services through General Motors Financial Company, Inc. (GM Financial). We analyze the results of our operations through the following segments: GM North America (GMNA), GM International (GMI), and GM Financial. In December 2024, we announced that we would no longer fund Cruise's robotaxi development work and will refocus our autonomous driving strategy on personal vehicles, and, in February 2025 we completed the acquisition of the noncontrolling interests in Cruise, began to wind down the Cruise robotaxi operations, and combined the GM and Cruise autonomous technical efforts in our GMNA segment. Corporate includes certain centrally recorded income and costs such as interest, income taxes, corporate expenditures, and certain revenues and expenses that are not part of a reportable segment.</w:t>
      </w:r>
    </w:p>
    <w:p>
      <w:pPr>
        <w:spacing w:after="0" w:line="216"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Annual Report on Form 10-K for the fiscal year ended December 31, 2025 (2025 Form 10-K). Except for per share amounts or as otherwise specified, amounts presented within tables are stated in millions. Certain columns and rows may not add due to rounding.</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GMI</w:t>
            </w:r>
          </w:p>
        </w:tc>
        <w:tc>
          <w:tcPr>
            <w:tcW w:w="140" w:type="dxa"/>
            <w:vAlign w:val="bottom"/>
          </w:tcPr>
          <w:p>
            <w:pPr>
              <w:spacing w:after="0"/>
              <w:rPr>
                <w:sz w:val="16"/>
                <w:szCs w:val="16"/>
                <w:color w:val="auto"/>
              </w:rPr>
            </w:pPr>
          </w:p>
        </w:tc>
        <w:tc>
          <w:tcPr>
            <w:tcW w:w="8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Automotive</w:t>
            </w:r>
          </w:p>
        </w:tc>
        <w:tc>
          <w:tcPr>
            <w:tcW w:w="10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GM Financial</w:t>
            </w: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3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36,401</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center"/>
              <w:ind w:right="3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1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GMI</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1"/>
                <w:szCs w:val="11"/>
                <w:color w:val="auto"/>
              </w:rPr>
            </w:pPr>
          </w:p>
        </w:tc>
        <w:tc>
          <w:tcPr>
            <w:tcW w:w="740" w:type="dxa"/>
            <w:vAlign w:val="bottom"/>
            <w:gridSpan w:val="3"/>
          </w:tcPr>
          <w:p>
            <w:pPr>
              <w:jc w:val="center"/>
              <w:ind w:right="261"/>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5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16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80" w:type="dxa"/>
            <w:vAlign w:val="bottom"/>
          </w:tcPr>
          <w:p>
            <w:pPr>
              <w:spacing w:after="0"/>
              <w:rPr>
                <w:sz w:val="11"/>
                <w:szCs w:val="11"/>
                <w:color w:val="auto"/>
              </w:rPr>
            </w:pPr>
          </w:p>
        </w:tc>
        <w:tc>
          <w:tcPr>
            <w:tcW w:w="1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8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38,268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4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39,860</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4,164</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4,164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in the three months ended March 31, 2026 and 2025.</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operations primarily consist of vehicle connectivity, customer rewards programs, maintenance, extended warranty, and other contracts of $8.7 billion and $8.2 billion at March 31, 2026 and December 31, 2025, which are included in Accrued liabilities and Other liabilities. We recognized revenue of $766 million and $578 million related to contract liabilities in the three months ended March 31, 2026 and 2025. We expect to recognize revenue of $2.1 billion in the nine months ending December 31, 2026 and $1.7 billion, $1.3 billion, and $3.5 billion in the years ending December 31, 2027, 2028, and thereafter related to contract liabilities at March 31, 2026.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14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mortgage and asset-backed securities as these securities are not due at a single maturity date.</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$2.6 billion and $1.5 billion in the three months ended March 31, 2026 and 2025. Net unrealized gains and losses on available-for-sale debt securities were insignificant in the three months ended March 31, 2026 and 2025. Cumulative unrealized losses on available-for-sale debt securities were insignificant at March 31, 2026 and December 31, 2025.</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shown in the condensed consolidated statements of cash flows: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36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45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74,893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90,198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75,404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92,374</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(2,664)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(2,723)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(2,656)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(2,725)</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87,476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72,748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89,650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15,246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16,902</w:t>
            </w:r>
          </w:p>
        </w:tc>
      </w:tr>
      <w:tr>
        <w:trPr>
          <w:trHeight w:val="183"/>
        </w:trPr>
        <w:tc>
          <w:tcPr>
            <w:tcW w:w="42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73,269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74,409</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60"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$14.8 billion and $16.4 billion, and other financing of $462 million and $596 million at March 31, 2026 and December 31, 2025. Commercial finance receivables are presented net of dealer cash management balances of $3.4 billion at March 31, 2026 and December 31, 2025. Under the cash management program, subject to certain conditions, a dealer may choose to reduce the amount of interest on its floorplan line by making principal payments to GM Financial in advance.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8"/>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3.0% and 2.9% at March 31, 2026 and December 31, 2025. The allowance ratio is based on factors including portfolio credit quality, expectations for recovery rates, and economic outlook.</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Retail Finance Receivables </w:t>
      </w:r>
      <w:r>
        <w:rPr>
          <w:rFonts w:ascii="Times New Roman" w:cs="Times New Roman" w:eastAsia="Times New Roman" w:hAnsi="Times New Roman"/>
          <w:sz w:val="18"/>
          <w:szCs w:val="18"/>
          <w:color w:val="auto"/>
        </w:rPr>
        <w:t>GM Financial's retail finance receivables portfolio includes loans made to consumers and businesses to finance the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for personal and commercial use. The following tables are consolidated summaries of the retail finance receivables by FICO score or its equivalent, determined at origination, for each vintage of the retail finance receivables portfolio at March 31, 2026 and December 31,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74,893</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$1.0 billion and $1.1 billion at March 31, 2026 and December 31, 2025. The following tables are consolidated summaries of the delinquency status of the outstanding amortized cost basis of retail finance receivables for each vintage of the portfolio at March 31, 2026 and December 31, 2025, as well as summary totals for March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6"/>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5"/>
        </w:trPr>
        <w:tc>
          <w:tcPr>
            <w:tcW w:w="2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86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10,009</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74,707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16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than 30 days delinquent or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76,995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11,524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72,523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370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795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155"/>
        </w:trPr>
        <w:tc>
          <w:tcPr>
            <w:tcW w:w="22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510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2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21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3"/>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527</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3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12,132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75,404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jc w:val="both"/>
        <w:ind w:firstLine="161"/>
        <w:spacing w:after="0" w:line="310" w:lineRule="auto"/>
        <w:rPr>
          <w:sz w:val="20"/>
          <w:szCs w:val="20"/>
          <w:color w:val="auto"/>
        </w:rPr>
      </w:pPr>
      <w:r>
        <w:rPr>
          <w:rFonts w:ascii="Times New Roman" w:cs="Times New Roman" w:eastAsia="Times New Roman" w:hAnsi="Times New Roman"/>
          <w:sz w:val="17"/>
          <w:szCs w:val="17"/>
          <w:color w:val="auto"/>
        </w:rPr>
        <w:t>Dealers with III and IV risk ratings are subject to additional monitoring and restrictions on funding, including suspension of lines of credit and liquidation of assets. The following tables summarize the dealer finance receivables portfolio by dealer risk rating at March 31, 2026 and December 31, 2025: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13,176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(a)  Floorplan advances comprise 99.0% of the total revolving balance. Dealer term loans are presented by year of origination.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14,674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99.1%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March 31, 2026 and December 31, 2025.</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Transfers of Finance Receivables </w:t>
      </w:r>
      <w:r>
        <w:rPr>
          <w:rFonts w:ascii="Times New Roman" w:cs="Times New Roman" w:eastAsia="Times New Roman" w:hAnsi="Times New Roman"/>
          <w:sz w:val="18"/>
          <w:szCs w:val="18"/>
          <w:color w:val="auto"/>
        </w:rPr>
        <w:t>During the three months ended March 31, 2026, GM Financial had no transfers of finance receivables to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 Financial has continuing involvement with finance receivables previously transferred, primarily in its role as servicer. The outstanding balance of the previously transferred finance receivables subject to continuing involvement was $1.5 billion at March 31, 2026.</w:t>
      </w:r>
    </w:p>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operations and GM Financial. These amounts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GM Financial's condensed consolidated balance sheets and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2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2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8"/>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3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operations made cash payments to GM Financial for subvention of $644 million and $704 million in the three months ended March 31, 2026 and 2025.</w:t>
      </w:r>
    </w:p>
    <w:p>
      <w:pPr>
        <w:spacing w:after="0" w:line="223" w:lineRule="exact"/>
        <w:rPr>
          <w:sz w:val="20"/>
          <w:szCs w:val="20"/>
          <w:color w:val="auto"/>
        </w:rPr>
      </w:pPr>
    </w:p>
    <w:p>
      <w:pPr>
        <w:ind w:right="160"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$650 million and $350 million on its common stock in the three months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Inventories are reflected net of allowances totaling $2.3 billion and $2.4 billion, of which $1.5 billion and $1.7 billion are electric vehicle (EV)-related, to remeasure inventory on-hand to net realizable value at March 31, 2026 and December 31, 2025. Tariffs, less available offsets and deductions, are capitalized into the cost of inventories as incurred. Offset amounts in excess of tariffs incurred will be recognized as a reduction to future tariffs.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40,469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40,596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8"/>
              </w:rPr>
              <w:t>(7,125)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(6,909)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33,344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33,686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estimated residual value of our leased assets at the end of the lease term was $25.0 billion at March 31, 2026 and December 31, 2025.</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Depreciation expense related to Equipment on operating leases, net was $1.3 billion and $1.2 billion in the three months ended March 31, 2026 and 2025.</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r>
      <w:tr>
        <w:trPr>
          <w:trHeight w:val="887"/>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4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has historically been integral to the operations of our business by providing battery cells for our EVs. In the three months ended March 31, 2026 and 2025, equity earnings in Ultium Cells Holdings LLC were insignificant and $241 million.</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or Ultium Cells Holdings LLC since December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9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$931 million and $926 million at March 31, 2026 and December 31, 2025. Dividends received from our nonconsolidated affiliates were insignificant and $788 million in the three months ended March 31, 2026 and 2025. We had net undistributed losses from our nonconsolidated affiliates of $1.2 billion and $1.5 billion at March 31, 2026 and December 31, 2025, including $3.2 billion of undistributed losses at March 31, 2026 and December 31, 2025 offset by $2.0 billion and $1.8 billion of undistributed earnings at March 31, 2026 and December 31, 2025.</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months ended March 31, 2026 and the year ended December 31, 2025, we recorded an insignificant amount of restructuring-related charges in equity income in connection with settlements associated with Ultium Cells Holdings LLC's strategic realignment of manufacturing and cell capacity to meet EV demand. Refer to Note 15 for information associated with commercial settlements with Ultium Cells Holdings LLC during the three months ended March 31, 2026 and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third-party, bank-sponsored warehouse facilities, or asset-backed securities to investors in securitization transactions. The debt issued by these VIEs is backed by finance receivables and leasing-related assets transferred to the VIEs (Securitized Assets). GM Financial is required to hold certain funds in restricted cash accounts to provide additional collateral for borrowings under certain secured credit facilities.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SPEs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 current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29,126</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 non-current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29,232</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$3.7 billion and $3.6 billion, and liabilities were insignificant related to our nonconsolidated VIEs at March 31, 2026 and December 31, 2025. Our maximum exposure to loss as a result of our involvement with these VIEs was approximately $8.4 billion and $8.5 billion, inclusive of $4.0 billion in committed capital contributions to our battery cell manufacturing joint ventures, at March 31, 2026 and December 31, 2025.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15,434</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15,592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16,213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15,065</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1,148</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13,913</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$443 million and $445 million at March 31, 2026 and December 31, 2025.</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2026, we renewed our 364-day, $2.0 billion revolving credit facility allocated for the exclusive use of GM Financial, which now matures on March 22,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8 for additional information on GM Financial's involvement with VIEs. In the three months ended March 31, 2026, GM Financial renewed revolving credit facilities with total borrowing capacity of $2.5 billion and issued $4.5 billion in aggregate principal amount of securitization notes payable with an initial weighted-average interest rate of 4.18% and maturity dates ranging from 2026 to 2034.</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three months ended March 31, 2026, GM Financial issued $2.0 billion in aggregate principal amount of senior notes with an initial weighted-average interest rate of 4.96% and maturity dates ranging from 2029 to 2036.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swaps(b)</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instruments(d)</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months ended March 31, 2026 and 2025 were insignificant, unless otherwise noted. Amounts accrued for interest payments in a net receivable position are included in Other assets. Amounts accrued for interest payments in a net payable position are included in Other liabilities.</w:t>
      </w:r>
    </w:p>
    <w:p>
      <w:pPr>
        <w:ind w:left="320" w:hanging="313"/>
        <w:spacing w:after="0"/>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fair value hedges in the condensed consolidated income statements includes insignificant losses for the three months ended March 31, 2026 and 2025.</w:t>
      </w:r>
    </w:p>
    <w:p>
      <w:pPr>
        <w:spacing w:after="0" w:line="14" w:lineRule="exact"/>
        <w:rPr>
          <w:rFonts w:ascii="Times New Roman" w:cs="Times New Roman" w:eastAsia="Times New Roman" w:hAnsi="Times New Roman"/>
          <w:sz w:val="16"/>
          <w:szCs w:val="16"/>
          <w:color w:val="auto"/>
        </w:rPr>
      </w:pPr>
    </w:p>
    <w:p>
      <w:pPr>
        <w:jc w:val="both"/>
        <w:ind w:left="340" w:hanging="333"/>
        <w:spacing w:after="0" w:line="253"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 of foreign currency cash flow hedges recognized in Accumulated other comprehensive loss in the condensed consolidated statements of comprehensive income includes losses of $163 million and gains </w:t>
      </w:r>
      <w:r>
        <w:rPr>
          <w:rFonts w:ascii="Times New Roman" w:cs="Times New Roman" w:eastAsia="Times New Roman" w:hAnsi="Times New Roman"/>
          <w:sz w:val="17"/>
          <w:szCs w:val="17"/>
          <w:color w:val="auto"/>
        </w:rPr>
        <w:t>of</w:t>
      </w:r>
      <w:r>
        <w:rPr>
          <w:rFonts w:ascii="Times New Roman" w:cs="Times New Roman" w:eastAsia="Times New Roman" w:hAnsi="Times New Roman"/>
          <w:sz w:val="16"/>
          <w:szCs w:val="16"/>
          <w:color w:val="auto"/>
        </w:rPr>
        <w:t xml:space="preserve"> $157 million for the three months ended March 31, 2026 and 2025. The effect of foreign currency cash flow hedges reclassified from Accumulated other comprehensive loss in the condensed consolidated statements of comprehensive income into income includes insignificant losses and gains of $231 million for the three months ended March 31, 2026 and 2025. All amounts reclassified from Accumulated other comprehensive loss were recorded to GM Financial interest, operating, and other expenses in the condensed consolidated income statements.</w:t>
      </w:r>
    </w:p>
    <w:p>
      <w:pPr>
        <w:spacing w:after="0" w:line="2" w:lineRule="exact"/>
        <w:rPr>
          <w:rFonts w:ascii="Times New Roman" w:cs="Times New Roman" w:eastAsia="Times New Roman" w:hAnsi="Times New Roman"/>
          <w:sz w:val="16"/>
          <w:szCs w:val="16"/>
          <w:color w:val="auto"/>
        </w:rPr>
      </w:pPr>
    </w:p>
    <w:p>
      <w:pPr>
        <w:jc w:val="both"/>
        <w:ind w:left="340" w:hanging="333"/>
        <w:spacing w:after="0" w:line="265"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derivative instruments that are classified as assets or liabilities available for offset was $515 million at March 31, 2026 and $520 million at December 31, 2025. GM Financial held an insignificant amount of collateral from counterparties available for netting against GM Financial's asset positions, and posted $585 million and $615 million of collateral to counterparties available for netting against GM Financial's liability positions at March 31, 2026 and December 31, 2025.</w:t>
      </w:r>
    </w:p>
    <w:p>
      <w:pPr>
        <w:spacing w:after="0" w:line="19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 During the next 12 months, we expect an insignificant amount of gains will be reclassified into pre-tax earnings from derivatives designated for hedge accounting.</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14"/>
        </w:trPr>
        <w:tc>
          <w:tcPr>
            <w:tcW w:w="304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center"/>
              <w:ind w:right="61"/>
              <w:spacing w:after="0" w:line="114"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right"/>
              <w:ind w:right="101"/>
              <w:spacing w:after="0" w:line="114"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66"/>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676</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$363 million and $428 million of unamortized losses remaining on hedged items for which hedge accounting has been discontinued at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4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5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estimates related to reasonably possible losses in excess of amounts accrued for recall campaigns, refer to Note 13 for 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40" w:type="dxa"/>
            <w:vAlign w:val="bottom"/>
          </w:tcPr>
          <w:p>
            <w:pPr>
              <w:spacing w:after="0"/>
              <w:rPr>
                <w:sz w:val="20"/>
                <w:szCs w:val="20"/>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presented in Interest income and other non-operating income, net are insignificant in the three months ended March 31, 2026 and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Contingencies, and Uncertainties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Indirect Tax-Related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2026 and December 31, 2025, we had accruals of $1.5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now 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Corporation (Takata) inflators in legacy Opel vehicles. We may in the future be required to further indemnify Stellantis relating to certain of its Takata recalls.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Litigation-Related Liabilities </w:t>
      </w:r>
      <w:r>
        <w:rPr>
          <w:rFonts w:ascii="Times New Roman" w:cs="Times New Roman" w:eastAsia="Times New Roman" w:hAnsi="Times New Roman"/>
          <w:sz w:val="18"/>
          <w:szCs w:val="18"/>
          <w:color w:val="auto"/>
        </w:rPr>
        <w:t>Various other legal actions, including class actions, governmental investigations, claims, and proceedings are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The putative class action concerning 2020–2022 model year vehicles is pending in front of a different judge that has not yet addressed class certification. We have similar cases pending in Canada concerning these vehicles. We are currently unable to estimate any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possible or probable material loss or range of loss that may result from these proceedings in excess of the immaterial amounts accrued.</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the National Highway Traffic Safety Administration (NHTSA) directed that we replace the Takata airbag inflators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March 31, 2026, our remaining accrual for these matters was $0.4 billion, and we believe the currently accrued amount remains reasonable.</w:t>
      </w:r>
    </w:p>
    <w:p>
      <w:pPr>
        <w:spacing w:after="0" w:line="208"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same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March 31, 2026, we had accrued a total of $2.7 billion and recognized receivables totaling $1.7 billion in connection with these matters. At March 31, 2026, our remaining</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accrual for these matters was $0.2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putative class actions pending against GM in federal courts in the U.S. alleging violations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The Company resolved a Federal Trade Commission investigation through an agreed administrative consent order. The Company is defending litigation filed against us and fully cooperating with agencies and attorneys general that are conducting investigations. As of March 31, 2026, we had accrued $0.5 billion in connection with these investigations and litigations. At this stage, we are not able to estimate any reasonably possible or probable material loss or range of loss that may result from these actions beyond this accrual.</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and Breach of Warranty </w:t>
      </w:r>
      <w:r>
        <w:rPr>
          <w:rFonts w:ascii="Times New Roman" w:cs="Times New Roman" w:eastAsia="Times New Roman" w:hAnsi="Times New Roman"/>
          <w:sz w:val="18"/>
          <w:szCs w:val="18"/>
          <w:color w:val="auto"/>
        </w:rPr>
        <w:t>We record liabilities related to product liability claims in Accrued liabilities and Other liabilities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2026 to 2031,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$3.7 billion and $3.5 billion for these guarantees at March 31, 2026 and December 31, 2025,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$1.3 billion and $1.1 billion at March 31, 2026 and December 31, 2025, which are recorded in Accounts payable (principally trade).</w:t>
      </w:r>
    </w:p>
    <w:p>
      <w:pPr>
        <w:spacing w:after="0" w:line="2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Indirect Tax-Related Matters </w:t>
      </w:r>
      <w:r>
        <w:rPr>
          <w:rFonts w:ascii="Times New Roman" w:cs="Times New Roman" w:eastAsia="Times New Roman" w:hAnsi="Times New Roman"/>
          <w:sz w:val="18"/>
          <w:szCs w:val="18"/>
          <w:color w:val="auto"/>
        </w:rPr>
        <w:t>Tax matters not subject to the provision of Accounting Standards Codification 740, "Income Taxes" that pertain to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added taxes, customs, duties, sales tax, property taxes, and other non-income tax exposures are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evaluated globally. For indirect tax-related matters, we estimate our reasonably possible loss in excess of amounts accrued to be up to $5.7 billion at March 31, 2026.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Emissions-Related Uncertainties </w:t>
      </w:r>
      <w:r>
        <w:rPr>
          <w:rFonts w:ascii="Times New Roman" w:cs="Times New Roman" w:eastAsia="Times New Roman" w:hAnsi="Times New Roman"/>
          <w:sz w:val="18"/>
          <w:szCs w:val="18"/>
          <w:color w:val="auto"/>
        </w:rPr>
        <w:t>We are subject to state and federal governmental regulations, as well as regulations from governments outside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relating to fuel economy standards and emissions. There are several methods to comply with these regulations that we have utilized and may continue to utilize, including, but not limited to, increasing production and sales of certain vehicles; curtailing production of certain vehicles; making certain technology changes; purchasing credits from third parties; and/or paying civil penalties. Recently, the U.S. Government began to take actions to reduce the stringency and/or scope of these regulations. During the year ended December 31, 2025, the civil penalties for noncompliance with corporate average fuel economy (CAFE) standards were set to zero for all non-finalized model years, and NHTSA submitted a proposal for the 2022-2031 model years that would reduce the stringency from what was previously finalized. The Environmental Protection Agency (EPA) also finalized a rule (effective April 20, 2026) repealing its "endangerment finding" and removing greenhouse gas (GHG) regulations for light-, medium-, and heavy-duty on-highway vehicles on a retrospective and prospective basis. Litigation over the EPA's endangerment repeal has commenced, and we also expect any final action to alter U.S. CAFE regulations to be subject to legal challenges that could result in the revised rules being vacated until conclusion of the legal proceedings, which is unlikely to occur in the near term.</w:t>
      </w:r>
    </w:p>
    <w:p>
      <w:pPr>
        <w:spacing w:after="0" w:line="22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Under current regulations, shortfalls to certain emissions standards could result in legal or regulatory proceedings against us, the recall or decertification of one or more of our products, negotiated remedial actions, fines and penalties, and/or restricted product offerings. Based on our current and forecasted sales mix, we currently have, and expect to continue to have shortfalls in complying with current U.S. regulations. We recorded compliance-related costs of $0.1 billion and $0.2 billion in the three months ended March 31, 2026 and 2025 in Automotive and other cost of sales. Additional compliance costs, under current regulations, including potential fines and penalties, are not reasonably estimable. At March 31, 2026, the carrying amount of our acquired credits was $1.3 billion, of which up to $1.0 billion is subject to impairment in the near term upon enactment of the EPA's endangerment repeal.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March 31, 2026 and 2025, Income tax expense of $642 million and $719 million was primarily due to tax expense attributable to entities included in our effective tax rate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and payments(a)</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amounts that have been reclassified to accounts payable that are being processed for payment.</w:t>
      </w:r>
    </w:p>
    <w:p>
      <w:pPr>
        <w:spacing w:after="0" w:line="233"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We have made significant investments and contractual commitments in the development of EVs to help our vehicle fleet comply with emissions and fuel economy regulations that were scheduled to become increasingly stringent. Following U.S. Government policy changes in 2025, including the termination of certain consumer tax incentives for EV purchases and the reduction in the stringency of emissions regulations, industry-wide consumer demand for EVs in North America began to slow. During the year ended December 31, 2025, we reassessed our EV capacity and manufacturing footprint to align to expected consumer demand and U.S. Government policy and recorded charges in GMNA of $7.9 billion. These charges included non-cash impairment and other charges of $3.2 billion and cash related charges of $4.7 billion, primarily consisting of supplier commercial settlements, contract cancellation fees, battery cell JV settlements, and other charges that will have a cash impact when paid. The non-cash impairment charges include the cost of writing down EV-related tooling and equipment to its nominal salvage value. In the three months ended March 31, 2026, we recorded additional charges of $1.1 billion primarily related to $1.0 billion for ongoing commercial negotiations with our supply base and joint venture partners associated with our reassessment of our EV capacity, which are included in the table above and will have a cash impact when paid. We incurred cash outflows of $2.2 billion in the three months ended March 31, 2026 and $400 million in the year ended December 31, 2025 related to these charges. While we completed the reassessment of our EV capacity and manufacturing footprint in 2025, we expect to recognize additional material cash and non-cash charges in 2026 related to continued commercial negotiations with our supply base and joint venture partners. We expect such charges will be significantly less than the EV-related charges incurred in 2025.</w:t>
      </w:r>
    </w:p>
    <w:p>
      <w:pPr>
        <w:spacing w:after="0" w:line="22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completed restructuring activities for our Cruise robotaxi development work as of December 31, 2025 and did not incur any additional charges or cash payments in the three months ended March 31, 2026. In the year ended December 31, 2025, we incurred $347 million of cash outflows and reversed $76 million of restructuring accruals associated with Cruise.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March 31, 2026 and December 31, 2025. We had 902 million and 904 million shares of common stock issued and outstanding at March 31, 2026 and December 31, 2025.</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were $0.18 and $0.12 and our total dividends paid on common stock were $164 million and $116 million for the three months ended March 31, 2026 and 2025.</w:t>
      </w:r>
    </w:p>
    <w:p>
      <w:pPr>
        <w:spacing w:after="0" w:line="187"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In February 2025, we executed an accelerated share repurchase (ASR) program to repurchase an aggregate amount of $2.0 billion of our outstanding common stock. Pursuant to the agreements, we advanced $2.0 billion and received and immediately retired approximately 33 million shares of our common stock with a value of $1.6 billion in the three months ended March 31, 2025. The remaining ASR settled in the three months ended June 30, 2025. In total, we received and retired 43 million shares from the program.</w:t>
      </w:r>
    </w:p>
    <w:p>
      <w:pPr>
        <w:spacing w:after="0" w:line="22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January 2026, our Board of Directors increased the capacity under our existing share repurchase program by $6.0 billion to an aggregate of $6.3 billion, with no expiration date.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March 31, 2026, we repurchased 11 million outstanding shares of our common stock for $800 million, and in the three months ended March 31, 2025, we repurchased an insignificant amount of shares in addition to those received under the ASR program.</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Cruise Common and Preferred Shares </w:t>
      </w:r>
      <w:r>
        <w:rPr>
          <w:rFonts w:ascii="Times New Roman" w:cs="Times New Roman" w:eastAsia="Times New Roman" w:hAnsi="Times New Roman"/>
          <w:sz w:val="18"/>
          <w:szCs w:val="18"/>
          <w:color w:val="auto"/>
        </w:rPr>
        <w:t>In February 2025, we acquired all of the Cruise common shares and Cruise Class F and Class G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noncontrolling shareholders for an insignificant amount. We have completed the process of compensating the former Cruise shareholders.</w:t>
      </w:r>
    </w:p>
    <w:p>
      <w:pPr>
        <w:spacing w:after="0" w:line="18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During the three months ended March 31, 2025, net income attributable to stockholders and transfers to the noncontrolling interest in Cruise and other subsidiaries were $3.3 billion, which includes a $538 million increase in equity attributable to us, primarily due to the redemption of Cruise preferred shares in February 2025.</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2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net of reclassification adjustment and tax(a)(b)(c)</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before reclassification adjustment, net of tax(a)(c)</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2"/>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net of reclassification adjustment and tax(a)(c)</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Cash Flow Hedges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 before reclassification adjustment, net of tax(a)(c)</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2"/>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tax(a)(c)</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three months ended March 31, 2026 and 2025.</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three months ended March 31, 2026 and 2025.</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months ended March 31, 2026 and 2025.</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2025 Form 10-K for additional information.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$593 million return from the preferred shareholders related to the redemption of Cruise preferred shares from noncontrolling interest holders in the three months ended March 31, 2025.</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6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Performance Stock Units (PSUs) and Restricted Stock Units (RSUs) at March 31, 2026 and outstanding stock options, PSUs, and RSUs at March 31, 2025 were excluded from the computation of diluted earnings per share (EPS) because the securities would have had an antidilutive effect.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chief operating decision-maker, who is Chair and Chief Executive Officer, analyzes the results of our business through the following reportable segments: GMNA, GMI, and GM Financial. Our chief operating decision-maker evaluates the operating results and performance of our Automotive operations through earnings before interest and income taxes (EBIT)-adjusted, which is presented net of noncontrolling interests. Our chief operating decision-maker evaluates GM Financial through earnings before income taxes-adjusted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vehicles developed, manufactured, and/or marketed under the Baojun, Buick, Cadillac, Chevrolet, and Wuling brands. Our Cruise business was pursuing the development and commercialization of autonomous vehicle (AV) technology until, in December 2024, we announced plans to refocus our autonomous driving strategy on personal vehicles and no longer fund Cruise's robotaxi development work. We have combined the GM and Cruise ongoing personal autonomous technical efforts in our GMNA segment. We provide automotive financing services through our GM Financial segment.</w:t>
      </w:r>
    </w:p>
    <w:p>
      <w:pPr>
        <w:spacing w:after="0" w:line="208"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corporate expenditures, legacy costs from the Opel/Vauxhall Business (primarily pension costs),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2026</w:t>
            </w: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170"/>
        </w:trPr>
        <w:tc>
          <w:tcPr>
            <w:tcW w:w="35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GMNA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GMI</w:t>
            </w:r>
          </w:p>
        </w:tc>
        <w:tc>
          <w:tcPr>
            <w:tcW w:w="32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40" w:type="dxa"/>
            <w:vAlign w:val="bottom"/>
          </w:tcPr>
          <w:p>
            <w:pPr>
              <w:spacing w:after="0"/>
              <w:rPr>
                <w:sz w:val="14"/>
                <w:szCs w:val="14"/>
                <w:color w:val="auto"/>
              </w:rPr>
            </w:pPr>
          </w:p>
        </w:tc>
        <w:tc>
          <w:tcPr>
            <w:tcW w:w="17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9"/>
              </w:rPr>
              <w:t>Total Reportable Segments</w:t>
            </w:r>
          </w:p>
        </w:tc>
      </w:tr>
      <w:tr>
        <w:trPr>
          <w:trHeight w:val="17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60" w:type="dxa"/>
            <w:vAlign w:val="bottom"/>
            <w:tcBorders>
              <w:top w:val="single" w:sz="8" w:color="auto"/>
            </w:tcBorders>
            <w:shd w:val="clear" w:color="auto" w:fill="CCEEFF"/>
          </w:tcPr>
          <w:p>
            <w:pPr>
              <w:jc w:val="right"/>
              <w:ind w:right="1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43,536</w:t>
            </w:r>
          </w:p>
        </w:tc>
      </w:tr>
      <w:tr>
        <w:trPr>
          <w:trHeight w:val="16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(32,740)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7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6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4,473</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17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4"/>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3,347</w:t>
            </w:r>
          </w:p>
        </w:tc>
      </w:tr>
      <w:tr>
        <w:trPr>
          <w:trHeight w:val="20"/>
        </w:trPr>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82"/>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GMI</w:t>
            </w:r>
          </w:p>
        </w:tc>
        <w:tc>
          <w:tcPr>
            <w:tcW w:w="8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5"/>
                <w:szCs w:val="15"/>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43,624</w:t>
            </w:r>
          </w:p>
        </w:tc>
      </w:tr>
      <w:tr>
        <w:trPr>
          <w:trHeight w:val="169"/>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4,336</w:t>
            </w:r>
          </w:p>
        </w:tc>
      </w:tr>
      <w:tr>
        <w:trPr>
          <w:trHeight w:val="169"/>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164,049</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136,319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320,341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(60,722)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280,974</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r>
      <w:tr>
        <w:trPr>
          <w:trHeight w:val="169"/>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4"/>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ind w:left="320" w:hanging="313"/>
        <w:spacing w:after="0"/>
        <w:tabs>
          <w:tab w:leader="none" w:pos="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EV strategic realignment in GMNA and China restructuring actions in GMI.</w:t>
      </w:r>
    </w:p>
    <w:p>
      <w:pPr>
        <w:spacing w:after="0" w:line="9" w:lineRule="exact"/>
        <w:rPr>
          <w:rFonts w:ascii="Times New Roman" w:cs="Times New Roman" w:eastAsia="Times New Roman" w:hAnsi="Times New Roman"/>
          <w:sz w:val="13"/>
          <w:szCs w:val="13"/>
          <w:color w:val="auto"/>
        </w:rPr>
      </w:pPr>
    </w:p>
    <w:p>
      <w:pPr>
        <w:ind w:left="340" w:hanging="333"/>
        <w:spacing w:after="0" w:line="238" w:lineRule="auto"/>
        <w:tabs>
          <w:tab w:leader="none" w:pos="33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associated with our Automotive China JVs include impacts of our portion of restructuring charges. Equity earnings related to Ultium Cells Holdings LLC are presented in Automotive and other cost of sales as this entity has historically been integral to the operations of our business by providing battery cells for our EVs. Refer to Note 7 for additional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2025</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21"/>
        </w:trPr>
        <w:tc>
          <w:tcPr>
            <w:tcW w:w="3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right"/>
              <w:ind w:right="217"/>
              <w:spacing w:after="0" w:line="121"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82"/>
        </w:trPr>
        <w:tc>
          <w:tcPr>
            <w:tcW w:w="3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GMNA</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GMI</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128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Segments</w:t>
            </w:r>
          </w:p>
        </w:tc>
      </w:tr>
      <w:tr>
        <w:trPr>
          <w:trHeight w:val="17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960" w:type="dxa"/>
            <w:vAlign w:val="bottom"/>
            <w:tcBorders>
              <w:top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37,388</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43,979</w:t>
            </w:r>
          </w:p>
        </w:tc>
      </w:tr>
      <w:tr>
        <w:trPr>
          <w:trHeight w:val="16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(34,101)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(2,397)</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3,728</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w:t>
            </w:r>
          </w:p>
        </w:tc>
        <w:tc>
          <w:tcPr>
            <w:tcW w:w="9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3,572</w:t>
            </w:r>
          </w:p>
        </w:tc>
      </w:tr>
      <w:tr>
        <w:trPr>
          <w:trHeight w:val="20"/>
        </w:trPr>
        <w:tc>
          <w:tcPr>
            <w:tcW w:w="3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44,020</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6,877</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170,812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21,428</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141,056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40,355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(91,797)</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282,104</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ind w:left="340" w:hanging="333"/>
        <w:spacing w:after="0" w:line="256" w:lineRule="auto"/>
        <w:tabs>
          <w:tab w:leader="none" w:pos="33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has historically been integral to the operations of our business by providing battery cells for our EVs. Refer to Note 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2025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Part I, Item 1A. Risk Factors of our 2025 Form 10-K, and Part II, Item 1A. Risk Factors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our growth-focused strategy to invest in internal combustion engine (ICE) vehicles, EVs, hybrids, personal AV technology, software-enabled services, and other new business opportunities. To support strong margins and cash flow, we continue to prioritize profitable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financial performance continues to be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to improve profitability and are aligning EV capacity to expected consumer demand. We are monitoring industry pricing pressures, changing interest rates, inflation, warranty claims, consumer demand trends, geopolitical tensions, and changes to the regulatory environment, including with respect to tariffs, fuel economy standards, and emissions regulations.</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2025, the U.S. and other governments implemented new tariffs relevant to GM and its suppliers, including tariffs on vehicles and parts imported into the U.S. The tariff environment remains highly dynamic, and the specific tariffs applicable to goods imported by GM and its suppliers continue to evolve, including with respect to imports under the U.S.-Mexico-Canada Agreement and other trade agreements. We have acted with urgency and discipline to maintain strong positioning within the industry. On February 20, 2026, the U.S. Supreme Court concluded that the International Emergency Economic Powers Act (IEEPA) did not authorize imposition of tariffs. Because we believe previously paid amounts are refundable, we recorded a net $0.5 billion favorable adjustment primarily due to previously charged IEEPA tariffs in the three months ended March 31, 2026. Based on the current tariff environment, we estimate that impacts to EBIT-adjusted could range from $2.5 billion to $3.5 billion for the year ending December 31, 2026 and may be subject to change if new tariffs or changes to existing tariffs arise. Refer to Part I, Item 1A. Risk Factors in our 2025 Form 10-K for a full discussion of the risks associated with the global tariff environment.</w:t>
      </w:r>
    </w:p>
    <w:p>
      <w:pPr>
        <w:spacing w:after="0" w:line="213"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Following U.S. Government policy changes in 2025, including the termination of certain consumer tax incentives for EV purchases and the reduction in the stringency of emissions regulations, industry-wide consumer demand for EVs in North America began to slow. As a result, in 2025, we reassessed our EV capacity and manufacturing footprint to align to expected consumer demand and recorded total charges in GMNA of $7.9 billion. In the three months ended March 31, 2026, we recorded additional charges of $1.1 billion primarily related to the ongoing commercial negotiations with our supply base and joint venture partners associated with our reassessment of our EV capacity. We incurred cash outflows of $2.2 billion in the three months ended March 31, 2026 and $0.4 billion in the year ended December 31, 2025 related to these charges. While we have completed the reassessment of our EV capacity and manufacturing footprint, we expect to recognize additional material cash and non-cash charges in 2026 related to continued commercial negotiations with our supply base and joint venture partners, which we believe will be significantly less than the EV-related charges incurred in 2025. In addition, we expect to record impairment charges of up to $1.0 billion to write off the carrying amount of our acquired emissions credits because the EPA finalized a rule (effective April 20, 2026) repealing its endangerment finding and removing GHG regulations for light-, medium-, and heavy-duty on-highway vehicles on a retrospective and prospective basis. These expected future EV-related charges will be reflected as adjustments in our non-GAAP financial measures. Refer to the "Non-GAAP Measures" section of this MD&amp;A for additional information. Our strategic realignment of EV capacity does not impact today's retail portfolio of Chevrolet, GMC, and Cadillac EVs currently in production, and we expect these models to remain available to consumers.</w:t>
      </w:r>
    </w:p>
    <w:p>
      <w:pPr>
        <w:spacing w:after="0" w:line="22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our operating results. Refer to the "Consolidated Results" and regional sections of this MD&amp;A for additional information.</w:t>
      </w:r>
    </w:p>
    <w:p>
      <w:pPr>
        <w:spacing w:after="0" w:line="25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emissions standards, labor disruptions, foreign exchange volatility, evolving trade policy, automotive industry supply chains, and political uncertainty. Refer to Part I, Item 1A. Risk Factors in our 2025 Form 10-K and Part II, Item 1A. Risk Factors for a discussion of these challenges.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2026, we expect Net income attributable to stockholders of between $9.9 billion and $11.4 billion, EBIT-adjusted of between $13.5 billion and $15.5 billion, EPS-diluted of between $10.62 and $12.62, and EPS-diluted-adjusted of between $11.50 and $13.50.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to expected EBIT-adjusted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2026</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$ 9.9-11.4</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$ 13.5-15.5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MD&amp;A for adjustment details. These expected financial results do not include the potential impact of future adjustments related to special items.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to expected EPS-diluted-adjusted</w:t>
      </w:r>
      <w:r>
        <w:rPr>
          <w:rFonts w:ascii="Times New Roman" w:cs="Times New Roman" w:eastAsia="Times New Roman" w:hAnsi="Times New Roman"/>
          <w:sz w:val="16"/>
          <w:szCs w:val="16"/>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Ending December 31, 2026</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$ 10.62-12.62</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$ 11.50-13.50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to EPS-diluted-adjusted within this MD&amp;A for adjustment details. These expected financial results do not include the potential impact of future adjustments related to special items.</w:t>
      </w:r>
    </w:p>
    <w:p>
      <w:pPr>
        <w:spacing w:after="0" w:line="18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4.7 million units in the three months ended March 31, 2026, representing a decrease of 5.2%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2025. U.S. industry sales were 3.8 million units in the three months ended March 31, 2026, representing a decrease of 5.9% compared to the corresponding period in 2025.</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0.6 million units for a market share of 16.5% in the three months ended March 31, 2026, representing a decrease of 0.7 percentage points compared to the corresponding period in 2025.</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achieved solid margins in the three months ended March 31, 2026 driven by the strength of our product portfolio and ongoing cost discipline. However, the evolving tariff and policy landscape could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 Looking ahead, our top priority is returning GMNA to its historical 8.0-10.0% annualized EBIT-adjusted margins.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5.1 million units in the three months ended March 31, 2026, representing a decrease of 12.9%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2025. Our total vehicle sales in China were 0.3 million units for a market share of 6.9% in the three months ended March 31, 2026, representing a decrease of 0.7 percentage points compared to the corresponding period in 2025. Our Automotive China JVs generated equity income of $0.2 billion in the three months ended March 31, 2026, which includes income of $0.1 billion related to the previously announced restructuring of SAIC General Motors Corp., Ltd. (SGM). We continue to focus on enhancing the competitiveness of our products in the Chinese market and executing restructuring plans. Additional restructuring charges may be incurred going forward.</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6.9 million units in the three months ended March 31, 2026, representing an increase of 2.7% compared to the corresponding period in 2025. Our total vehicle sales outside of China were 0.2 million units for a market share of 2.9% in the three months ended March 31, 2026, representing an increase of 0.2 percentage points compared to the corresponding period in 2025.</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2026, 24.9% of our wholesale vehicle sales volume was generated outside the U.S. The following table summarizes wholesale vehicle sales by our Automotive operations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590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59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20" w:type="dxa"/>
            <w:vAlign w:val="bottom"/>
            <w:tcBorders>
              <w:bottom w:val="single" w:sz="8" w:color="auto"/>
            </w:tcBorders>
          </w:tcPr>
          <w:p>
            <w:pPr>
              <w:spacing w:after="0"/>
              <w:rPr>
                <w:sz w:val="16"/>
                <w:szCs w:val="16"/>
                <w:color w:val="auto"/>
              </w:rPr>
            </w:pPr>
          </w:p>
        </w:tc>
      </w:tr>
      <w:tr>
        <w:trPr>
          <w:trHeight w:val="22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228"/>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Pr>
          <w:p>
            <w:pPr>
              <w:spacing w:after="0"/>
              <w:rPr>
                <w:sz w:val="16"/>
                <w:szCs w:val="16"/>
                <w:color w:val="auto"/>
              </w:rPr>
            </w:pP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1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6"/>
                <w:szCs w:val="16"/>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19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19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Asia/Pacific, Middle East, and Africa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Asia/Pacific, Middle East, and Africa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19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0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 GM markets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17,469</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Europe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Worldwide(b)</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United States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Trucks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Crossovers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United States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China(a)</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SGMS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SGMW</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and Sudan have been subject to broad economic sanctions. Accordingly, these countries are excluded from industry sales data and corresponding calculation of market share.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0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4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r>
      <w:tr>
        <w:trPr>
          <w:trHeight w:val="188"/>
        </w:trPr>
        <w:tc>
          <w:tcPr>
            <w:tcW w:w="4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0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31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48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r>
      <w:tr>
        <w:trPr>
          <w:trHeight w:val="247"/>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4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r>
      <w:tr>
        <w:trPr>
          <w:trHeight w:val="887"/>
        </w:trPr>
        <w:tc>
          <w:tcPr>
            <w:tcW w:w="4480" w:type="dxa"/>
            <w:vAlign w:val="bottom"/>
          </w:tcPr>
          <w:p>
            <w:pPr>
              <w:spacing w:after="0"/>
              <w:rPr>
                <w:sz w:val="24"/>
                <w:szCs w:val="24"/>
                <w:color w:val="auto"/>
              </w:rPr>
            </w:pPr>
          </w:p>
        </w:tc>
        <w:tc>
          <w:tcPr>
            <w:tcW w:w="316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4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penetration of our retail sales in the U.S. was 34% in the three months ended March 31, 2026 and 36% in the corresponding period in 2025. Penetration levels vary depending on incentive financing programs available and competing third-party financing products in the market. GM Financial's prime loan originations as a percentage of total loan originations in North America were 74% in the three months ended March 31, 2026 and 81% in the corresponding period in 2025. In the three months ended March 31, 2026, GM Financial's revenue consisted of leased vehicle income of 46%, retail finance charge income of 40%, and commercial finance charge income of 6%.</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The following table summarizes the estimated residual value based on GM Financial's most recent estimates and the number of units included in GM Financial Equipment on operating leases, net by vehicle type (units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4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expenses;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6"/>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7"/>
                <w:szCs w:val="17"/>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7"/>
                <w:szCs w:val="17"/>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4"/>
        </w:trPr>
        <w:tc>
          <w:tcPr>
            <w:tcW w:w="2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7"/>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7"/>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44,020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7"/>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6"/>
                <w:szCs w:val="16"/>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35,028</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35,191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164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9"/>
              </w:rPr>
              <w:t>0.6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2026, increased Cost was primarily due to: (1) charges of $1.1 billion due to the EV strategic realignment; (2) decreased Ultium Cells Holdings LLC equity earnings of $0.3 billion; and (3) increased material and freight costs of $0.2 billion, including $0.2 billion net unfavorable tariffs inclusive of a $0.5 billion favorable adjustment; partially offset by (4) decreased warranty-related costs of $0.4 billion; (5) decreased manufacturing and emissions costs of $0.4 billion; and (6) favorable net realizable value inventory adjustments, primarily EV-related, of $0.1 billion in the three months ended March 31, 2026 compared to similar unfavorable inventory adjustments of $0.1 billion in the three months ended March 31, 2025. In the three months ended March 31, 2026, unfavorable Other was primarily due to net foreign currency changes.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551"/>
        </w:trPr>
        <w:tc>
          <w:tcPr>
            <w:tcW w:w="5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538"/>
        </w:trPr>
        <w:tc>
          <w:tcPr>
            <w:tcW w:w="5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months ended March 31, 2026, Income tax expense decreased primarily due to lower pre-tax income.</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three months ended March 31, 2026, our effective tax rate was 19.2% and our effective tax rate-adjusted (ETR-adjusted) was 19.0%. We expect our ETR-adjusted to be between 20% and 21% for the year ending December 31, 2026.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14 to our condensed consolidated financial statements for additional information related to Income tax expense.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5"/>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0" w:type="dxa"/>
            <w:vAlign w:val="bottom"/>
          </w:tcPr>
          <w:p>
            <w:pPr>
              <w:spacing w:after="0"/>
              <w:rPr>
                <w:sz w:val="16"/>
                <w:szCs w:val="16"/>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Other</w:t>
            </w:r>
          </w:p>
        </w:tc>
      </w:tr>
      <w:tr>
        <w:trPr>
          <w:trHeight w:val="195"/>
        </w:trPr>
        <w:tc>
          <w:tcPr>
            <w:tcW w:w="2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36,401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37,388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3,661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3,286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195"/>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bl>
    <w:p>
      <w:pPr>
        <w:spacing w:after="0" w:line="220"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March 31, 2026, Total net sales and revenue decreased primarily due to: (1)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wholesale volumes due to decreased sales of crossover vehicles and mid-size pickup trucks and vans; partially offset by (2) favorable Other due to net foreign currency changes and increased revenue of software-enabled services and subscriptions.</w:t>
      </w:r>
    </w:p>
    <w:p>
      <w:pPr>
        <w:spacing w:after="0" w:line="197"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March 31, 2026, EBIT-adjusted increased primarily due to: (1) favorable Cost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manufacturing and emissions costs of $0.4 billion, decreased warranty-related costs of $0.4 billion, and favorable net realizable value inventory adjustments, primarily EV-related, of $0.1 billion in the three months ended March 31, 2026 compared to similar unfavorable inventory adjustments of $0.1 billion in the three months ended March 31, 2025, partially offset by decreased Ultium Cells Holdings LLC equity earnings of $0.3 billion, increased material and freight costs of $0.2 billion, including $0.2 billion net unfavorable tariffs inclusive of a $0.5 billion favorable adjustment, and increased advertising, selling, and administrative costs of $0.1 billion; and (2) favorable Other due to net foreign currency changes and investment income; partially offset by (3) decreased net wholesale volumes.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7"/>
                <w:szCs w:val="17"/>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7"/>
                <w:szCs w:val="17"/>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2,859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2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165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45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120</w:t>
            </w:r>
          </w:p>
        </w:tc>
        <w:tc>
          <w:tcPr>
            <w:tcW w:w="1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1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right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 (loss)-adjusted —</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6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2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37</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(15)</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52</w:t>
            </w:r>
          </w:p>
        </w:tc>
        <w:tc>
          <w:tcPr>
            <w:tcW w:w="100" w:type="dxa"/>
            <w:vAlign w:val="bottom"/>
            <w:shd w:val="clear" w:color="auto" w:fill="CCEEFF"/>
          </w:tcPr>
          <w:p>
            <w:pPr>
              <w:spacing w:after="0"/>
              <w:rPr>
                <w:sz w:val="15"/>
                <w:szCs w:val="15"/>
                <w:color w:val="auto"/>
              </w:rPr>
            </w:pPr>
          </w:p>
        </w:tc>
        <w:tc>
          <w:tcPr>
            <w:tcW w:w="10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(loss)(a)</w:t>
            </w:r>
          </w:p>
        </w:tc>
        <w:tc>
          <w:tcPr>
            <w:tcW w:w="1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adjustments related to Automotive China JVs restructuring recorded in GMI.</w:t>
      </w:r>
    </w:p>
    <w:p>
      <w:pPr>
        <w:spacing w:after="0" w:line="15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March 31, 2026,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in Brazil primarily due to increased sales of passenger cars and crossover vehicles, partially offset by decreased wholesale volumes in the Middle East; and (2) favorable Price across multiple vehicle lines in Argentina and Brazil; partially offset by (3) unfavorable Mix primarily in Brazil.</w:t>
      </w:r>
    </w:p>
    <w:p>
      <w:pPr>
        <w:spacing w:after="0" w:line="19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three months ended March 31, 2026, EBIT-adjusted increased primarily due to: (1) increased net wholesale volumes in Brazil;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 favorable Price; partially offset by (3) unfavorable Mix; and (4) unfavorable Cost primarily due to decreased parts and accessories sales in Africa, the Middle East, and Korea.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2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28"/>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1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20" w:type="dxa"/>
            <w:vAlign w:val="bottom"/>
          </w:tcPr>
          <w:p>
            <w:pPr>
              <w:spacing w:after="0"/>
              <w:rPr>
                <w:sz w:val="19"/>
                <w:szCs w:val="19"/>
                <w:color w:val="auto"/>
              </w:rPr>
            </w:pP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5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GM Financial</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328</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685</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115.5</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March 31, 2026, total revenue increased primarily due to: (1) increased other income of $0.1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earned premiums and fees on vehicle protection contracts; and (2) increased leased vehicle income of $0.1 billion primarily due to an increase in the average balance of the leased vehicles portfolio; partially offset by (3) decreased finance charge income of $0.1 billion primarily due to a decrease in the average balance of the portfolio.</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March 31, 2026, EBT-adjusted increased by an insignificant amount.</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8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$10.0 billion to $12.0 billion in 2026; (2) payments for engineering and product development activities, including the development of AV technology and software-enabled services; (3) payments associated with previously announced EV-related cash charges, warranty claims, vehicle recalls, and any other recall-related contingencies; (4) payments to service debt and other long-term obligations, including discretionary and mandatory contributions to our pension plans; (5) dividend payments on our common stock that are declared by our Board of Directors; and (6)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stockholders. Our senior management evaluates our capital allocation program on an ongoing basis and recommends any modifications to the program to our Board of Directors not less than once annually.</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Following U.S. Government policy changes in 2025, including the termination of certain consumer tax incentives for EV purchases and the reduction in the stringency of emissions regulations, industry-wide consumer demand for EVs in North America began to slow. During the year ended December 31, 2025, we reassessed our EV capacity and manufacturing footprint to align to expected consumer demand and U.S. Government policy and recorded charges in GMNA of $7.9 billion. These charges included non-cash impairment and other charges of $3.2 billion and cash related charges of $4.7 billion, primarily consisting of supplier commercial settlements, contract cancellation fees, battery cell JV settlements, and other charges that will have a cash impact when paid. The non-cash impairment charges include the cost of writing down EV-related tooling and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equipment to its nominal salvage value. In the three months ended March 31, 2026, we recorded additional charges of $1.1 billion primarily related to $1.0 billion for the ongoing commercial negotiations with our supply base and joint venture partners associated with our reassessment of our EV capacity that will have a cash impact when paid. We incurred cash outflows of $2.2 billion in the three months ended March 31, 2026 and $0.4 billion in the year ended December 31, 2025 related to these charges. It is reasonably possible that we will recognize additional future material contract cancellation fees and commercial settlements associated with EV-related investments that may adversely affect our cash flows in the period in which they are paid. In addition, we have entered, and plan to continue to enter, into offtake agreements that generally obligate us to purchase defined quantities of output. These arrangements could have a short-term adverse impact on our cash and increase our inventory. We also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Part I, Item 1A. Risk Factors of our 2025 Form 10-K, and Part II, Item 1A. Risk Factors, some of which are outside of our control.</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January 2026, our Board of Directors increased the capacity under our existing share repurchase program by $6.0 billion to an aggregate of $6.3 billion, with no expiration date. In the three months ended March 31, 2026, we repurchased 11 million shares for $0.8 billion. As of March 31, 2026, we have $5.5 billion in capacity remaining under our share repurchase program.</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March 31, 2026, we paid dividends of $0.2 billion to holders of our common stock. In January 2026, our Board of Directors approved an increase in the quarterly common stock dividend of $0.03 to $0.18 per share beginning with the quarterly dividend declared in January 2026.</w:t>
      </w:r>
    </w:p>
    <w:p>
      <w:pPr>
        <w:spacing w:after="0" w:line="18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Cruise related cash expenditures. The presentation of Automotive liquidity and GM Financial liquidity presented below includes the impact of cash transactions amongst the sectors that are ultimately eliminated in consolidation. The Cruise restructuring activities are substantially complete as of December 31, 2025. Net cash used in operating activities by Cruise was $0.5 billion in the three months ended March 31, 2025.</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2025. Refer to Part II, Item 7. MD&amp;A of our 2025 Form 10-K.</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2026, we renewed our 364-day, $2.0 billion revolving credit facility allocated for the exclusive use of GM Financial, which now matures March 22, 2027.</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$14.4 billion at March 31, 2026 and December 31, 2025,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at March 31, 2026 and December 31, 2025.</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March 31, 2026 and December 31, 2025. We had intercompany loans from GM Financial of $0.4 billion at March 31, 2026 and December 31, 2025, which primarily consisted of commercial loans to dealers we consolidate. We did not have intercompany loans to GM Financial at March 31, 2026 and December 31, 2025. Refer to Note 4 to our condensed consolidated financial statements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credit facilities, require compliance with certain financial and operational covenants as well as regular reporting to lenders. We have reviewed our covenants in effect as of March 31, 2026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$0.7 billion on its common stock in the three months ended March 31, 2026. Future dividends from GM Financial will depend on several factors including business and economic conditions, its financial condition, earnings, liquidity requirements, and leverage ratio.</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had letters of credit outstanding under our sub-facility of $0.5 billion at March 31, 2026 and December 31, 2025.</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2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and dividends paid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purchase option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non-operating</w:t>
            </w: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240" w:type="dxa"/>
            <w:vAlign w:val="bottom"/>
          </w:tcPr>
          <w:p>
            <w:pPr>
              <w:spacing w:after="0"/>
              <w:rPr>
                <w:sz w:val="19"/>
                <w:szCs w:val="19"/>
                <w:color w:val="auto"/>
              </w:rPr>
            </w:pPr>
          </w:p>
        </w:tc>
        <w:tc>
          <w:tcPr>
            <w:tcW w:w="140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left="954"/>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19"/>
                <w:szCs w:val="19"/>
                <w:color w:val="auto"/>
              </w:rPr>
            </w:pPr>
          </w:p>
        </w:tc>
        <w:tc>
          <w:tcPr>
            <w:tcW w:w="140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left="914"/>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w w:val="98"/>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left="954"/>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$0.7 billion and $0.4 billion in dividends received from GM Financial in the three months ended March 31, 2026 and 2025; $0.8 billion in dividends received from our nonconsolidated affiliates in the three months ended March 31, 2025; and changes in other assets and liabilities in the three months ended March 31, 2026 and 2025.</w:t>
      </w:r>
    </w:p>
    <w:p>
      <w:pPr>
        <w:jc w:val="both"/>
        <w:ind w:left="340" w:hanging="333"/>
        <w:spacing w:after="0" w:line="259"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$(0.8) billion and $(2.3) billion in the three months ended March 31, 2026 and 2025, which are eliminated within the condensed consolidated statements of cash flows. Amounts eliminated primarily relate to purchases of, and collections on, wholesale finance receivables provided by GM Financial to our dealers and dividends issued by GM Financial to us.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220" w:type="dxa"/>
            <w:vAlign w:val="bottom"/>
          </w:tcPr>
          <w:p>
            <w:pPr>
              <w:spacing w:after="0"/>
              <w:rPr>
                <w:sz w:val="19"/>
                <w:szCs w:val="19"/>
                <w:color w:val="auto"/>
              </w:rPr>
            </w:pPr>
          </w:p>
        </w:tc>
        <w:tc>
          <w:tcPr>
            <w:tcW w:w="1420" w:type="dxa"/>
            <w:vAlign w:val="bottom"/>
          </w:tcPr>
          <w:p>
            <w:pPr>
              <w:jc w:val="center"/>
              <w:ind w:left="956"/>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956"/>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956"/>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$0.1 billion loan repayments from Ultium Cells LLC in the three months ended March 31, 2026; $(0.3) billion of GM's investment in nonconsolidated affiliates in the three months ended March 31, 2025; and $(0.7) billion of funding to wind down Cruise robotaxi operations in the three months ended March 31, 2025.</w:t>
      </w:r>
    </w:p>
    <w:p>
      <w:pPr>
        <w:spacing w:after="0" w:line="1"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$(0.7) billion of funding to wind down Cruise robotaxi operations in the three months ended March 31, 2025, which are eliminated within the condensed consolidated statements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5"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$(0.8) billion for payments to purchase common stock in the three months ended March 31, 2026; $(2.0) billion in payments related to the ASR in the three months ended March 31, 2025; and $(0.2) billion and $(0.1) billion for dividends paid in the three months ended March 31, 2026 and 2025.</w:t>
      </w:r>
    </w:p>
    <w:p>
      <w:pPr>
        <w:spacing w:after="0" w:line="216"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three months ended March 31, 2026, net automotive cash provided by operating activities was $0.5 billion, capital expenditures were $1.5 billion, and adjustments for management actions were $2.2 billion. In the three months ended March 31, 2025, net automotive cash provided by operating activities was $2.4 billion, capital expenditures were $1.8 billion, and adjustments for management actions were $0.2 billion.</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All four credit rating agencies currently rate our corporate credit at investment grade. As of April 21, 2026, all credit ratings remained unchanged since December 31, 2025.</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debt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capacity under secured credit facilities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committed unsecured credit facilities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revolving credit facility, exclusive to GM Financial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Financial's available liquidity varies quarterly based on factors including near-term debt issuances and maturities, as well as changes in its earning assets. GM Financial generally targets liquidity levels to support at least six months of GM Financial's expected net cash outflows, including new originations, without access to new debt financing transactions or other capital markets activity. At March 31, 2026, available liquidity exceeded GM Financial's liquidity targets.</w:t>
      </w:r>
    </w:p>
    <w:p>
      <w:pPr>
        <w:sectPr>
          <w:pgSz w:w="11900" w:h="16838" w:orient="portrait"/>
          <w:cols w:equalWidth="0" w:num="1">
            <w:col w:w="11240"/>
          </w:cols>
          <w:pgMar w:left="320" w:top="121"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958"/>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center"/>
              <w:ind w:left="958"/>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1320" w:type="dxa"/>
            <w:vAlign w:val="bottom"/>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18"/>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(4.3)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billion and $2.6 billion in the three months ended March 31, 2026 and 2025 primarily driven by purchases of, and collections on, wholesale finance receivables, and collection of intercompany loans to Cruise in the three months ended March 31, 2025, which are eliminated within the condensed consolidated statements of cash flows.</w:t>
      </w:r>
    </w:p>
    <w:p>
      <w:pPr>
        <w:ind w:left="340" w:right="20" w:hanging="333"/>
        <w:spacing w:after="0" w:line="268"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$(0.7) billion and $(0.4) billion in the three months ended March 31, 2026 and 2025 for dividends to GM, which are eliminated within the condensed consolidated statements of cash flows.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0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loan and leasing fees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140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income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140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March 31, 2026, secured and unsecured credit facilities totaled $27.8 billion and $3.5 billion, with advances outstanding of $1.9 billion and $2.4 billion.</w:t>
      </w:r>
    </w:p>
    <w:p>
      <w:pPr>
        <w:spacing w:after="0" w:line="20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March 31, 2026 and December 31, 2025. Refer to the "Automotive Liquidity" section of this MD&amp;A for additional details.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2025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to EBIT-adjusted: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6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r>
      <w:tr>
        <w:trPr>
          <w:trHeight w:val="195"/>
        </w:trPr>
        <w:tc>
          <w:tcPr>
            <w:tcW w:w="4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 strategic realignment(a)</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restructuring actions(b)</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matters(c)</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Cruise restructuring(d)</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GMI exit costs(e)</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Headquarters relocation(f)</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Separation costs(g)</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Buick dealer strategy(h)</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2"/>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4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our strategic realignment of our EV capacity and manufacturing footprint, including Ultium's strategic realignment.</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40" w:hanging="333"/>
        <w:spacing w:after="0" w:line="254" w:lineRule="auto"/>
        <w:tabs>
          <w:tab w:leader="none" w:pos="33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investigations and litigation associated with our former OnStar Smart Driver product and an indemnification charge for a European-wide Takata related recall.</w:t>
      </w:r>
    </w:p>
    <w:p>
      <w:pPr>
        <w:jc w:val="both"/>
        <w:ind w:left="340" w:hanging="333"/>
        <w:spacing w:after="0" w:line="251"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charges resulting from the plan to combine the Cruise and GM technical efforts to advance autonomous and assisted driving and the indefinite delay of the Cruise Origin. The adjustments primarily consist of non-cash restructuring charges, supplier-related charges, and employee separation costs.</w:t>
      </w: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primarily relate to the wind down of our manufacturing operations in Colombia and Ecuador.</w:t>
      </w:r>
    </w:p>
    <w:p>
      <w:pPr>
        <w:spacing w:after="0" w:line="7" w:lineRule="exact"/>
        <w:rPr>
          <w:rFonts w:ascii="Times New Roman" w:cs="Times New Roman" w:eastAsia="Times New Roman" w:hAnsi="Times New Roman"/>
          <w:sz w:val="16"/>
          <w:szCs w:val="16"/>
          <w:color w:val="auto"/>
        </w:rPr>
      </w:pPr>
    </w:p>
    <w:p>
      <w:pPr>
        <w:ind w:left="340" w:hanging="333"/>
        <w:spacing w:after="0" w:line="251"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GM headquarters relocation, primarily consisting of accelerated depreciation and other relocation expenditures.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employee separation charges.</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to EPS-diluted-adjusted: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r>
      <w:tr>
        <w:trPr>
          <w:trHeight w:val="188"/>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9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5"/>
        </w:trPr>
        <w:tc>
          <w:tcPr>
            <w:tcW w:w="67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3.35</w:t>
            </w: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0.03</w:t>
            </w: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(0.01)</w:t>
            </w: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from preferred shareholders(c)</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ind w:left="293"/>
              <w:spacing w:after="0"/>
              <w:rPr>
                <w:sz w:val="20"/>
                <w:szCs w:val="20"/>
                <w:color w:val="auto"/>
              </w:rPr>
            </w:pPr>
            <w:r>
              <w:rPr>
                <w:rFonts w:ascii="Times New Roman" w:cs="Times New Roman" w:eastAsia="Times New Roman" w:hAnsi="Times New Roman"/>
                <w:sz w:val="18"/>
                <w:szCs w:val="18"/>
                <w:color w:val="auto"/>
              </w:rPr>
              <w:t>(0.59)</w:t>
            </w:r>
          </w:p>
        </w:tc>
      </w:tr>
      <w:tr>
        <w:trPr>
          <w:trHeight w:val="24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adjustment details.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ind w:left="340" w:right="20" w:hanging="333"/>
        <w:spacing w:after="0" w:line="272"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return from the preferred shareholders related to the redemption of Cruise preferred shares from noncontrolling interest holders in the three months ended March 31, 2025.</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to ETR-adjusted: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21"/>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 before</w:t>
            </w:r>
          </w:p>
        </w:tc>
        <w:tc>
          <w:tcPr>
            <w:tcW w:w="140" w:type="dxa"/>
            <w:vAlign w:val="bottom"/>
          </w:tcPr>
          <w:p>
            <w:pPr>
              <w:spacing w:after="0"/>
              <w:rPr>
                <w:sz w:val="10"/>
                <w:szCs w:val="10"/>
                <w:color w:val="auto"/>
              </w:rPr>
            </w:pPr>
          </w:p>
        </w:tc>
        <w:tc>
          <w:tcPr>
            <w:tcW w:w="1280" w:type="dxa"/>
            <w:vAlign w:val="bottom"/>
          </w:tcPr>
          <w:p>
            <w:pPr>
              <w:jc w:val="right"/>
              <w:ind w:right="102"/>
              <w:spacing w:after="0" w:line="121" w:lineRule="exact"/>
              <w:rPr>
                <w:sz w:val="20"/>
                <w:szCs w:val="20"/>
                <w:color w:val="auto"/>
              </w:rPr>
            </w:pPr>
            <w:r>
              <w:rPr>
                <w:rFonts w:ascii="Times New Roman" w:cs="Times New Roman" w:eastAsia="Times New Roman" w:hAnsi="Times New Roman"/>
                <w:sz w:val="13"/>
                <w:szCs w:val="13"/>
                <w:b w:val="1"/>
                <w:bCs w:val="1"/>
                <w:color w:val="auto"/>
                <w:w w:val="99"/>
              </w:rPr>
              <w:t>Income tax expense</w:t>
            </w: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 before</w:t>
            </w:r>
          </w:p>
        </w:tc>
        <w:tc>
          <w:tcPr>
            <w:tcW w:w="140" w:type="dxa"/>
            <w:vAlign w:val="bottom"/>
          </w:tcPr>
          <w:p>
            <w:pPr>
              <w:spacing w:after="0"/>
              <w:rPr>
                <w:sz w:val="10"/>
                <w:szCs w:val="10"/>
                <w:color w:val="auto"/>
              </w:rPr>
            </w:pPr>
          </w:p>
        </w:tc>
        <w:tc>
          <w:tcPr>
            <w:tcW w:w="1300" w:type="dxa"/>
            <w:vAlign w:val="bottom"/>
          </w:tcPr>
          <w:p>
            <w:pPr>
              <w:jc w:val="right"/>
              <w:ind w:right="122"/>
              <w:spacing w:after="0" w:line="121" w:lineRule="exact"/>
              <w:rPr>
                <w:sz w:val="20"/>
                <w:szCs w:val="20"/>
                <w:color w:val="auto"/>
              </w:rPr>
            </w:pPr>
            <w:r>
              <w:rPr>
                <w:rFonts w:ascii="Times New Roman" w:cs="Times New Roman" w:eastAsia="Times New Roman" w:hAnsi="Times New Roman"/>
                <w:sz w:val="13"/>
                <w:szCs w:val="13"/>
                <w:b w:val="1"/>
                <w:bCs w:val="1"/>
                <w:color w:val="auto"/>
                <w:w w:val="99"/>
              </w:rPr>
              <w:t>Income tax expense</w:t>
            </w: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2"/>
        </w:trPr>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income taxes</w:t>
            </w:r>
          </w:p>
        </w:tc>
        <w:tc>
          <w:tcPr>
            <w:tcW w:w="140" w:type="dxa"/>
            <w:vAlign w:val="bottom"/>
          </w:tcPr>
          <w:p>
            <w:pPr>
              <w:spacing w:after="0"/>
              <w:rPr>
                <w:sz w:val="15"/>
                <w:szCs w:val="15"/>
                <w:color w:val="auto"/>
              </w:rPr>
            </w:pP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0" w:type="dxa"/>
            <w:vAlign w:val="bottom"/>
          </w:tcPr>
          <w:p>
            <w:pPr>
              <w:spacing w:after="0"/>
              <w:rPr>
                <w:sz w:val="15"/>
                <w:szCs w:val="15"/>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Effective tax rate</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income taxes</w:t>
            </w:r>
          </w:p>
        </w:tc>
        <w:tc>
          <w:tcPr>
            <w:tcW w:w="140" w:type="dxa"/>
            <w:vAlign w:val="bottom"/>
          </w:tcPr>
          <w:p>
            <w:pPr>
              <w:spacing w:after="0"/>
              <w:rPr>
                <w:sz w:val="15"/>
                <w:szCs w:val="15"/>
                <w:color w:val="auto"/>
              </w:rPr>
            </w:pPr>
          </w:p>
        </w:tc>
        <w:tc>
          <w:tcPr>
            <w:tcW w:w="130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0" w:type="dxa"/>
            <w:vAlign w:val="bottom"/>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Effective tax rate</w:t>
            </w:r>
          </w:p>
        </w:tc>
      </w:tr>
      <w:tr>
        <w:trPr>
          <w:trHeight w:val="228"/>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r>
      <w:tr>
        <w:trPr>
          <w:trHeight w:val="24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9"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0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370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54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69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Borders>
              <w:bottom w:val="single" w:sz="8" w:color="auto"/>
            </w:tcBorders>
          </w:tcPr>
          <w:p>
            <w:pPr>
              <w:spacing w:after="0"/>
              <w:rPr>
                <w:sz w:val="16"/>
                <w:szCs w:val="16"/>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152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67.9</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2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8"/>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7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67.9</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and OPEB liability</w:t>
            </w:r>
          </w:p>
        </w:tc>
        <w:tc>
          <w:tcPr>
            <w:tcW w:w="340" w:type="dxa"/>
            <w:vAlign w:val="bottom"/>
          </w:tcPr>
          <w:p>
            <w:pPr>
              <w:spacing w:after="0"/>
              <w:rPr>
                <w:sz w:val="19"/>
                <w:szCs w:val="19"/>
                <w:color w:val="auto"/>
              </w:rPr>
            </w:pPr>
          </w:p>
        </w:tc>
        <w:tc>
          <w:tcPr>
            <w:tcW w:w="1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(22.7)</w:t>
            </w:r>
          </w:p>
        </w:tc>
      </w:tr>
      <w:tr>
        <w:trPr>
          <w:trHeight w:val="22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63" w:lineRule="auto"/>
        <w:tabs>
          <w:tab w:leader="none" w:pos="2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that are able to attract a sufficient number of consumers; (4) our ability to profitably deliver a strategic portfolio of EVs; (5) adoption of EVs by consumers; (6) the success of our current line of ICE vehicles, particularly our full-size ICE SUVs and full-size ICE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evolving regulation of GHG emissions, changing consumer preferences and demand, and the potential increased impacts of severe weather events; (10) global automobile market sales volume, which can be volatile; (11) inflationary pressures and persistently high prices and uncertain availability of commodities, raw materials, and other inputs used by us and our suppliers, and instability in logistics and related costs; (12) our business in China, which is subject to unique operational, competitive, regulatory, and economic risks;</w:t>
      </w:r>
    </w:p>
    <w:p>
      <w:pPr>
        <w:spacing w:after="0" w:line="7" w:lineRule="exact"/>
        <w:rPr>
          <w:rFonts w:ascii="Times New Roman" w:cs="Times New Roman" w:eastAsia="Times New Roman" w:hAnsi="Times New Roman"/>
          <w:sz w:val="17"/>
          <w:szCs w:val="17"/>
          <w:color w:val="auto"/>
        </w:rPr>
      </w:pPr>
    </w:p>
    <w:p>
      <w:pPr>
        <w:jc w:val="both"/>
        <w:ind w:firstLine="7"/>
        <w:spacing w:after="0" w:line="249"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components, and raw materials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One Big Beautiful Bill Act and/or relating to fuel economy, emissions, and AVs; (23) costs and risks associated with litigation, governmental investigations, and other proceedings;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(27) any significant increase in our pension funding requirements; and (28) uncertainties regarding the IEEPA tariff refunds, including the timing and extent of these refunds. A further discussion of these risks, uncertainties, and other factors can be found in Part I, Item 1A. Risk Factors of our 2025 Form 10-K, Part II, Item 1A. Risk Factors, and our subsequent filings with the SEC.</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2025. For further discussion on market risk, refer to Part II, Item 7A. of our 2025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March 31, 2026 as required by paragraph (b) of Rules 13a-15 or 15d-15. Based on this evaluation, at a reasonable assurance level, our CEO and CFO concluded that our disclosure controls and procedures were effective as of March 31, 2026.</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2026 that have materially affected, or are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2025 Form 10-K, other than as set forth below in this Item 1A.</w:t>
      </w:r>
    </w:p>
    <w:p>
      <w:pPr>
        <w:spacing w:after="0" w:line="200"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Geopolitical conflicts and instability in the Middle East and other regions could adversely affect our business. </w:t>
      </w:r>
      <w:r>
        <w:rPr>
          <w:rFonts w:ascii="Times New Roman" w:cs="Times New Roman" w:eastAsia="Times New Roman" w:hAnsi="Times New Roman"/>
          <w:sz w:val="17"/>
          <w:szCs w:val="17"/>
          <w:color w:val="auto"/>
        </w:rPr>
        <w:t>We operate in a global environment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subject to political and economic instability, armed conflicts, and other geopolitical risks, including in particular, the ongoing and potential conflicts in the Middle East, including those involving Iran and neighboring countries. These regional conflicts and related geopolitical tensions may result in a number of adverse consequences for our operations, including disruptions to our supply chain and logistics networks, restrictions on transactions involving certain territories, entities, or individuals, and increased costs of raw materials, commodities, energy, and other inputs. In addition, the conflicts in the Middle East have caused significant disruption in the normal flow of oil, refined petroleum products, and related commodities, resulting in increases to the price of oil and gasoline. The increased prices of oil and gasoline will increase energy and transportation costs across our supply chain and, if prolonged, could shift consumer preferences toward smaller, more fuel-efficient vehicles, which could weaken the demand for our higher margin vehicles, such as full-size ICE SUVs and pickup trucks. The foregoing risks could have a material adverse effect on our business, results of operations, financial condition, and cash flows.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March 31,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Share(b)</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 or Programs(c)</w:t>
            </w:r>
          </w:p>
        </w:tc>
        <w:tc>
          <w:tcPr>
            <w:tcW w:w="0" w:type="dxa"/>
            <w:vAlign w:val="bottom"/>
          </w:tcPr>
          <w:p>
            <w:pPr>
              <w:spacing w:after="0"/>
              <w:rPr>
                <w:sz w:val="1"/>
                <w:szCs w:val="1"/>
                <w:color w:val="auto"/>
              </w:rPr>
            </w:pPr>
          </w:p>
        </w:tc>
      </w:tr>
      <w:tr>
        <w:trPr>
          <w:trHeight w:val="228"/>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 billion</w:t>
            </w: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 billion</w:t>
            </w: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10,665,132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10,665,132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 billion</w:t>
            </w:r>
          </w:p>
        </w:tc>
        <w:tc>
          <w:tcPr>
            <w:tcW w:w="0" w:type="dxa"/>
            <w:vAlign w:val="bottom"/>
          </w:tcPr>
          <w:p>
            <w:pPr>
              <w:spacing w:after="0"/>
              <w:rPr>
                <w:sz w:val="1"/>
                <w:szCs w:val="1"/>
                <w:color w:val="auto"/>
              </w:rPr>
            </w:pPr>
          </w:p>
        </w:tc>
      </w:tr>
      <w:tr>
        <w:trPr>
          <w:trHeight w:val="222"/>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14,532,386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10,665,132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the issuance of common stock upon the vesting of RSUs and PSUs relating to compensation plans. Refer to our 2025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7" w:lineRule="exact"/>
        <w:rPr>
          <w:rFonts w:ascii="Times New Roman" w:cs="Times New Roman" w:eastAsia="Times New Roman" w:hAnsi="Times New Roman"/>
          <w:sz w:val="16"/>
          <w:szCs w:val="16"/>
          <w:color w:val="auto"/>
        </w:rPr>
      </w:pPr>
    </w:p>
    <w:p>
      <w:pPr>
        <w:ind w:left="340" w:right="20" w:hanging="333"/>
        <w:spacing w:after="0" w:line="268"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2026, our Board of Directors increased the capacity under our existing share repurchase program by $6.0 billion to an aggregate of $6.3 billion, with no expiration date.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During the three months ended March 31, 2026, the following directors or officers of the Company adopted a "Rule 10b5-1 trading arrangement" or "non-Rule 10b5-1 trading arrangement," as each term is defined in Item 408 of Regulation S-K: (1) on January 28, 2026, Paul A. Jacobson, Executive Vice President and Chief Financial Officer, adopted a trading plan intended to satisfy Rule 10b5-1(c) to sell up to 40,000 shares of GM common stock between May 4, 2026 and July 30, 2026, subject to certain conditions; (2) on February 5, 2026, Grant Dixton, Executive Vice President and Chief Legal and Public Policy Officer, adopted a trading plan intended to satisfy Rule 10b5-1(c) to sell up to 8,000 shares of GM common stock between August 3, 2026 and March 31, 2027, subject to certain conditions; (3) on February 13, 2026, Rory V. Harvey, Executive Vice President and President, Global Markets, adopted a trading plan intended to satisfy Rule 10b5-1(c) to sell up to 97,500 shares of GM common stock and up to 5,652 shares of GM common stock issuable upon the exercise of vested stock options between May 15, 2026 and February 28, 2027, subject to certain conditions; (4) on February 19, 2026, Mary T. Barra, Chair and Chief Executive Officer, adopted a trading plan intended to satisfy Rule 10b5-1(c) to sell up to 433,527 shares of GM common stock and up to 840,262 shares of GM common stock issuable upon the exercise of vested stock options between May 21, 2026 and February 20, 2027, subject to certain conditions; (5) on February 19, 2026, Christopher T. Hatto, Vice President, Global Business Solutions and Chief Accounting Officer, adopted a trading plan intended to satisfy Rule 10b5-1(c) to sell up to 20,682 shares of GM common stock between May 21, 2026 and January 29, 2027, subject to certain conditions; and (6) on February 20, 2026, Mark L. Reuss, President, adopted a trading plan intended to satisfy Rule 10b5-1(c) to sell up to 142,159 shares of GM common stock issuable upon the exercise of vested stock options and up to 290,300 shares of GM common stock issuable upon the vesting of performance share units between May 22, 2026 and February 19, 2027, subject to certain conditions.</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gridSpan w:val="12"/>
          </w:tcPr>
          <w:p>
            <w:pPr>
              <w:ind w:left="10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80" w:type="dxa"/>
            <w:vAlign w:val="bottom"/>
            <w:gridSpan w:val="12"/>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0" w:type="dxa"/>
            <w:vAlign w:val="bottom"/>
            <w:tcBorders>
              <w:top w:val="single" w:sz="8" w:color="auto"/>
              <w:bottom w:val="single" w:sz="8" w:color="0000FF"/>
            </w:tcBorders>
            <w:gridSpan w:val="14"/>
            <w:shd w:val="clear" w:color="auto" w:fill="CCEEFF"/>
          </w:tcPr>
          <w:p>
            <w:pPr>
              <w:ind w:left="20"/>
              <w:spacing w:after="0" w:line="168"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Certificate of Incorporation of General Motors Company dated June 3, 2025,</w:t>
              </w:r>
            </w:hyperlink>
          </w:p>
        </w:tc>
        <w:tc>
          <w:tcPr>
            <w:tcW w:w="1540" w:type="dxa"/>
            <w:vAlign w:val="bottom"/>
            <w:tcBorders>
              <w:top w:val="single" w:sz="8" w:color="CCEEFF"/>
              <w:bottom w:val="single" w:sz="8" w:color="CCEEFF"/>
            </w:tcBorders>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0" w:type="dxa"/>
            <w:vAlign w:val="bottom"/>
            <w:gridSpan w:val="14"/>
            <w:shd w:val="clear" w:color="auto" w:fill="CCEEFF"/>
          </w:tcPr>
          <w:p>
            <w:pPr>
              <w:ind w:left="20"/>
              <w:spacing w:after="0" w:line="161"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incorporated by reference to Exhibit 3.1 to the Current Report on Form 8-K of General Motors Company filed</w:t>
              </w:r>
            </w:hyperlink>
          </w:p>
        </w:tc>
        <w:tc>
          <w:tcPr>
            <w:tcW w:w="15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0000FF"/>
              <w:bottom w:val="single" w:sz="8" w:color="0000FF"/>
            </w:tcBorders>
            <w:gridSpan w:val="2"/>
            <w:shd w:val="clear" w:color="auto" w:fill="CCEEFF"/>
          </w:tcPr>
          <w:p>
            <w:pPr>
              <w:ind w:left="20"/>
              <w:spacing w:after="0" w:line="154"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 xml:space="preserve">June 5, </w:t>
              </w:r>
            </w:hyperlink>
            <w:r>
              <w:rPr>
                <w:rFonts w:ascii="Times New Roman" w:cs="Times New Roman" w:eastAsia="Times New Roman" w:hAnsi="Times New Roman"/>
                <w:sz w:val="17"/>
                <w:szCs w:val="17"/>
                <w:color w:val="0000FF"/>
              </w:rPr>
              <w:t>2025</w:t>
            </w:r>
          </w:p>
        </w:tc>
        <w:tc>
          <w:tcPr>
            <w:tcW w:w="718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8200" w:type="dxa"/>
            <w:vAlign w:val="bottom"/>
            <w:gridSpan w:val="14"/>
          </w:tcPr>
          <w:p>
            <w:pPr>
              <w:ind w:left="20"/>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General Motors Company Amended and Restated Bylaws, as amended October 4, 2024, incorporated by</w:t>
              </w:r>
            </w:hyperlink>
          </w:p>
        </w:tc>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60" w:type="dxa"/>
            <w:vAlign w:val="bottom"/>
            <w:tcBorders>
              <w:top w:val="single" w:sz="8" w:color="0000FF"/>
            </w:tcBorders>
            <w:gridSpan w:val="12"/>
          </w:tcPr>
          <w:p>
            <w:pPr>
              <w:ind w:left="20"/>
              <w:spacing w:after="0" w:line="154"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reference to Exhibit 3.1 to the Current Report on Form 8-K of General Motors Company filed October 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6"/>
                <w:szCs w:val="16"/>
                <w:color w:val="auto"/>
              </w:rPr>
              <w:t>†</w:t>
            </w:r>
          </w:p>
        </w:tc>
        <w:tc>
          <w:tcPr>
            <w:tcW w:w="8200" w:type="dxa"/>
            <w:vAlign w:val="bottom"/>
            <w:gridSpan w:val="14"/>
            <w:shd w:val="clear" w:color="auto" w:fill="CCEEFF"/>
          </w:tcPr>
          <w:p>
            <w:pPr>
              <w:ind w:left="20"/>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Eighth Amended and Restated 364-Day Revolving Credit Agreement, dated as of March 23, 2026, among</w:t>
              </w:r>
            </w:hyperlink>
          </w:p>
        </w:tc>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180" w:type="dxa"/>
            <w:vAlign w:val="bottom"/>
            <w:tcBorders>
              <w:top w:val="single" w:sz="8" w:color="0000FF"/>
            </w:tcBorders>
            <w:gridSpan w:val="13"/>
            <w:shd w:val="clear" w:color="auto" w:fill="CCEEFF"/>
          </w:tcPr>
          <w:p>
            <w:pPr>
              <w:ind w:left="20"/>
              <w:spacing w:after="0" w:line="154"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General Motors Company, General Motors Financial Company, Inc., the subsidiary borrowers from time to time</w:t>
              </w:r>
            </w:hyperlink>
          </w:p>
        </w:tc>
        <w:tc>
          <w:tcPr>
            <w:tcW w:w="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60" w:type="dxa"/>
            <w:vAlign w:val="bottom"/>
            <w:tcBorders>
              <w:top w:val="single" w:sz="8" w:color="0000FF"/>
              <w:bottom w:val="single" w:sz="8" w:color="0000FF"/>
            </w:tcBorders>
            <w:gridSpan w:val="7"/>
            <w:shd w:val="clear" w:color="auto" w:fill="CCEEFF"/>
          </w:tcPr>
          <w:p>
            <w:pPr>
              <w:ind w:left="20"/>
              <w:spacing w:after="0" w:line="154"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parties thereto, the several lenders from time to time parties thereto, JPMorgan Chase Bank, N.A., as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140" w:type="dxa"/>
            <w:vAlign w:val="bottom"/>
            <w:gridSpan w:val="11"/>
            <w:shd w:val="clear" w:color="auto" w:fill="CCEEFF"/>
          </w:tcPr>
          <w:p>
            <w:pPr>
              <w:ind w:left="20"/>
              <w:spacing w:after="0" w:line="168"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administrative agent, and Citibank, N.A., as syndication agent, incorporated by reference to Exhibit 10.1 to the</w:t>
              </w:r>
            </w:hyperlink>
          </w:p>
        </w:tc>
        <w:tc>
          <w:tcPr>
            <w:tcW w:w="60" w:type="dxa"/>
            <w:vAlign w:val="bottom"/>
            <w:gridSpan w:val="3"/>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740" w:type="dxa"/>
            <w:vAlign w:val="bottom"/>
            <w:tcBorders>
              <w:top w:val="single" w:sz="8" w:color="0000FF"/>
              <w:bottom w:val="single" w:sz="8" w:color="0000FF"/>
            </w:tcBorders>
            <w:gridSpan w:val="5"/>
            <w:shd w:val="clear" w:color="auto" w:fill="CCEEFF"/>
          </w:tcPr>
          <w:p>
            <w:pPr>
              <w:ind w:left="20"/>
              <w:spacing w:after="0" w:line="154"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Current Report on Form 8-K of General Motors Company filed March 23, 2026</w:t>
              </w:r>
            </w:hyperlink>
          </w:p>
        </w:tc>
        <w:tc>
          <w:tcPr>
            <w:tcW w:w="234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820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6"/>
                <w:szCs w:val="16"/>
                <w:color w:val="auto"/>
              </w:rPr>
            </w:pPr>
          </w:p>
        </w:tc>
        <w:tc>
          <w:tcPr>
            <w:tcW w:w="820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Financial Officer</w:t>
            </w:r>
          </w:p>
        </w:tc>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820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20" w:type="dxa"/>
            <w:vAlign w:val="bottom"/>
            <w:tcBorders>
              <w:top w:val="single" w:sz="8" w:color="0000FF"/>
            </w:tcBorders>
            <w:gridSpan w:val="10"/>
          </w:tcPr>
          <w:p>
            <w:pPr>
              <w:ind w:left="20"/>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80" w:type="dxa"/>
            <w:vAlign w:val="bottom"/>
            <w:gridSpan w:val="4"/>
          </w:tcPr>
          <w:p>
            <w:pPr>
              <w:spacing w:after="0"/>
              <w:rPr>
                <w:sz w:val="13"/>
                <w:szCs w:val="13"/>
                <w:color w:val="auto"/>
              </w:rPr>
            </w:pPr>
          </w:p>
        </w:tc>
        <w:tc>
          <w:tcPr>
            <w:tcW w:w="15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three months</w:t>
            </w:r>
          </w:p>
        </w:tc>
        <w:tc>
          <w:tcPr>
            <w:tcW w:w="15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ended March 31, 2026, formatted in Inline Extensible Business Reporting Language (Inline XBRL) includes:</w:t>
            </w: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  the  Condensed  Consolidated  Income  Statements,  (ii)  the  Condensed  Consolidated  Statements  of</w:t>
            </w: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Comprehensive Income, (iii) the Condensed Consolidated Balance Sheets, (iv) the Condensed Consolidated</w:t>
            </w: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Statements of Cash Flows, (v) the Condensed Consolidated Statements of Equity, and (vi) Notes to the</w:t>
            </w: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8200" w:type="dxa"/>
            <w:vAlign w:val="bottom"/>
            <w:gridSpan w:val="14"/>
          </w:tcPr>
          <w:p>
            <w:pPr>
              <w:ind w:left="20"/>
              <w:spacing w:after="0" w:line="175"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three months ended March 31,</w:t>
            </w:r>
          </w:p>
        </w:tc>
        <w:tc>
          <w:tcPr>
            <w:tcW w:w="15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2026, formatted as Inline XBRL and contained in Exhibit 101</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0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Rule 601(b)(10) of Regulation S-K. The omitted information is not material and would likely cause competitive harm to the registrant if publicly disclosed.</w:t>
      </w:r>
    </w:p>
    <w:p>
      <w:pPr>
        <w:spacing w:after="0" w:line="194"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2594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28, 2026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28, 2026</w:t>
      </w:r>
    </w:p>
    <w:p>
      <w:pPr>
        <w:sectPr>
          <w:pgSz w:w="11900" w:h="16838" w:orient="portrait"/>
          <w:cols w:equalWidth="0" w:num="1">
            <w:col w:w="11240"/>
          </w:cols>
          <w:pgMar w:left="320" w:top="35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16510</wp:posOffset>
            </wp:positionV>
            <wp:extent cx="3276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28, 2026</w:t>
      </w:r>
    </w:p>
    <w:p>
      <w:pPr>
        <w:sectPr>
          <w:pgSz w:w="11900" w:h="16838" w:orient="portrait"/>
          <w:cols w:equalWidth="0" w:num="1">
            <w:col w:w="11240"/>
          </w:cols>
          <w:pgMar w:left="320" w:top="35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March 31, 2026 as filed with the Securities and Exchange Commission on the date hereof (the “Report”), each of the undersigned officers of the Company, certify, pursuant to 18 U.S.C.</w:t>
      </w:r>
    </w:p>
    <w:p>
      <w:pPr>
        <w:ind w:left="140" w:hanging="133"/>
        <w:spacing w:after="0"/>
        <w:tabs>
          <w:tab w:leader="none" w:pos="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such officer's knowledge:</w:t>
      </w:r>
    </w:p>
    <w:p>
      <w:pPr>
        <w:spacing w:after="0" w:line="231"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28, 2026</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3"/>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
      <w:numFmt w:val="bullet"/>
      <w:start w:val="1"/>
    </w:lvl>
    <w:lvl w:ilvl="1">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6" Type="http://schemas.openxmlformats.org/officeDocument/2006/relationships/hyperlink" Target="https://www.sec.gov/Archives/edgar/data/1467858/000146785825000112/amendedandrestatedcharter.htm" TargetMode="External"/><Relationship Id="rId67" Type="http://schemas.openxmlformats.org/officeDocument/2006/relationships/hyperlink" Target="https://www.sec.gov/Archives/edgar/data/1467858/000119312524235250/d895658dex31.htm" TargetMode="External"/><Relationship Id="rId68" Type="http://schemas.openxmlformats.org/officeDocument/2006/relationships/hyperlink" Target="https://www.sec.gov/Archives/edgar/data/1467858/000119312526119684/d1148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2026-04-28T18:08:10Z</dcterms:created>
  <dcterms:modified xsi:type="dcterms:W3CDTF">2026-04-28T18:08:10Z</dcterms:modified>
</cp:coreProperties>
</file>