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October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60" w:type="dxa"/>
        <w:tblCellMar>
          <w:top w:w="0" w:type="dxa"/>
          <w:left w:w="0" w:type="dxa"/>
          <w:bottom w:w="0" w:type="dxa"/>
          <w:right w:w="0" w:type="dxa"/>
        </w:tblCellMar>
      </w:tblPr>
      <w:tr>
        <w:trPr>
          <w:trHeight w:val="218"/>
        </w:trPr>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000-53930</w:t>
            </w:r>
          </w:p>
        </w:tc>
        <w:tc>
          <w:tcPr>
            <w:tcW w:w="4140" w:type="dxa"/>
            <w:vAlign w:val="bottom"/>
          </w:tcPr>
          <w:p>
            <w:pPr>
              <w:jc w:val="center"/>
              <w:ind w:left="66"/>
              <w:spacing w:after="0"/>
              <w:rPr>
                <w:sz w:val="20"/>
                <w:szCs w:val="20"/>
                <w:color w:val="auto"/>
              </w:rPr>
            </w:pPr>
            <w:r>
              <w:rPr>
                <w:rFonts w:ascii="Arial" w:cs="Arial" w:eastAsia="Arial" w:hAnsi="Arial"/>
                <w:sz w:val="18"/>
                <w:szCs w:val="18"/>
                <w:b w:val="1"/>
                <w:bCs w:val="1"/>
                <w:color w:val="auto"/>
                <w:w w:val="96"/>
              </w:rPr>
              <w:t>DELAWARE</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1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(Commission</w:t>
            </w:r>
          </w:p>
        </w:tc>
        <w:tc>
          <w:tcPr>
            <w:tcW w:w="4140" w:type="dxa"/>
            <w:vAlign w:val="bottom"/>
          </w:tcPr>
          <w:p>
            <w:pPr>
              <w:jc w:val="center"/>
              <w:ind w:left="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left="11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40" w:type="dxa"/>
            <w:vAlign w:val="bottom"/>
          </w:tcPr>
          <w:p>
            <w:pPr>
              <w:spacing w:after="0"/>
              <w:rPr>
                <w:sz w:val="20"/>
                <w:szCs w:val="20"/>
                <w:color w:val="auto"/>
              </w:rPr>
            </w:pPr>
            <w:r>
              <w:rPr>
                <w:rFonts w:ascii="Arial" w:cs="Arial" w:eastAsia="Arial" w:hAnsi="Arial"/>
                <w:sz w:val="14"/>
                <w:szCs w:val="14"/>
                <w:b w:val="1"/>
                <w:bCs w:val="1"/>
                <w:color w:val="auto"/>
              </w:rPr>
              <w:t>File Number)</w:t>
            </w:r>
          </w:p>
        </w:tc>
        <w:tc>
          <w:tcPr>
            <w:tcW w:w="4140" w:type="dxa"/>
            <w:vAlign w:val="bottom"/>
          </w:tcPr>
          <w:p>
            <w:pPr>
              <w:jc w:val="center"/>
              <w:ind w:left="66"/>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89" w:lineRule="exact"/>
        <w:rPr>
          <w:sz w:val="24"/>
          <w:szCs w:val="24"/>
          <w:color w:val="auto"/>
        </w:rPr>
      </w:pPr>
    </w:p>
    <w:p>
      <w:pPr>
        <w:sectPr>
          <w:pgSz w:w="11900" w:h="16838" w:orient="portrait"/>
          <w:cols w:equalWidth="0" w:num="1">
            <w:col w:w="10740"/>
          </w:cols>
          <w:pgMar w:left="240" w:top="314" w:right="919" w:bottom="1440" w:gutter="0" w:footer="0" w:header="0"/>
        </w:sectPr>
      </w:pPr>
    </w:p>
    <w:p>
      <w:pPr>
        <w:ind w:left="224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8460" w:space="720"/>
            <w:col w:w="1560"/>
          </w:cols>
          <w:pgMar w:left="240" w:top="314" w:right="919" w:bottom="1440" w:gutter="0" w:footer="0" w:header="0"/>
          <w:type w:val="continuous"/>
        </w:sectPr>
      </w:pPr>
    </w:p>
    <w:p>
      <w:pPr>
        <w:ind w:left="2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560" w:space="720"/>
            <w:col w:w="1460"/>
          </w:cols>
          <w:pgMar w:left="240" w:top="314" w:right="919" w:bottom="1440" w:gutter="0" w:footer="0" w:header="0"/>
          <w:type w:val="continuous"/>
        </w:sectPr>
      </w:pPr>
    </w:p>
    <w:p>
      <w:pPr>
        <w:jc w:val="center"/>
        <w:ind w:right="-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type w:val="continuous"/>
        </w:sectPr>
      </w:pPr>
    </w:p>
    <w:p>
      <w:pPr>
        <w:spacing w:after="0" w:line="26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ind w:left="1140" w:right="30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October 5, 2010 General Motors Company (the “Company”), approved the 2009 Long-Term Incentive Plan, as amended October 5, 2010 (“the LTIP”) the 2009 Salary Stock Plan, as amended October 5, 2010 (the “SSP”); and the 2010 Short-Term Incentive Plan (“the STIP”).</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LTIP authorizes awards of restricted stock units (“RSUs”) and options. The Board approved an aggregate fungible pool of shares totaling 25 million for the LTIP, Salary Stock, and the STIP with a maximum grant to any one individual under the plan of 1 million options or 250,000 restricted stock units (“RSUs”). The fungible pool assigns a ratio for counting share usage upon issuance of awards as follows:</w:t>
      </w:r>
    </w:p>
    <w:p>
      <w:pPr>
        <w:spacing w:after="0" w:line="5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options and stock appreciation rights (“SARS”) granted under the LTIP will count against the pool on a 1:1 ratio;</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value awards granted under the LTIP, the SSP, and the STIP will count against the fungible pool on a 2.5:1 ratio for awards granted after October 5, 2010</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SSP, the Executive Compensation Committee of the Company’s Board of Directors (“the ECC”) may select employees to receive base salary or other compensation as salary stock subject to a payment schedule over a three-year period. Compensation to be paid in salary stock is converted to RSUs at each quarter-end unless a different issue date is approved by the ECC. Salary stock RSUs are settled ratably in one-third increments on each of the first, second, and third anniversaries of the issue date thereof, or other settlement dates as approved by the ECC. Awards are not forfeitable and may be settled in cash, or stock, if settlement occurs after IPO.</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STIP, grants of target awards may be made based on the establishment of one or more performance metrics by the ECC. Target awards may become final awards based on the relative achievement of the selected metrics, and any payment of final awards will be made in cash and/or restricted stock units subsequent to the determination of the actual performance achieved during the performance period. The maximum final award payable to any one individual under the STIP is $7.5 million.</w:t>
      </w:r>
    </w:p>
    <w:p>
      <w:pPr>
        <w:sectPr>
          <w:pgSz w:w="11900" w:h="16838" w:orient="portrait"/>
          <w:cols w:equalWidth="0" w:num="1">
            <w:col w:w="11360"/>
          </w:cols>
          <w:pgMar w:left="240" w:top="274"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(Company)</w:t>
      </w:r>
    </w:p>
    <w:p>
      <w:pPr>
        <w:spacing w:after="0" w:line="232"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October 8, 2010</w:t>
      </w:r>
      <w:r>
        <w:rPr>
          <w:sz w:val="20"/>
          <w:szCs w:val="20"/>
          <w:color w:val="auto"/>
        </w:rPr>
        <w:tab/>
      </w:r>
      <w:r>
        <w:rPr>
          <w:rFonts w:ascii="Arial" w:cs="Arial" w:eastAsia="Arial" w:hAnsi="Arial"/>
          <w:sz w:val="16"/>
          <w:szCs w:val="16"/>
          <w:color w:val="auto"/>
        </w:rPr>
        <w:t>By:  /s/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10795</wp:posOffset>
            </wp:positionV>
            <wp:extent cx="3035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Nick S. Cyprus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Vice President, Controller and Chief Accounting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2019-12-11T07:31:33Z</dcterms:created>
  <dcterms:modified xsi:type="dcterms:W3CDTF">2019-12-11T07:31:33Z</dcterms:modified>
</cp:coreProperties>
</file>