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333-195601</w:t>
      </w:r>
    </w:p>
    <w:p>
      <w:pPr>
        <w:spacing w:after="0" w:line="135" w:lineRule="exact"/>
        <w:rPr>
          <w:sz w:val="24"/>
          <w:szCs w:val="24"/>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we are not soliciting offers to buy these securities, in any state or jurisdiction where the offer or sale is not permitted.</w:t>
      </w:r>
    </w:p>
    <w:p>
      <w:pPr>
        <w:spacing w:after="0" w:line="10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DE1A1E"/>
        </w:rPr>
        <w:t>SUBJECT TO COMPLETION, DATED NOVEMBER 4, 2014</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30, 2014)</w:t>
      </w:r>
    </w:p>
    <w:p>
      <w:pPr>
        <w:spacing w:after="0" w:line="9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97155</wp:posOffset>
            </wp:positionV>
            <wp:extent cx="45281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5180" w:hanging="859"/>
        <w:spacing w:after="0"/>
        <w:tabs>
          <w:tab w:leader="none" w:pos="5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Senior Notes due 2025</w:t>
      </w:r>
    </w:p>
    <w:p>
      <w:pPr>
        <w:spacing w:after="0" w:line="31" w:lineRule="exact"/>
        <w:rPr>
          <w:sz w:val="24"/>
          <w:szCs w:val="24"/>
          <w:color w:val="auto"/>
        </w:rPr>
      </w:pPr>
    </w:p>
    <w:p>
      <w:pPr>
        <w:ind w:left="5180" w:hanging="859"/>
        <w:spacing w:after="0"/>
        <w:tabs>
          <w:tab w:leader="none" w:pos="5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Senior Notes due 2035</w:t>
      </w:r>
    </w:p>
    <w:p>
      <w:pPr>
        <w:spacing w:after="0" w:line="9" w:lineRule="exact"/>
        <w:rPr>
          <w:sz w:val="24"/>
          <w:szCs w:val="24"/>
          <w:color w:val="auto"/>
        </w:rPr>
      </w:pPr>
    </w:p>
    <w:p>
      <w:pPr>
        <w:ind w:left="5180" w:hanging="859"/>
        <w:spacing w:after="0"/>
        <w:tabs>
          <w:tab w:leader="none" w:pos="5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Senior Notes due 2045</w:t>
      </w:r>
    </w:p>
    <w:p>
      <w:pPr>
        <w:sectPr>
          <w:pgSz w:w="11900" w:h="16838" w:orient="portrait"/>
          <w:cols w:equalWidth="0" w:num="1">
            <w:col w:w="11420"/>
          </w:cols>
          <w:pgMar w:left="240" w:top="226" w:right="239" w:bottom="1440" w:gutter="0" w:footer="0" w:header="0"/>
        </w:sectPr>
      </w:pPr>
    </w:p>
    <w:p>
      <w:pPr>
        <w:spacing w:after="0" w:line="207" w:lineRule="exact"/>
        <w:rPr>
          <w:sz w:val="24"/>
          <w:szCs w:val="24"/>
          <w:color w:val="auto"/>
        </w:rPr>
      </w:pPr>
    </w:p>
    <w:p>
      <w:pPr>
        <w:ind w:firstLine="799"/>
        <w:spacing w:after="0" w:line="266" w:lineRule="auto"/>
        <w:rPr>
          <w:sz w:val="20"/>
          <w:szCs w:val="20"/>
          <w:color w:val="auto"/>
        </w:rPr>
      </w:pPr>
      <w:r>
        <w:rPr>
          <w:rFonts w:ascii="Times New Roman" w:cs="Times New Roman" w:eastAsia="Times New Roman" w:hAnsi="Times New Roman"/>
          <w:sz w:val="18"/>
          <w:szCs w:val="18"/>
          <w:color w:val="auto"/>
        </w:rPr>
        <w:t>General Motors Company is offering $ in aggregate principal amount of aggregate principal amount of % Senior Notes due 2035 (the “2035 Notes”) and $ (the “2045 Notes” and, together with the 2025 Notes and the 2035 Notes, the “Notes”).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80"/>
        <w:spacing w:after="0"/>
        <w:tabs>
          <w:tab w:leader="none" w:pos="3900" w:val="left"/>
        </w:tabs>
        <w:rPr>
          <w:sz w:val="20"/>
          <w:szCs w:val="20"/>
          <w:color w:val="auto"/>
        </w:rPr>
      </w:pPr>
      <w:r>
        <w:rPr>
          <w:rFonts w:ascii="Times New Roman" w:cs="Times New Roman" w:eastAsia="Times New Roman" w:hAnsi="Times New Roman"/>
          <w:sz w:val="18"/>
          <w:szCs w:val="18"/>
          <w:color w:val="auto"/>
        </w:rPr>
        <w:t>% Senior Notes due 2025 (the “2025 Notes”), $</w:t>
      </w:r>
      <w:r>
        <w:rPr>
          <w:sz w:val="20"/>
          <w:szCs w:val="20"/>
          <w:color w:val="auto"/>
        </w:rPr>
        <w:tab/>
      </w:r>
      <w:r>
        <w:rPr>
          <w:rFonts w:ascii="Times New Roman" w:cs="Times New Roman" w:eastAsia="Times New Roman" w:hAnsi="Times New Roman"/>
          <w:sz w:val="17"/>
          <w:szCs w:val="17"/>
          <w:color w:val="auto"/>
        </w:rPr>
        <w:t>in</w:t>
      </w:r>
    </w:p>
    <w:p>
      <w:pPr>
        <w:spacing w:after="0" w:line="27" w:lineRule="exact"/>
        <w:rPr>
          <w:sz w:val="24"/>
          <w:szCs w:val="24"/>
          <w:color w:val="auto"/>
        </w:rPr>
      </w:pPr>
    </w:p>
    <w:p>
      <w:pPr>
        <w:spacing w:after="0"/>
        <w:tabs>
          <w:tab w:leader="none" w:pos="2740" w:val="left"/>
        </w:tabs>
        <w:rPr>
          <w:sz w:val="20"/>
          <w:szCs w:val="20"/>
          <w:color w:val="auto"/>
        </w:rPr>
      </w:pPr>
      <w:r>
        <w:rPr>
          <w:rFonts w:ascii="Times New Roman" w:cs="Times New Roman" w:eastAsia="Times New Roman" w:hAnsi="Times New Roman"/>
          <w:sz w:val="18"/>
          <w:szCs w:val="18"/>
          <w:color w:val="auto"/>
        </w:rPr>
        <w:t>in aggregate principal amount of</w:t>
      </w:r>
      <w:r>
        <w:rPr>
          <w:sz w:val="20"/>
          <w:szCs w:val="20"/>
          <w:color w:val="auto"/>
        </w:rPr>
        <w:tab/>
      </w:r>
      <w:r>
        <w:rPr>
          <w:rFonts w:ascii="Times New Roman" w:cs="Times New Roman" w:eastAsia="Times New Roman" w:hAnsi="Times New Roman"/>
          <w:sz w:val="17"/>
          <w:szCs w:val="17"/>
          <w:color w:val="auto"/>
        </w:rPr>
        <w:t>% Senior Notes due 2045</w:t>
      </w:r>
    </w:p>
    <w:p>
      <w:pPr>
        <w:spacing w:after="0" w:line="314" w:lineRule="exact"/>
        <w:rPr>
          <w:sz w:val="24"/>
          <w:szCs w:val="24"/>
          <w:color w:val="auto"/>
        </w:rPr>
      </w:pPr>
    </w:p>
    <w:p>
      <w:pPr>
        <w:sectPr>
          <w:pgSz w:w="11900" w:h="16838" w:orient="portrait"/>
          <w:cols w:equalWidth="0" w:num="2">
            <w:col w:w="6360" w:space="320"/>
            <w:col w:w="4740"/>
          </w:cols>
          <w:pgMar w:left="240" w:top="226" w:right="2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The 2025 Notes will mature on April 1, 2025, the 2035 Notes will mature on April 1, 2035 and the 2045 Notes will mature on April 1, 2045.</w:t>
      </w:r>
    </w:p>
    <w:p>
      <w:pPr>
        <w:spacing w:after="0" w:line="2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on the Notes will accrue from , 2014. We will pay interest on the Notes on and of each year, commencing on , 2015. The Notes will be our senior unsecured obligations and will rank equally in right of payment with all of our existing and future senior unsecured indebtedness.</w:t>
      </w:r>
    </w:p>
    <w:p>
      <w:pPr>
        <w:spacing w:after="0" w:line="288" w:lineRule="exact"/>
        <w:rPr>
          <w:sz w:val="24"/>
          <w:szCs w:val="24"/>
          <w:color w:val="auto"/>
        </w:rPr>
      </w:pPr>
    </w:p>
    <w:p>
      <w:pPr>
        <w:ind w:right="420" w:firstLine="799"/>
        <w:spacing w:after="0" w:line="282" w:lineRule="auto"/>
        <w:rPr>
          <w:sz w:val="20"/>
          <w:szCs w:val="20"/>
          <w:color w:val="auto"/>
        </w:rPr>
      </w:pPr>
      <w:r>
        <w:rPr>
          <w:rFonts w:ascii="Times New Roman" w:cs="Times New Roman" w:eastAsia="Times New Roman" w:hAnsi="Times New Roman"/>
          <w:sz w:val="18"/>
          <w:szCs w:val="18"/>
          <w:color w:val="auto"/>
        </w:rPr>
        <w:t>We may, at our option, redeem some or all of the Notes at any time and from time to time at the applicable redemption prices described under “Description of the Notes—Optional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123190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p>
      <w:pPr>
        <w:ind w:right="580" w:firstLine="799"/>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Notes involves risks. See “</w:t>
      </w:r>
      <w:hyperlink w:anchor="page11">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S-7 of this prospectus supplement, in the accompanying prospectus and in our periodic reports filed from time to time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ind w:right="180" w:firstLine="79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2025</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2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Per 2035</w:t>
            </w:r>
          </w:p>
        </w:tc>
        <w:tc>
          <w:tcPr>
            <w:tcW w:w="14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Per 2045</w:t>
            </w:r>
          </w:p>
        </w:tc>
        <w:tc>
          <w:tcPr>
            <w:tcW w:w="220" w:type="dxa"/>
            <w:vAlign w:val="bottom"/>
          </w:tcPr>
          <w:p>
            <w:pPr>
              <w:spacing w:after="0"/>
              <w:rPr>
                <w:sz w:val="13"/>
                <w:szCs w:val="13"/>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2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Price to Public (1)</w:t>
            </w:r>
          </w:p>
        </w:tc>
        <w:tc>
          <w:tcPr>
            <w:tcW w:w="6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520" w:type="dxa"/>
            <w:vAlign w:val="bottom"/>
            <w:gridSpan w:val="2"/>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Proceeds, before</w:t>
            </w:r>
          </w:p>
        </w:tc>
        <w:tc>
          <w:tcPr>
            <w:tcW w:w="6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 to us (1)</w:t>
            </w: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  Plus accrued interest, if any, from</w:t>
            </w:r>
          </w:p>
        </w:tc>
        <w:tc>
          <w:tcPr>
            <w:tcW w:w="162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 2014.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or automated quotation system. Currently there is no market for the Notes.</w:t>
      </w:r>
    </w:p>
    <w:p>
      <w:pPr>
        <w:spacing w:after="0" w:line="11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and its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7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participants, including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on or about</w:t>
            </w:r>
          </w:p>
        </w:tc>
        <w:tc>
          <w:tcPr>
            <w:tcW w:w="3120" w:type="dxa"/>
            <w:vAlign w:val="bottom"/>
          </w:tcPr>
          <w:p>
            <w:pPr>
              <w:jc w:val="right"/>
              <w:ind w:right="1824"/>
              <w:spacing w:after="0"/>
              <w:rPr>
                <w:sz w:val="20"/>
                <w:szCs w:val="20"/>
                <w:color w:val="auto"/>
              </w:rPr>
            </w:pPr>
            <w:r>
              <w:rPr>
                <w:rFonts w:ascii="Times New Roman" w:cs="Times New Roman" w:eastAsia="Times New Roman" w:hAnsi="Times New Roman"/>
                <w:sz w:val="18"/>
                <w:szCs w:val="18"/>
                <w:color w:val="auto"/>
              </w:rPr>
              <w:t>, 2014.</w:t>
            </w:r>
          </w:p>
        </w:tc>
      </w:tr>
      <w:tr>
        <w:trPr>
          <w:trHeight w:val="209"/>
        </w:trPr>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318"/>
        </w:trPr>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Joint Book-Running Managers</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90"/>
        </w:trPr>
        <w:tc>
          <w:tcPr>
            <w:tcW w:w="3420" w:type="dxa"/>
            <w:vAlign w:val="bottom"/>
          </w:tcPr>
          <w:p>
            <w:pPr>
              <w:ind w:left="116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1100" w:type="dxa"/>
            <w:vAlign w:val="bottom"/>
          </w:tcPr>
          <w:p>
            <w:pPr>
              <w:spacing w:after="0"/>
              <w:rPr>
                <w:sz w:val="24"/>
                <w:szCs w:val="24"/>
                <w:color w:val="auto"/>
              </w:rPr>
            </w:pPr>
          </w:p>
        </w:tc>
        <w:tc>
          <w:tcPr>
            <w:tcW w:w="26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Goldman, Sachs &amp; Co.</w:t>
            </w:r>
          </w:p>
        </w:tc>
        <w:tc>
          <w:tcPr>
            <w:tcW w:w="460" w:type="dxa"/>
            <w:vAlign w:val="bottom"/>
          </w:tcPr>
          <w:p>
            <w:pPr>
              <w:spacing w:after="0"/>
              <w:rPr>
                <w:sz w:val="24"/>
                <w:szCs w:val="24"/>
                <w:color w:val="auto"/>
              </w:rPr>
            </w:pPr>
          </w:p>
        </w:tc>
        <w:tc>
          <w:tcPr>
            <w:tcW w:w="3120" w:type="dxa"/>
            <w:vAlign w:val="bottom"/>
          </w:tcPr>
          <w:p>
            <w:pPr>
              <w:jc w:val="right"/>
              <w:ind w:right="444"/>
              <w:spacing w:after="0"/>
              <w:rPr>
                <w:sz w:val="20"/>
                <w:szCs w:val="20"/>
                <w:color w:val="auto"/>
              </w:rPr>
            </w:pPr>
            <w:r>
              <w:rPr>
                <w:rFonts w:ascii="Times New Roman" w:cs="Times New Roman" w:eastAsia="Times New Roman" w:hAnsi="Times New Roman"/>
                <w:sz w:val="22"/>
                <w:szCs w:val="22"/>
                <w:b w:val="1"/>
                <w:bCs w:val="1"/>
                <w:color w:val="auto"/>
              </w:rPr>
              <w:t>Morgan Stanley</w:t>
            </w:r>
          </w:p>
        </w:tc>
      </w:tr>
      <w:tr>
        <w:trPr>
          <w:trHeight w:val="486"/>
        </w:trPr>
        <w:tc>
          <w:tcPr>
            <w:tcW w:w="3420" w:type="dxa"/>
            <w:vAlign w:val="bottom"/>
          </w:tcPr>
          <w:p>
            <w:pPr>
              <w:ind w:left="246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20" w:type="dxa"/>
            <w:vAlign w:val="bottom"/>
          </w:tcPr>
          <w:p>
            <w:pPr>
              <w:jc w:val="center"/>
              <w:ind w:right="1104"/>
              <w:spacing w:after="0"/>
              <w:rPr>
                <w:sz w:val="20"/>
                <w:szCs w:val="20"/>
                <w:color w:val="auto"/>
              </w:rPr>
            </w:pPr>
            <w:r>
              <w:rPr>
                <w:rFonts w:ascii="Times New Roman" w:cs="Times New Roman" w:eastAsia="Times New Roman" w:hAnsi="Times New Roman"/>
                <w:sz w:val="22"/>
                <w:szCs w:val="22"/>
                <w:b w:val="1"/>
                <w:bCs w:val="1"/>
                <w:color w:val="auto"/>
                <w:w w:val="97"/>
              </w:rPr>
              <w:t>BofA Merrill Lynch</w:t>
            </w:r>
          </w:p>
        </w:tc>
      </w:tr>
      <w:tr>
        <w:trPr>
          <w:trHeight w:val="312"/>
        </w:trPr>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Joint Lead Managers</w:t>
            </w:r>
          </w:p>
        </w:tc>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15"/>
        </w:trPr>
        <w:tc>
          <w:tcPr>
            <w:tcW w:w="342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8"/>
              </w:rPr>
              <w:t>BNP PARIBAS</w:t>
            </w:r>
          </w:p>
        </w:tc>
        <w:tc>
          <w:tcPr>
            <w:tcW w:w="1100" w:type="dxa"/>
            <w:vAlign w:val="bottom"/>
          </w:tcPr>
          <w:p>
            <w:pPr>
              <w:spacing w:after="0"/>
              <w:rPr>
                <w:sz w:val="24"/>
                <w:szCs w:val="24"/>
                <w:color w:val="auto"/>
              </w:rPr>
            </w:pPr>
          </w:p>
        </w:tc>
        <w:tc>
          <w:tcPr>
            <w:tcW w:w="2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460" w:type="dxa"/>
            <w:vAlign w:val="bottom"/>
          </w:tcPr>
          <w:p>
            <w:pPr>
              <w:spacing w:after="0"/>
              <w:rPr>
                <w:sz w:val="24"/>
                <w:szCs w:val="24"/>
                <w:color w:val="auto"/>
              </w:rPr>
            </w:pPr>
          </w:p>
        </w:tc>
        <w:tc>
          <w:tcPr>
            <w:tcW w:w="3120" w:type="dxa"/>
            <w:vAlign w:val="bottom"/>
          </w:tcPr>
          <w:p>
            <w:pPr>
              <w:jc w:val="center"/>
              <w:ind w:left="1344"/>
              <w:spacing w:after="0"/>
              <w:rPr>
                <w:sz w:val="20"/>
                <w:szCs w:val="20"/>
                <w:color w:val="auto"/>
              </w:rPr>
            </w:pPr>
            <w:r>
              <w:rPr>
                <w:rFonts w:ascii="Times New Roman" w:cs="Times New Roman" w:eastAsia="Times New Roman" w:hAnsi="Times New Roman"/>
                <w:sz w:val="18"/>
                <w:szCs w:val="18"/>
                <w:b w:val="1"/>
                <w:bCs w:val="1"/>
                <w:color w:val="auto"/>
                <w:w w:val="98"/>
              </w:rPr>
              <w:t>Credit Suisse</w:t>
            </w:r>
          </w:p>
        </w:tc>
      </w:tr>
      <w:tr>
        <w:trPr>
          <w:trHeight w:val="216"/>
        </w:trPr>
        <w:tc>
          <w:tcPr>
            <w:tcW w:w="342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9"/>
              </w:rPr>
              <w:t>Deutsche Bank Securities</w:t>
            </w:r>
          </w:p>
        </w:tc>
        <w:tc>
          <w:tcPr>
            <w:tcW w:w="1100" w:type="dxa"/>
            <w:vAlign w:val="bottom"/>
          </w:tcPr>
          <w:p>
            <w:pPr>
              <w:spacing w:after="0"/>
              <w:rPr>
                <w:sz w:val="18"/>
                <w:szCs w:val="18"/>
                <w:color w:val="auto"/>
              </w:rPr>
            </w:pPr>
          </w:p>
        </w:tc>
        <w:tc>
          <w:tcPr>
            <w:tcW w:w="2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Lloyds Securities</w:t>
            </w:r>
          </w:p>
        </w:tc>
        <w:tc>
          <w:tcPr>
            <w:tcW w:w="460" w:type="dxa"/>
            <w:vAlign w:val="bottom"/>
          </w:tcPr>
          <w:p>
            <w:pPr>
              <w:spacing w:after="0"/>
              <w:rPr>
                <w:sz w:val="18"/>
                <w:szCs w:val="18"/>
                <w:color w:val="auto"/>
              </w:rPr>
            </w:pPr>
          </w:p>
        </w:tc>
        <w:tc>
          <w:tcPr>
            <w:tcW w:w="3120" w:type="dxa"/>
            <w:vAlign w:val="bottom"/>
          </w:tcPr>
          <w:p>
            <w:pPr>
              <w:jc w:val="center"/>
              <w:ind w:left="1344"/>
              <w:spacing w:after="0"/>
              <w:rPr>
                <w:sz w:val="20"/>
                <w:szCs w:val="20"/>
                <w:color w:val="auto"/>
              </w:rPr>
            </w:pPr>
            <w:r>
              <w:rPr>
                <w:rFonts w:ascii="Times New Roman" w:cs="Times New Roman" w:eastAsia="Times New Roman" w:hAnsi="Times New Roman"/>
                <w:sz w:val="18"/>
                <w:szCs w:val="18"/>
                <w:b w:val="1"/>
                <w:bCs w:val="1"/>
                <w:color w:val="auto"/>
                <w:w w:val="99"/>
              </w:rPr>
              <w:t>RBC Capital Markets</w:t>
            </w:r>
          </w:p>
        </w:tc>
      </w:tr>
      <w:tr>
        <w:trPr>
          <w:trHeight w:val="238"/>
        </w:trPr>
        <w:tc>
          <w:tcPr>
            <w:tcW w:w="342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6"/>
              </w:rPr>
              <w:t>RBS</w:t>
            </w:r>
          </w:p>
        </w:tc>
        <w:tc>
          <w:tcPr>
            <w:tcW w:w="1100" w:type="dxa"/>
            <w:vAlign w:val="bottom"/>
          </w:tcPr>
          <w:p>
            <w:pPr>
              <w:spacing w:after="0"/>
              <w:rPr>
                <w:sz w:val="20"/>
                <w:szCs w:val="20"/>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Sandler O’Neill + Partners, L.P.</w:t>
            </w:r>
          </w:p>
        </w:tc>
        <w:tc>
          <w:tcPr>
            <w:tcW w:w="460" w:type="dxa"/>
            <w:vAlign w:val="bottom"/>
          </w:tcPr>
          <w:p>
            <w:pPr>
              <w:spacing w:after="0"/>
              <w:rPr>
                <w:sz w:val="20"/>
                <w:szCs w:val="20"/>
                <w:color w:val="auto"/>
              </w:rPr>
            </w:pPr>
          </w:p>
        </w:tc>
        <w:tc>
          <w:tcPr>
            <w:tcW w:w="3120" w:type="dxa"/>
            <w:vAlign w:val="bottom"/>
          </w:tcPr>
          <w:p>
            <w:pPr>
              <w:jc w:val="center"/>
              <w:ind w:left="1344"/>
              <w:spacing w:after="0"/>
              <w:rPr>
                <w:sz w:val="20"/>
                <w:szCs w:val="20"/>
                <w:color w:val="auto"/>
              </w:rPr>
            </w:pPr>
            <w:r>
              <w:rPr>
                <w:rFonts w:ascii="Times New Roman" w:cs="Times New Roman" w:eastAsia="Times New Roman" w:hAnsi="Times New Roman"/>
                <w:sz w:val="18"/>
                <w:szCs w:val="18"/>
                <w:b w:val="1"/>
                <w:bCs w:val="1"/>
                <w:color w:val="auto"/>
                <w:w w:val="99"/>
              </w:rPr>
              <w:t>TD Securities</w:t>
            </w:r>
          </w:p>
        </w:tc>
      </w:tr>
      <w:tr>
        <w:trPr>
          <w:trHeight w:val="324"/>
        </w:trPr>
        <w:tc>
          <w:tcPr>
            <w:tcW w:w="3420" w:type="dxa"/>
            <w:vAlign w:val="bottom"/>
          </w:tcPr>
          <w:p>
            <w:pPr>
              <w:spacing w:after="0"/>
              <w:rPr>
                <w:sz w:val="24"/>
                <w:szCs w:val="24"/>
                <w:color w:val="auto"/>
              </w:rPr>
            </w:pPr>
          </w:p>
        </w:tc>
        <w:tc>
          <w:tcPr>
            <w:tcW w:w="3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date of this prospectus supplement is</w:t>
            </w:r>
          </w:p>
        </w:tc>
        <w:tc>
          <w:tcPr>
            <w:tcW w:w="3580" w:type="dxa"/>
            <w:vAlign w:val="bottom"/>
            <w:gridSpan w:val="2"/>
          </w:tcPr>
          <w:p>
            <w:pPr>
              <w:jc w:val="right"/>
              <w:ind w:right="2844"/>
              <w:spacing w:after="0"/>
              <w:rPr>
                <w:sz w:val="20"/>
                <w:szCs w:val="20"/>
                <w:color w:val="auto"/>
              </w:rPr>
            </w:pPr>
            <w:r>
              <w:rPr>
                <w:rFonts w:ascii="Times New Roman" w:cs="Times New Roman" w:eastAsia="Times New Roman" w:hAnsi="Times New Roman"/>
                <w:sz w:val="18"/>
                <w:szCs w:val="18"/>
                <w:color w:val="auto"/>
              </w:rPr>
              <w:t>, 2014.</w:t>
            </w: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40" w:type="dxa"/>
            <w:vAlign w:val="bottom"/>
            <w:gridSpan w:val="2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48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8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80" w:type="dxa"/>
            <w:vAlign w:val="bottom"/>
          </w:tcPr>
          <w:p>
            <w:pPr>
              <w:spacing w:after="0"/>
              <w:rPr>
                <w:sz w:val="24"/>
                <w:szCs w:val="24"/>
                <w:color w:val="auto"/>
              </w:rPr>
            </w:pPr>
          </w:p>
        </w:tc>
      </w:tr>
      <w:tr>
        <w:trPr>
          <w:trHeight w:val="419"/>
        </w:trPr>
        <w:tc>
          <w:tcPr>
            <w:tcW w:w="25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About This Prospectus Supplement</w:t>
              </w:r>
            </w:hyperlink>
          </w:p>
        </w:tc>
        <w:tc>
          <w:tcPr>
            <w:tcW w:w="628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Prospectus Supplement Summary</w:t>
              </w:r>
            </w:hyperlink>
          </w:p>
        </w:tc>
        <w:tc>
          <w:tcPr>
            <w:tcW w:w="640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Risk Factors</w:t>
              </w:r>
            </w:hyperlink>
          </w:p>
        </w:tc>
        <w:tc>
          <w:tcPr>
            <w:tcW w:w="7920" w:type="dxa"/>
            <w:vAlign w:val="bottom"/>
            <w:gridSpan w:val="2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Use of Proceeds</w:t>
              </w:r>
            </w:hyperlink>
          </w:p>
        </w:tc>
        <w:tc>
          <w:tcPr>
            <w:tcW w:w="766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Consolidated Ratio of Earnings to Fixed Charges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7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Description of the Notes</w:t>
              </w:r>
            </w:hyperlink>
          </w:p>
        </w:tc>
        <w:tc>
          <w:tcPr>
            <w:tcW w:w="1760" w:type="dxa"/>
            <w:vAlign w:val="bottom"/>
            <w:tcBorders>
              <w:top w:val="single" w:sz="8" w:color="0000EE"/>
            </w:tcBorders>
            <w:gridSpan w:val="10"/>
          </w:tcPr>
          <w:p>
            <w:pPr>
              <w:spacing w:after="0"/>
              <w:rPr>
                <w:sz w:val="17"/>
                <w:szCs w:val="17"/>
                <w:color w:val="auto"/>
              </w:rPr>
            </w:pPr>
          </w:p>
        </w:tc>
        <w:tc>
          <w:tcPr>
            <w:tcW w:w="530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Certain U.S. Federal Tax Considerations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9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Underwriting</w:t>
              </w:r>
            </w:hyperlink>
          </w:p>
        </w:tc>
        <w:tc>
          <w:tcPr>
            <w:tcW w:w="1940" w:type="dxa"/>
            <w:vAlign w:val="bottom"/>
            <w:tcBorders>
              <w:top w:val="single" w:sz="8" w:color="0000EE"/>
            </w:tcBorders>
            <w:gridSpan w:val="16"/>
          </w:tcPr>
          <w:p>
            <w:pPr>
              <w:spacing w:after="0"/>
              <w:rPr>
                <w:sz w:val="17"/>
                <w:szCs w:val="17"/>
                <w:color w:val="auto"/>
              </w:rPr>
            </w:pPr>
          </w:p>
        </w:tc>
        <w:tc>
          <w:tcPr>
            <w:tcW w:w="592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Legal Matters</w:t>
              </w:r>
            </w:hyperlink>
          </w:p>
        </w:tc>
        <w:tc>
          <w:tcPr>
            <w:tcW w:w="78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Incorporation of Certain Documents by Reference</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36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Where You Can Find More Information</w:t>
              </w:r>
            </w:hyperlink>
          </w:p>
        </w:tc>
        <w:tc>
          <w:tcPr>
            <w:tcW w:w="522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80" w:type="dxa"/>
            <w:vAlign w:val="bottom"/>
          </w:tcPr>
          <w:p>
            <w:pPr>
              <w:spacing w:after="0"/>
              <w:rPr>
                <w:sz w:val="24"/>
                <w:szCs w:val="24"/>
                <w:color w:val="auto"/>
              </w:rPr>
            </w:pPr>
          </w:p>
        </w:tc>
      </w:tr>
      <w:tr>
        <w:trPr>
          <w:trHeight w:val="419"/>
        </w:trPr>
        <w:tc>
          <w:tcPr>
            <w:tcW w:w="8840" w:type="dxa"/>
            <w:vAlign w:val="bottom"/>
            <w:gridSpan w:val="24"/>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About This Prospectus</w:t>
              </w:r>
            </w:hyperlink>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Incorporation of Certain Documents by Reference</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Risk Factors</w:t>
              </w:r>
            </w:hyperlink>
          </w:p>
        </w:tc>
        <w:tc>
          <w:tcPr>
            <w:tcW w:w="2700" w:type="dxa"/>
            <w:vAlign w:val="bottom"/>
            <w:tcBorders>
              <w:top w:val="single" w:sz="8" w:color="0000EE"/>
            </w:tcBorders>
            <w:gridSpan w:val="19"/>
          </w:tcPr>
          <w:p>
            <w:pPr>
              <w:spacing w:after="0"/>
              <w:rPr>
                <w:sz w:val="17"/>
                <w:szCs w:val="17"/>
                <w:color w:val="auto"/>
              </w:rPr>
            </w:pPr>
          </w:p>
        </w:tc>
        <w:tc>
          <w:tcPr>
            <w:tcW w:w="522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General Motors Company</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Consolidated Ratio of Earnings to Fixed Charges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Consolidated Ratio of Earnings to Combined Fixed Charges and Preferred Stock Dividends</w:t>
              </w:r>
            </w:hyperlink>
          </w:p>
        </w:tc>
        <w:tc>
          <w:tcPr>
            <w:tcW w:w="224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Use of Proceeds</w:t>
              </w:r>
            </w:hyperlink>
          </w:p>
        </w:tc>
        <w:tc>
          <w:tcPr>
            <w:tcW w:w="766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Overview of Our Capital Stock</w:t>
              </w:r>
            </w:hyperlink>
          </w:p>
        </w:tc>
        <w:tc>
          <w:tcPr>
            <w:tcW w:w="6580" w:type="dxa"/>
            <w:vAlign w:val="bottom"/>
            <w:gridSpan w:val="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840" w:type="dxa"/>
            <w:vAlign w:val="bottom"/>
            <w:gridSpan w:val="24"/>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General Description of Securities That May Be Offered</w:t>
              </w:r>
            </w:hyperlink>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2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Description of Debt Securities</w:t>
              </w:r>
            </w:hyperlink>
          </w:p>
        </w:tc>
        <w:tc>
          <w:tcPr>
            <w:tcW w:w="1800" w:type="dxa"/>
            <w:vAlign w:val="bottom"/>
            <w:tcBorders>
              <w:top w:val="single" w:sz="8" w:color="0000EE"/>
            </w:tcBorders>
            <w:gridSpan w:val="9"/>
          </w:tcPr>
          <w:p>
            <w:pPr>
              <w:spacing w:after="0"/>
              <w:rPr>
                <w:sz w:val="17"/>
                <w:szCs w:val="17"/>
                <w:color w:val="auto"/>
              </w:rPr>
            </w:pPr>
          </w:p>
        </w:tc>
        <w:tc>
          <w:tcPr>
            <w:tcW w:w="48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Description of Preferred Stock</w:t>
              </w:r>
            </w:hyperlink>
          </w:p>
        </w:tc>
        <w:tc>
          <w:tcPr>
            <w:tcW w:w="66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Description of Common Stock</w:t>
              </w:r>
            </w:hyperlink>
          </w:p>
        </w:tc>
        <w:tc>
          <w:tcPr>
            <w:tcW w:w="66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Description of Warrants</w:t>
              </w:r>
            </w:hyperlink>
          </w:p>
        </w:tc>
        <w:tc>
          <w:tcPr>
            <w:tcW w:w="710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Plan of Distribution</w:t>
              </w:r>
            </w:hyperlink>
          </w:p>
        </w:tc>
        <w:tc>
          <w:tcPr>
            <w:tcW w:w="740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Legal Matters</w:t>
              </w:r>
            </w:hyperlink>
          </w:p>
        </w:tc>
        <w:tc>
          <w:tcPr>
            <w:tcW w:w="78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Experts</w:t>
              </w:r>
            </w:hyperlink>
          </w:p>
        </w:tc>
        <w:tc>
          <w:tcPr>
            <w:tcW w:w="8280" w:type="dxa"/>
            <w:vAlign w:val="bottom"/>
            <w:gridSpan w:val="2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Where You Can Find More Information</w:t>
              </w:r>
            </w:hyperlink>
          </w:p>
        </w:tc>
        <w:tc>
          <w:tcPr>
            <w:tcW w:w="596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180" w:firstLine="799"/>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any related free writing prospectus, and our current and periodic reports filed from time to time with the SEC, as well as the additional information described under “Incorporation of Certain Documents by Reference” and “Where You Can Find More Information” in this prospectus supplement and the accompanying prospectus, before making an investment decision.</w:t>
      </w:r>
    </w:p>
    <w:p>
      <w:pPr>
        <w:spacing w:after="0" w:line="189" w:lineRule="exact"/>
        <w:rPr>
          <w:sz w:val="20"/>
          <w:szCs w:val="20"/>
          <w:color w:val="auto"/>
        </w:rPr>
      </w:pPr>
    </w:p>
    <w:p>
      <w:pPr>
        <w:ind w:right="80" w:firstLine="799"/>
        <w:spacing w:after="0" w:line="256" w:lineRule="auto"/>
        <w:rPr>
          <w:sz w:val="20"/>
          <w:szCs w:val="20"/>
          <w:color w:val="auto"/>
        </w:rPr>
      </w:pPr>
      <w:r>
        <w:rPr>
          <w:rFonts w:ascii="Times New Roman" w:cs="Times New Roman" w:eastAsia="Times New Roman" w:hAnsi="Times New Roman"/>
          <w:sz w:val="18"/>
          <w:szCs w:val="18"/>
          <w:color w:val="auto"/>
        </w:rPr>
        <w:t>In this prospectus supplement, unless the context indicates otherwise, for the periods on or subsequent to July 10, 2009, references to “we,” “our,” “us,” “ourselves,” the “Company,” “General Motors,” or “GM” refer to General Motors Company and, where appropriate, its subsidiaries. However, in the “Prospectus Supplement Summary—The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 General Motors Company is the successor entity solely for accounting and financial reporting purposes to General Motors Corporation.</w:t>
      </w:r>
    </w:p>
    <w:p>
      <w:pPr>
        <w:spacing w:after="0" w:line="188" w:lineRule="exact"/>
        <w:rPr>
          <w:sz w:val="20"/>
          <w:szCs w:val="20"/>
          <w:color w:val="auto"/>
        </w:rPr>
      </w:pPr>
    </w:p>
    <w:p>
      <w:pPr>
        <w:ind w:firstLine="799"/>
        <w:spacing w:after="0" w:line="255" w:lineRule="auto"/>
        <w:rPr>
          <w:sz w:val="20"/>
          <w:szCs w:val="20"/>
          <w:color w:val="auto"/>
        </w:rPr>
      </w:pPr>
      <w:r>
        <w:rPr>
          <w:rFonts w:ascii="Times New Roman" w:cs="Times New Roman" w:eastAsia="Times New Roman" w:hAnsi="Times New Roman"/>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to which we have referred you is accurate only as of their respective dates. Our business, financial condition, results of operations and prospects may have changed since those dates.</w:t>
      </w:r>
    </w:p>
    <w:p>
      <w:pPr>
        <w:spacing w:after="0" w:line="185" w:lineRule="exact"/>
        <w:rPr>
          <w:sz w:val="20"/>
          <w:szCs w:val="20"/>
          <w:color w:val="auto"/>
        </w:rPr>
      </w:pPr>
    </w:p>
    <w:p>
      <w:pPr>
        <w:jc w:val="both"/>
        <w:ind w:right="560" w:firstLine="799"/>
        <w:spacing w:after="0" w:line="266" w:lineRule="auto"/>
        <w:rPr>
          <w:sz w:val="20"/>
          <w:szCs w:val="20"/>
          <w:color w:val="auto"/>
        </w:rPr>
      </w:pPr>
      <w:r>
        <w:rPr>
          <w:rFonts w:ascii="Times New Roman" w:cs="Times New Roman" w:eastAsia="Times New Roman" w:hAnsi="Times New Roman"/>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799"/>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61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200" w:right="20" w:firstLine="775"/>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S-7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1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0" w:firstLine="775"/>
        <w:spacing w:after="0" w:line="282" w:lineRule="auto"/>
        <w:rPr>
          <w:sz w:val="20"/>
          <w:szCs w:val="20"/>
          <w:color w:val="auto"/>
        </w:rPr>
      </w:pPr>
      <w:r>
        <w:rPr>
          <w:rFonts w:ascii="Times New Roman" w:cs="Times New Roman" w:eastAsia="Times New Roman" w:hAnsi="Times New Roman"/>
          <w:sz w:val="18"/>
          <w:szCs w:val="18"/>
          <w:color w:val="auto"/>
        </w:rPr>
        <w:t>We design, build and sell cars, trucks and automobile parts worldwide. We also provide automotive financing services through General Motors Financial Company, Inc. (“GM Financial”).</w:t>
      </w:r>
    </w:p>
    <w:p>
      <w:pPr>
        <w:spacing w:after="0" w:line="162" w:lineRule="exact"/>
        <w:rPr>
          <w:sz w:val="20"/>
          <w:szCs w:val="20"/>
          <w:color w:val="auto"/>
        </w:rPr>
      </w:pPr>
    </w:p>
    <w:p>
      <w:pPr>
        <w:ind w:left="200" w:right="500" w:firstLine="775"/>
        <w:spacing w:after="0" w:line="282"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four automotive segments: GM North America, GM Europe (“GME”), GM International Operations and GM South America.</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200" w:firstLine="775"/>
        <w:spacing w:after="0" w:line="261" w:lineRule="auto"/>
        <w:rPr>
          <w:sz w:val="20"/>
          <w:szCs w:val="20"/>
          <w:color w:val="auto"/>
        </w:rPr>
      </w:pPr>
      <w:r>
        <w:rPr>
          <w:rFonts w:ascii="Times New Roman" w:cs="Times New Roman" w:eastAsia="Times New Roman" w:hAnsi="Times New Roman"/>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229" w:lineRule="exact"/>
        <w:rPr>
          <w:sz w:val="20"/>
          <w:szCs w:val="20"/>
          <w:color w:val="auto"/>
        </w:rPr>
      </w:pPr>
    </w:p>
    <w:p>
      <w:pPr>
        <w:ind w:left="200" w:right="60" w:firstLine="775"/>
        <w:spacing w:after="0" w:line="255" w:lineRule="auto"/>
        <w:rPr>
          <w:sz w:val="20"/>
          <w:szCs w:val="20"/>
          <w:color w:val="auto"/>
        </w:rPr>
      </w:pPr>
      <w:r>
        <w:rPr>
          <w:rFonts w:ascii="Times New Roman" w:cs="Times New Roman" w:eastAsia="Times New Roman" w:hAnsi="Times New Roman"/>
          <w:sz w:val="18"/>
          <w:szCs w:val="18"/>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 Inc.’s (“Ally Financial”) automotive finance and financial services businesses in Europe and Latin America during 2013. GM Financial expects to complete the acquisition of Ally Financial’s equity interest in its joint venture in China, which is subject to certain regulatory and other approvals, in late 2014 or as soon as practicable thereafter.</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200" w:right="40" w:firstLine="775"/>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supplement. We have included our website address in this prospectus supplement solely as a textual reference.</w:t>
      </w: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60"/>
          </w:cols>
          <w:pgMar w:left="240" w:top="455" w:right="3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41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200" w:right="300" w:firstLine="775"/>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4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General Motors Company</w:t>
            </w: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aggregate principal amount of</w:t>
            </w: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Senior Notes due 2025,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20" w:type="dxa"/>
            <w:vAlign w:val="bottom"/>
          </w:tcPr>
          <w:p>
            <w:pPr>
              <w:spacing w:after="0"/>
              <w:rPr>
                <w:sz w:val="24"/>
                <w:szCs w:val="24"/>
                <w:color w:val="auto"/>
              </w:rPr>
            </w:pP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aggregate principal amount of</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Senior Notes due 2035, and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4"/>
                <w:szCs w:val="24"/>
                <w:color w:val="auto"/>
              </w:rPr>
            </w:pP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aggregate principal amount of</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Senior Notes due 2045.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220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2014.</w:t>
            </w: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Dates</w:t>
            </w:r>
          </w:p>
        </w:tc>
        <w:tc>
          <w:tcPr>
            <w:tcW w:w="7620" w:type="dxa"/>
            <w:vAlign w:val="bottom"/>
            <w:gridSpan w:val="5"/>
          </w:tcPr>
          <w:p>
            <w:pPr>
              <w:ind w:left="1760"/>
              <w:spacing w:after="0"/>
              <w:rPr>
                <w:sz w:val="20"/>
                <w:szCs w:val="20"/>
                <w:color w:val="auto"/>
              </w:rPr>
            </w:pPr>
            <w:r>
              <w:rPr>
                <w:rFonts w:ascii="Times New Roman" w:cs="Times New Roman" w:eastAsia="Times New Roman" w:hAnsi="Times New Roman"/>
                <w:sz w:val="18"/>
                <w:szCs w:val="18"/>
                <w:color w:val="auto"/>
              </w:rPr>
              <w:t>The 2025 Notes will mature on April 1, 2025, the 2035 Notes will mature on</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712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April 1, 2035 and the 2045 Notes will mature on April 1, 2045.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Rates</w:t>
            </w:r>
          </w:p>
        </w:tc>
        <w:tc>
          <w:tcPr>
            <w:tcW w:w="7620" w:type="dxa"/>
            <w:vAlign w:val="bottom"/>
            <w:gridSpan w:val="5"/>
          </w:tcPr>
          <w:p>
            <w:pPr>
              <w:ind w:left="1760"/>
              <w:spacing w:after="0"/>
              <w:rPr>
                <w:sz w:val="20"/>
                <w:szCs w:val="20"/>
                <w:color w:val="auto"/>
              </w:rPr>
            </w:pPr>
            <w:r>
              <w:rPr>
                <w:rFonts w:ascii="Times New Roman" w:cs="Times New Roman" w:eastAsia="Times New Roman" w:hAnsi="Times New Roman"/>
                <w:sz w:val="18"/>
                <w:szCs w:val="18"/>
                <w:color w:val="auto"/>
              </w:rPr>
              <w:t>Interest on the 2025 Notes will accrue at a rate of   % per year, interest on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4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2035 Notes will accrue at a rate of</w:t>
            </w:r>
          </w:p>
        </w:tc>
        <w:tc>
          <w:tcPr>
            <w:tcW w:w="3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per year and interest on the 2045 Notes</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44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will accrue at a rate of   % per year.</w:t>
            </w: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12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Interest on the Notes will be paid semi-annually and in arrears 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220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2014.</w:t>
            </w:r>
          </w:p>
        </w:tc>
        <w:tc>
          <w:tcPr>
            <w:tcW w:w="2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commencing on</w:t>
            </w:r>
          </w:p>
        </w:tc>
        <w:tc>
          <w:tcPr>
            <w:tcW w:w="2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2015. Interest will accrue from</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Ranking of the Notes</w:t>
            </w:r>
          </w:p>
        </w:tc>
        <w:tc>
          <w:tcPr>
            <w:tcW w:w="712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The Notes will be our general unsecured obligations and will be: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equal in right of payment to all of our existing and future indebtedness</w:t>
            </w:r>
          </w:p>
        </w:tc>
        <w:tc>
          <w:tcPr>
            <w:tcW w:w="0" w:type="dxa"/>
            <w:vAlign w:val="bottom"/>
          </w:tcPr>
          <w:p>
            <w:pPr>
              <w:spacing w:after="0"/>
              <w:rPr>
                <w:sz w:val="1"/>
                <w:szCs w:val="1"/>
                <w:color w:val="auto"/>
              </w:rPr>
            </w:pPr>
          </w:p>
        </w:tc>
      </w:tr>
    </w:tbl>
    <w:p>
      <w:pPr>
        <w:ind w:left="6040"/>
        <w:spacing w:after="0"/>
        <w:rPr>
          <w:sz w:val="20"/>
          <w:szCs w:val="20"/>
          <w:color w:val="auto"/>
        </w:rPr>
      </w:pPr>
      <w:r>
        <w:rPr>
          <w:rFonts w:ascii="Times New Roman" w:cs="Times New Roman" w:eastAsia="Times New Roman" w:hAnsi="Times New Roman"/>
          <w:sz w:val="18"/>
          <w:szCs w:val="18"/>
          <w:color w:val="auto"/>
        </w:rPr>
        <w:t>and other obligations that are not, by their terms, expressly subordinated</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in right of payment to the Notes;</w:t>
      </w:r>
    </w:p>
    <w:p>
      <w:pPr>
        <w:spacing w:after="0" w:line="23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senior in right of payment to any of our existing or future indebtedness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and other obligations that are, by their terms, expressly subordinated in</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right of payment to the Notes;</w:t>
      </w:r>
    </w:p>
    <w:p>
      <w:pPr>
        <w:spacing w:after="0" w:line="23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effectively subordinated to all of our secured indebtedness and other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secured obligations to the</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68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extent of the value of the assets securing such secured indebtedness or</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other secured obligations; and</w:t>
            </w:r>
          </w:p>
        </w:tc>
      </w:tr>
      <w:tr>
        <w:trPr>
          <w:trHeight w:val="441"/>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 structurally subordinated to all indebtedness and other obligations of</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our subsidiaries.</w:t>
            </w:r>
          </w:p>
        </w:tc>
      </w:tr>
      <w:tr>
        <w:trPr>
          <w:trHeight w:val="441"/>
        </w:trPr>
        <w:tc>
          <w:tcPr>
            <w:tcW w:w="36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We may, at our option, redeem the Notes in whole or in part at any time and from</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time to time at redemption prices of 100% of their respective principal amounts</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plus an applicable “make-whole” premium as described under “Description of</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the Notes—Optional Redemption.”</w:t>
            </w:r>
          </w:p>
        </w:tc>
      </w:tr>
      <w:tr>
        <w:trPr>
          <w:trHeight w:val="441"/>
        </w:trPr>
        <w:tc>
          <w:tcPr>
            <w:tcW w:w="36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Certain Covenants</w:t>
            </w: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The Notes will be issued under the Indenture, which will contain covenants that</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will limit:</w:t>
            </w:r>
          </w:p>
        </w:tc>
      </w:tr>
      <w:tr>
        <w:trPr>
          <w:trHeight w:val="441"/>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 the ability of GM and certain of its subsidiaries to incur indebtedness</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secured by certain principal domestic manufacturing properties or by</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any shares of stock or indebtedness of certain manufacturing</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subsidiaries and to enter into certain sale and leaseback transactions</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with respect to certain principal domestic manufacturing properties; and</w:t>
            </w:r>
          </w:p>
        </w:tc>
      </w:tr>
      <w:tr>
        <w:trPr>
          <w:trHeight w:val="441"/>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 the ability of GM to enter into certain mergers or certain conveyances,</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transfers or leases of all or substantially all of its properties and assets.</w:t>
            </w:r>
          </w:p>
        </w:tc>
      </w:tr>
      <w:tr>
        <w:trPr>
          <w:trHeight w:val="441"/>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Each of these covenants, however, is subject to significant exceptions. See</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“Description of the Notes—Certain Covenants” in this prospectus supplement</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and “Description of Debt Securities—Consolidation, Merger or Sale of Assets”</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in the accompanying prospectus.</w:t>
            </w:r>
          </w:p>
        </w:tc>
      </w:tr>
      <w:tr>
        <w:trPr>
          <w:trHeight w:val="441"/>
        </w:trPr>
        <w:tc>
          <w:tcPr>
            <w:tcW w:w="36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Further Issuances</w:t>
            </w: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The Indenture does not limit the amount of Notes which we may issue. We may</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issue additional Notes up to an aggregate principal amount as our board of</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directors may authorize from time to time.</w:t>
            </w:r>
          </w:p>
        </w:tc>
      </w:tr>
      <w:tr>
        <w:trPr>
          <w:trHeight w:val="441"/>
        </w:trPr>
        <w:tc>
          <w:tcPr>
            <w:tcW w:w="36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 Prior Market</w:t>
            </w: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The Notes will be new securities for which there is currently no existing market.</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Although the</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underwriters have advised us that they currently intend to make a market in the</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Notes, they are not obligated to do so and may discontinue any market-making</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activities at any time without notice. Accordingly, we cannot assure you as to the</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liquidity of, or the trading market for, the Notes.</w:t>
            </w:r>
          </w:p>
        </w:tc>
      </w:tr>
      <w:tr>
        <w:trPr>
          <w:trHeight w:val="441"/>
        </w:trPr>
        <w:tc>
          <w:tcPr>
            <w:tcW w:w="36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Form and Denomination</w:t>
            </w: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The Notes will be issued in fully registered form and will be represented by</w:t>
            </w:r>
          </w:p>
        </w:tc>
      </w:tr>
      <w:tr>
        <w:trPr>
          <w:trHeight w:val="234"/>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global notes without interest coupons.</w:t>
            </w:r>
          </w:p>
        </w:tc>
      </w:tr>
      <w:tr>
        <w:trPr>
          <w:trHeight w:val="159"/>
        </w:trPr>
        <w:tc>
          <w:tcPr>
            <w:tcW w:w="3680" w:type="dxa"/>
            <w:vAlign w:val="bottom"/>
            <w:tcBorders>
              <w:left w:val="single" w:sz="8" w:color="auto"/>
              <w:bottom w:val="single" w:sz="8" w:color="auto"/>
            </w:tcBorders>
          </w:tcPr>
          <w:p>
            <w:pPr>
              <w:spacing w:after="0"/>
              <w:rPr>
                <w:sz w:val="13"/>
                <w:szCs w:val="13"/>
                <w:color w:val="auto"/>
              </w:rPr>
            </w:pPr>
          </w:p>
        </w:tc>
        <w:tc>
          <w:tcPr>
            <w:tcW w:w="7780" w:type="dxa"/>
            <w:vAlign w:val="bottom"/>
            <w:tcBorders>
              <w:bottom w:val="single" w:sz="8" w:color="auto"/>
              <w:right w:val="single" w:sz="8" w:color="auto"/>
            </w:tcBorders>
          </w:tcPr>
          <w:p>
            <w:pPr>
              <w:spacing w:after="0"/>
              <w:rPr>
                <w:sz w:val="13"/>
                <w:szCs w:val="13"/>
                <w:color w:val="auto"/>
              </w:rPr>
            </w:pPr>
          </w:p>
        </w:tc>
      </w:tr>
      <w:tr>
        <w:trPr>
          <w:trHeight w:val="361"/>
        </w:trPr>
        <w:tc>
          <w:tcPr>
            <w:tcW w:w="3680" w:type="dxa"/>
            <w:vAlign w:val="bottom"/>
          </w:tcPr>
          <w:p>
            <w:pPr>
              <w:spacing w:after="0"/>
              <w:rPr>
                <w:sz w:val="24"/>
                <w:szCs w:val="24"/>
                <w:color w:val="auto"/>
              </w:rPr>
            </w:pPr>
          </w:p>
        </w:tc>
        <w:tc>
          <w:tcPr>
            <w:tcW w:w="77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460"/>
          </w:cols>
          <w:pgMar w:left="240" w:top="455" w:right="1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380" w:type="dxa"/>
            <w:vAlign w:val="bottom"/>
            <w:tcBorders>
              <w:top w:val="single" w:sz="8" w:color="auto"/>
              <w:left w:val="single" w:sz="8" w:color="auto"/>
            </w:tcBorders>
          </w:tcPr>
          <w:p>
            <w:pPr>
              <w:spacing w:after="0"/>
              <w:rPr>
                <w:sz w:val="24"/>
                <w:szCs w:val="24"/>
                <w:color w:val="auto"/>
              </w:rPr>
            </w:pPr>
          </w:p>
        </w:tc>
        <w:tc>
          <w:tcPr>
            <w:tcW w:w="808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The global notes will be deposited with a custodian for and registered in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name of a nominee of The Depository Trust Company (“DTC”) in New York,</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New York. Investors may elect to hold interests in the global notes through DTC</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and its direct or indirect participants as described under “Description of Debt</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Securities—Book-Entry; Delivery and Form; Global Securities” in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accompanying prospectus. The Notes will be issued only in minimum</w:t>
            </w:r>
          </w:p>
        </w:tc>
      </w:tr>
      <w:tr>
        <w:trPr>
          <w:trHeight w:val="234"/>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denominations of $2,000 and integral multiples of $1,000 in excess thereof.</w:t>
            </w:r>
          </w:p>
        </w:tc>
      </w:tr>
      <w:tr>
        <w:trPr>
          <w:trHeight w:val="473"/>
        </w:trPr>
        <w:tc>
          <w:tcPr>
            <w:tcW w:w="33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Trustee</w:t>
            </w: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The Bank of New York Mellon (the “Trustee”).</w:t>
            </w:r>
          </w:p>
        </w:tc>
      </w:tr>
      <w:tr>
        <w:trPr>
          <w:trHeight w:val="454"/>
        </w:trPr>
        <w:tc>
          <w:tcPr>
            <w:tcW w:w="33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pay a portion of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redemption price to redeem all of the approximately 156.1 million outstanding</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shares of our Series A Fixed Rate Cumulative Perpetual Preferred Stock (“Series</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A Preferred Stock”) on or after December 31, 2014. If we redeem all of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outstanding shares of our Series A Preferred Stock, the total redemption price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would be their aggregate base liquidation amount of approximately $3.9 billion</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plus any accrued and unpaid dividends. We expect that we would use other cash</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on hand to fund any portion of the Series A Preferred Stock redemption price</w:t>
            </w:r>
          </w:p>
        </w:tc>
      </w:tr>
      <w:tr>
        <w:trPr>
          <w:trHeight w:val="234"/>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that exceeds our net proceeds from this offering.</w:t>
            </w:r>
          </w:p>
        </w:tc>
      </w:tr>
      <w:tr>
        <w:trPr>
          <w:trHeight w:val="441"/>
        </w:trPr>
        <w:tc>
          <w:tcPr>
            <w:tcW w:w="338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Although we intend to redeem all of our outstanding shares of Series A Preferred</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Stock when they become redeemable, we are not obligated to redeem the shares.</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In the event that we do not use all of the net proceeds from this offering to fund</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the redemption of outstanding shares of Series A Preferred Stock, we expect that</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we would use any such remaining net proceeds for general corporate purposes.</w:t>
            </w:r>
          </w:p>
        </w:tc>
      </w:tr>
      <w:tr>
        <w:trPr>
          <w:trHeight w:val="234"/>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See “Use of Proceeds.”</w:t>
            </w:r>
          </w:p>
        </w:tc>
      </w:tr>
      <w:tr>
        <w:trPr>
          <w:trHeight w:val="441"/>
        </w:trPr>
        <w:tc>
          <w:tcPr>
            <w:tcW w:w="33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See “Risk Factors” beginning on page S-7 of this prospectus supplement, in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accompanying prospectus and in our periodic reports filed from time to time with</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the SEC for a discussion of risks you should carefully consider before deciding</w:t>
            </w:r>
          </w:p>
        </w:tc>
      </w:tr>
      <w:tr>
        <w:trPr>
          <w:trHeight w:val="234"/>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to invest in the Notes.</w:t>
            </w:r>
          </w:p>
        </w:tc>
      </w:tr>
      <w:tr>
        <w:trPr>
          <w:trHeight w:val="159"/>
        </w:trPr>
        <w:tc>
          <w:tcPr>
            <w:tcW w:w="3380" w:type="dxa"/>
            <w:vAlign w:val="bottom"/>
            <w:tcBorders>
              <w:left w:val="single" w:sz="8" w:color="auto"/>
              <w:bottom w:val="single" w:sz="8" w:color="auto"/>
            </w:tcBorders>
          </w:tcPr>
          <w:p>
            <w:pPr>
              <w:spacing w:after="0"/>
              <w:rPr>
                <w:sz w:val="13"/>
                <w:szCs w:val="13"/>
                <w:color w:val="auto"/>
              </w:rPr>
            </w:pPr>
          </w:p>
        </w:tc>
        <w:tc>
          <w:tcPr>
            <w:tcW w:w="8080" w:type="dxa"/>
            <w:vAlign w:val="bottom"/>
            <w:tcBorders>
              <w:bottom w:val="single" w:sz="8" w:color="auto"/>
              <w:right w:val="single" w:sz="8" w:color="auto"/>
            </w:tcBorders>
          </w:tcPr>
          <w:p>
            <w:pPr>
              <w:spacing w:after="0"/>
              <w:rPr>
                <w:sz w:val="13"/>
                <w:szCs w:val="13"/>
                <w:color w:val="auto"/>
              </w:rPr>
            </w:pPr>
          </w:p>
        </w:tc>
      </w:tr>
      <w:tr>
        <w:trPr>
          <w:trHeight w:val="361"/>
        </w:trPr>
        <w:tc>
          <w:tcPr>
            <w:tcW w:w="3380" w:type="dxa"/>
            <w:vAlign w:val="bottom"/>
          </w:tcPr>
          <w:p>
            <w:pPr>
              <w:spacing w:after="0"/>
              <w:rPr>
                <w:sz w:val="24"/>
                <w:szCs w:val="24"/>
                <w:color w:val="auto"/>
              </w:rPr>
            </w:pPr>
          </w:p>
        </w:tc>
        <w:tc>
          <w:tcPr>
            <w:tcW w:w="80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460"/>
          </w:cols>
          <w:pgMar w:left="240" w:top="455" w:right="1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32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Information</w:t>
      </w:r>
    </w:p>
    <w:p>
      <w:pPr>
        <w:spacing w:after="0" w:line="229" w:lineRule="exact"/>
        <w:rPr>
          <w:sz w:val="20"/>
          <w:szCs w:val="20"/>
          <w:color w:val="auto"/>
        </w:rPr>
      </w:pPr>
    </w:p>
    <w:p>
      <w:pPr>
        <w:ind w:left="200" w:right="40" w:firstLine="775"/>
        <w:spacing w:after="0" w:line="253" w:lineRule="auto"/>
        <w:rPr>
          <w:sz w:val="20"/>
          <w:szCs w:val="20"/>
          <w:color w:val="auto"/>
        </w:rPr>
      </w:pPr>
      <w:r>
        <w:rPr>
          <w:rFonts w:ascii="Times New Roman" w:cs="Times New Roman" w:eastAsia="Times New Roman" w:hAnsi="Times New Roman"/>
          <w:sz w:val="18"/>
          <w:szCs w:val="18"/>
          <w:color w:val="auto"/>
        </w:rPr>
        <w:t>The following table presents summary consolidated financial data of GM and its consolidated subsidiaries. The summary consolidated financial data for the years ended December 31, 2013, 2012 and 2011 and as of December 31, 2013 and 2012 presented below were derived from GM’s audited annual consolidated financial statements and the notes thereto appearing in our Annual Report on Form 10-K for the year ended December 31, 2013, which is incorporated by reference in this prospectus supplement. The audited annual consolidated financial statements for the years ended December 31, 2013, 2012 and 2011 and as of December 31, 2013 and 2012 have been audited by Deloitte &amp; Touche LLP. The summary consolidated financial data as of December 31, 2011 presented below were derived from GM’s audited annual consolidated financial statements and the notes thereto, which are not incorporated by reference into this prospectus supplement. The summary interim consolidated financial data as of and for the nine months ended September 30, 2014 and 2013 presented below were derived from GM’s unaudited condensed consolidated financial statements and the notes thereto appearing in our Quarterly Report on Form 10-Q for the quarter ended September 30, 2014, which is incorporated by reference in this prospectus supplement. You should read the following information in conjunction with the section entitled “Management’s Discussion and Analysis of Financial Condition and Results of Operations” and GM’s consolidated financial statements and notes thereto included in our Annual Report on Form 10-K for the year ended December 31, 2013 and our Quarterly Report on Form 10-Q for the quarter ended September 30, 2014, which are incorporated by reference in this prospectus supplement. See “Incorporation of Certain Documents by Reference” and “Where You Can Find More Information.”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Selected financial data is summarized in the following table (dollars in millions except per share amounts):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2"/>
              </w:rPr>
              <w:t>2011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Statement Data:</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net sales and revenue(a)</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116,312</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114,942</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155,427</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152,256</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150,276</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operations(b)</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4,278</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5,331</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6,136</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9,287</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15"/>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stockholders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4,306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9,190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4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1,699</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2,857</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 earnings per share(c)</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share(c)</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0.99</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1.82</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2.92</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76"/>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 (as of period end):</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assets(a)</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176,908</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168,539</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166,344</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149,422</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144,603</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Automotive notes and loans payable</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7,331</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8,448</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5,295</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GM Financial notes and loans payable(a)</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33,774</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23,675</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29,046</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10,878</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8,538</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Stock(d)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5,536</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5,536</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B Preferred Stock(e)</w:t>
            </w:r>
          </w:p>
        </w:tc>
        <w:tc>
          <w:tcPr>
            <w:tcW w:w="160" w:type="dxa"/>
            <w:vAlign w:val="bottom"/>
          </w:tcPr>
          <w:p>
            <w:pPr>
              <w:spacing w:after="0"/>
              <w:rPr>
                <w:sz w:val="12"/>
                <w:szCs w:val="12"/>
                <w:color w:val="auto"/>
              </w:rPr>
            </w:pP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4,855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4,855</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4,855</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Equity(f)</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43,563</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37,361</w:t>
            </w:r>
          </w:p>
        </w:tc>
        <w:tc>
          <w:tcPr>
            <w:tcW w:w="3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43,174</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38,991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840" w:right="320" w:hanging="873"/>
        <w:spacing w:after="0" w:line="261"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Financial acquired Ally Financial’s international operations in Europe and Latin America in the year ended December 31, 2013.</w:t>
      </w:r>
    </w:p>
    <w:p>
      <w:pPr>
        <w:ind w:left="1840" w:right="20" w:hanging="873"/>
        <w:spacing w:after="0" w:line="255"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spacing w:after="0" w:line="2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607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1607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840" w:right="140" w:hanging="873"/>
        <w:spacing w:after="0" w:line="257" w:lineRule="auto"/>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years ended December 31, 2012 and 2011 we used the two-class method for calculating earnings per share as the 4.75% Series B Mandatory Convertible Junior Preferred Stock (“Series B Preferred Stock”) was a participating security due to the applicable market value of our common stock being below $33.00 per common share.</w:t>
      </w:r>
    </w:p>
    <w:p>
      <w:pPr>
        <w:spacing w:after="0" w:line="1" w:lineRule="exact"/>
        <w:rPr>
          <w:rFonts w:ascii="Times New Roman" w:cs="Times New Roman" w:eastAsia="Times New Roman" w:hAnsi="Times New Roman"/>
          <w:sz w:val="18"/>
          <w:szCs w:val="18"/>
          <w:color w:val="auto"/>
        </w:rPr>
      </w:pPr>
    </w:p>
    <w:p>
      <w:pPr>
        <w:ind w:left="1840" w:hanging="873"/>
        <w:spacing w:after="0" w:line="250" w:lineRule="auto"/>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2013 we purchased 120 million shares of our Series A Preferred Stock held by the UAW Retiree Medical Benefits Trust for $3.2 billion.</w:t>
      </w:r>
    </w:p>
    <w:p>
      <w:pPr>
        <w:ind w:left="1840" w:hanging="873"/>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2013 all of our Series B Preferred Stock automatically converted into 137 million shares of our common stock.</w:t>
      </w:r>
    </w:p>
    <w:p>
      <w:pPr>
        <w:spacing w:after="0" w:line="9" w:lineRule="exact"/>
        <w:rPr>
          <w:rFonts w:ascii="Times New Roman" w:cs="Times New Roman" w:eastAsia="Times New Roman" w:hAnsi="Times New Roman"/>
          <w:sz w:val="18"/>
          <w:szCs w:val="18"/>
          <w:color w:val="auto"/>
        </w:rPr>
      </w:pPr>
    </w:p>
    <w:p>
      <w:pPr>
        <w:ind w:left="1840" w:right="360" w:hanging="873"/>
        <w:spacing w:after="0" w:line="261" w:lineRule="auto"/>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2012 we purchased 200 million shares of our common stock for a total of $5.5 billion, which directly reduced shareholder’s equity by $5.1 billion and we recorded a charge to earnings of $0.4 billion.</w:t>
      </w:r>
    </w:p>
    <w:p>
      <w:pPr>
        <w:spacing w:after="0" w:line="179"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80"/>
          </w:cols>
          <w:pgMar w:left="240" w:top="455" w:right="5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799"/>
        <w:spacing w:after="0" w:line="261" w:lineRule="auto"/>
        <w:rPr>
          <w:sz w:val="20"/>
          <w:szCs w:val="20"/>
          <w:color w:val="auto"/>
        </w:rPr>
      </w:pPr>
      <w:r>
        <w:rPr>
          <w:rFonts w:ascii="Times New Roman" w:cs="Times New Roman" w:eastAsia="Times New Roman" w:hAnsi="Times New Roman"/>
          <w:sz w:val="18"/>
          <w:szCs w:val="18"/>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2013, as updated by our subsequent filings under the Exchange Act, including our Quarterly Reports on Form 10-Q and our Current Reports on Form 8-K and any amendments thereof, before investing in the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229" w:lineRule="exact"/>
        <w:rPr>
          <w:sz w:val="20"/>
          <w:szCs w:val="20"/>
          <w:color w:val="auto"/>
        </w:rPr>
      </w:pPr>
    </w:p>
    <w:p>
      <w:pPr>
        <w:ind w:right="20" w:firstLine="799"/>
        <w:spacing w:after="0" w:line="253" w:lineRule="auto"/>
        <w:rPr>
          <w:sz w:val="20"/>
          <w:szCs w:val="20"/>
          <w:color w:val="auto"/>
        </w:rPr>
      </w:pPr>
      <w:r>
        <w:rPr>
          <w:rFonts w:ascii="Times New Roman" w:cs="Times New Roman" w:eastAsia="Times New Roman" w:hAnsi="Times New Roman"/>
          <w:sz w:val="18"/>
          <w:szCs w:val="18"/>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September 30, 2014, we had total consolidated liabilities of approximately $133.3 billion (including consolidated indebtedness of approximately $41.1 billion), of which $4.5 billion constitutes indebtedness of General Motors Company (parent company only) under our existing 3.500% senior notes due 2018, 4.875% senior notes due 2023 and 6.250% senior notes due 2043 and substantially all of the remainder of which are liabilities of our subsidiaries.</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159" w:lineRule="exact"/>
        <w:rPr>
          <w:sz w:val="20"/>
          <w:szCs w:val="20"/>
          <w:color w:val="auto"/>
        </w:rPr>
      </w:pPr>
    </w:p>
    <w:p>
      <w:pPr>
        <w:ind w:right="60" w:firstLine="799"/>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Notes and our $4.5 billion of other senior notes, will depend to a significant extent on the generation of cash flow by our subsidiaries and their ability to make such cash available to us, whether by dividends, distributions or other payments.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Indenture will not:</w:t>
      </w:r>
    </w:p>
    <w:p>
      <w:pPr>
        <w:spacing w:after="0" w:line="252" w:lineRule="exact"/>
        <w:rPr>
          <w:sz w:val="20"/>
          <w:szCs w:val="20"/>
          <w:color w:val="auto"/>
        </w:rPr>
      </w:pPr>
    </w:p>
    <w:p>
      <w:pPr>
        <w:ind w:left="1480" w:right="140" w:hanging="675"/>
        <w:spacing w:after="0" w:line="266" w:lineRule="auto"/>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40" w:hanging="675"/>
        <w:spacing w:after="0" w:line="282"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188" w:lineRule="exact"/>
        <w:rPr>
          <w:rFonts w:ascii="Times New Roman" w:cs="Times New Roman" w:eastAsia="Times New Roman" w:hAnsi="Times New Roman"/>
          <w:sz w:val="18"/>
          <w:szCs w:val="18"/>
          <w:color w:val="auto"/>
        </w:rPr>
      </w:pPr>
    </w:p>
    <w:p>
      <w:pPr>
        <w:ind w:left="1480" w:right="380" w:hanging="675"/>
        <w:spacing w:after="0" w:line="282"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Notes to the extent of the value of the assets securing the indebtedness;</w:t>
      </w:r>
    </w:p>
    <w:p>
      <w:pPr>
        <w:spacing w:after="0" w:line="188" w:lineRule="exact"/>
        <w:rPr>
          <w:rFonts w:ascii="Times New Roman" w:cs="Times New Roman" w:eastAsia="Times New Roman" w:hAnsi="Times New Roman"/>
          <w:sz w:val="18"/>
          <w:szCs w:val="18"/>
          <w:color w:val="auto"/>
        </w:rPr>
      </w:pPr>
    </w:p>
    <w:p>
      <w:pPr>
        <w:ind w:left="1480" w:right="940" w:hanging="675"/>
        <w:spacing w:after="0" w:line="282"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Notes (other than certain secured indebtedness);</w:t>
      </w:r>
    </w:p>
    <w:p>
      <w:pPr>
        <w:spacing w:after="0" w:line="188" w:lineRule="exact"/>
        <w:rPr>
          <w:rFonts w:ascii="Times New Roman" w:cs="Times New Roman" w:eastAsia="Times New Roman" w:hAnsi="Times New Roman"/>
          <w:sz w:val="18"/>
          <w:szCs w:val="18"/>
          <w:color w:val="auto"/>
        </w:rPr>
      </w:pPr>
    </w:p>
    <w:p>
      <w:pPr>
        <w:ind w:left="1480" w:hanging="675"/>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252" w:lineRule="exact"/>
        <w:rPr>
          <w:rFonts w:ascii="Times New Roman" w:cs="Times New Roman" w:eastAsia="Times New Roman" w:hAnsi="Times New Roman"/>
          <w:sz w:val="18"/>
          <w:szCs w:val="18"/>
          <w:color w:val="auto"/>
        </w:rPr>
      </w:pPr>
    </w:p>
    <w:p>
      <w:pPr>
        <w:ind w:left="1480" w:right="760" w:hanging="675"/>
        <w:spacing w:after="0" w:line="282"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pay dividends or make other payments in respect of our equity securities or our other indebtedness;</w:t>
      </w:r>
    </w:p>
    <w:p>
      <w:pPr>
        <w:spacing w:after="0" w:line="188" w:lineRule="exact"/>
        <w:rPr>
          <w:rFonts w:ascii="Times New Roman" w:cs="Times New Roman" w:eastAsia="Times New Roman" w:hAnsi="Times New Roman"/>
          <w:sz w:val="18"/>
          <w:szCs w:val="18"/>
          <w:color w:val="auto"/>
        </w:rPr>
      </w:pPr>
    </w:p>
    <w:p>
      <w:pPr>
        <w:ind w:left="1480" w:hanging="675"/>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252" w:lineRule="exact"/>
        <w:rPr>
          <w:rFonts w:ascii="Times New Roman" w:cs="Times New Roman" w:eastAsia="Times New Roman" w:hAnsi="Times New Roman"/>
          <w:sz w:val="18"/>
          <w:szCs w:val="18"/>
          <w:color w:val="auto"/>
        </w:rPr>
      </w:pPr>
    </w:p>
    <w:p>
      <w:pPr>
        <w:ind w:left="1480" w:hanging="675"/>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Notes in the event of a change in control transaction.</w:t>
      </w:r>
    </w:p>
    <w:p>
      <w:pPr>
        <w:spacing w:after="0" w:line="225" w:lineRule="exact"/>
        <w:rPr>
          <w:sz w:val="20"/>
          <w:szCs w:val="20"/>
          <w:color w:val="auto"/>
        </w:rPr>
      </w:pPr>
    </w:p>
    <w:p>
      <w:pPr>
        <w:ind w:right="300" w:firstLine="799"/>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unsecured and will be effectively subordinated to any of our secured debt.</w:t>
      </w:r>
    </w:p>
    <w:p>
      <w:pPr>
        <w:spacing w:after="0" w:line="229" w:lineRule="exact"/>
        <w:rPr>
          <w:sz w:val="20"/>
          <w:szCs w:val="20"/>
          <w:color w:val="auto"/>
        </w:rPr>
      </w:pPr>
    </w:p>
    <w:p>
      <w:pPr>
        <w:ind w:right="40" w:firstLine="799"/>
        <w:spacing w:after="0" w:line="258" w:lineRule="auto"/>
        <w:rPr>
          <w:sz w:val="20"/>
          <w:szCs w:val="20"/>
          <w:color w:val="auto"/>
        </w:rPr>
      </w:pPr>
      <w:r>
        <w:rPr>
          <w:rFonts w:ascii="Times New Roman" w:cs="Times New Roman" w:eastAsia="Times New Roman" w:hAnsi="Times New Roman"/>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or any of our subsidiaries defaults on obligations to pay indebtedness, we may not be able to make payments on the Notes.</w:t>
      </w:r>
    </w:p>
    <w:p>
      <w:pPr>
        <w:spacing w:after="0" w:line="229" w:lineRule="exact"/>
        <w:rPr>
          <w:sz w:val="20"/>
          <w:szCs w:val="20"/>
          <w:color w:val="auto"/>
        </w:rPr>
      </w:pPr>
    </w:p>
    <w:p>
      <w:pPr>
        <w:ind w:firstLine="799"/>
        <w:spacing w:after="0" w:line="254" w:lineRule="auto"/>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our $5.0 billion revolving credit facility by us or certain of our subsidiaries and any default under our $7.5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currently no market for the Notes, and we cannot assure you that an active trading market for the Notes will develop.</w:t>
      </w:r>
    </w:p>
    <w:p>
      <w:pPr>
        <w:spacing w:after="0" w:line="229" w:lineRule="exact"/>
        <w:rPr>
          <w:sz w:val="20"/>
          <w:szCs w:val="20"/>
          <w:color w:val="auto"/>
        </w:rPr>
      </w:pPr>
    </w:p>
    <w:p>
      <w:pPr>
        <w:ind w:firstLine="799"/>
        <w:spacing w:after="0" w:line="255" w:lineRule="auto"/>
        <w:rPr>
          <w:sz w:val="20"/>
          <w:szCs w:val="20"/>
          <w:color w:val="auto"/>
        </w:rPr>
      </w:pPr>
      <w:r>
        <w:rPr>
          <w:rFonts w:ascii="Times New Roman" w:cs="Times New Roman" w:eastAsia="Times New Roman" w:hAnsi="Times New Roman"/>
          <w:sz w:val="18"/>
          <w:szCs w:val="18"/>
          <w:color w:val="auto"/>
        </w:rPr>
        <w:t>The Notes will be new securities for which there currently is no established market. The Notes will not be listed on any securities exchange. We can give you no assurance as to whether any trading market for the Notes will ever develop, as to your ability to sell the Notes or as to the prices at which you may be able to sell your Notes. The liquidity of any market for the Notes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intend to make a market in the Notes. However, they are not obligated to do so and may discontinue such market-making at any time without notice. If no active trading market develops, you may be unable to resell the Notes at their fair value or at any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 trading market does develop, changes in our credit ratings or the debt markets could adversely affect the market prices of the Notes.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 among others:</w:t>
      </w:r>
    </w:p>
    <w:p>
      <w:pPr>
        <w:spacing w:after="0" w:line="252" w:lineRule="exact"/>
        <w:rPr>
          <w:sz w:val="20"/>
          <w:szCs w:val="20"/>
          <w:color w:val="auto"/>
        </w:rPr>
      </w:pPr>
    </w:p>
    <w:p>
      <w:pPr>
        <w:ind w:left="1480" w:hanging="675"/>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Notes, assigned by rating agencies;</w:t>
      </w:r>
    </w:p>
    <w:p>
      <w:pPr>
        <w:spacing w:after="0" w:line="252" w:lineRule="exact"/>
        <w:rPr>
          <w:rFonts w:ascii="Times New Roman" w:cs="Times New Roman" w:eastAsia="Times New Roman" w:hAnsi="Times New Roman"/>
          <w:sz w:val="18"/>
          <w:szCs w:val="18"/>
          <w:color w:val="auto"/>
        </w:rPr>
      </w:pPr>
    </w:p>
    <w:p>
      <w:pPr>
        <w:ind w:left="1480" w:hanging="675"/>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252" w:lineRule="exact"/>
        <w:rPr>
          <w:rFonts w:ascii="Times New Roman" w:cs="Times New Roman" w:eastAsia="Times New Roman" w:hAnsi="Times New Roman"/>
          <w:sz w:val="18"/>
          <w:szCs w:val="18"/>
          <w:color w:val="auto"/>
        </w:rPr>
      </w:pPr>
    </w:p>
    <w:p>
      <w:pPr>
        <w:ind w:left="1480" w:hanging="675"/>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252" w:lineRule="exact"/>
        <w:rPr>
          <w:rFonts w:ascii="Times New Roman" w:cs="Times New Roman" w:eastAsia="Times New Roman" w:hAnsi="Times New Roman"/>
          <w:sz w:val="18"/>
          <w:szCs w:val="18"/>
          <w:color w:val="auto"/>
        </w:rPr>
      </w:pPr>
    </w:p>
    <w:p>
      <w:pPr>
        <w:ind w:left="1480" w:hanging="675"/>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225" w:lineRule="exact"/>
        <w:rPr>
          <w:sz w:val="20"/>
          <w:szCs w:val="20"/>
          <w:color w:val="auto"/>
        </w:rPr>
      </w:pPr>
    </w:p>
    <w:p>
      <w:pPr>
        <w:ind w:right="200" w:firstLine="799"/>
        <w:spacing w:after="0" w:line="266" w:lineRule="auto"/>
        <w:rPr>
          <w:sz w:val="20"/>
          <w:szCs w:val="20"/>
          <w:color w:val="auto"/>
        </w:rPr>
      </w:pPr>
      <w:r>
        <w:rPr>
          <w:rFonts w:ascii="Times New Roman" w:cs="Times New Roman" w:eastAsia="Times New Roman" w:hAnsi="Times New Roman"/>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76" w:lineRule="exact"/>
        <w:rPr>
          <w:sz w:val="20"/>
          <w:szCs w:val="20"/>
          <w:color w:val="auto"/>
        </w:rPr>
      </w:pPr>
    </w:p>
    <w:p>
      <w:pPr>
        <w:ind w:right="400" w:firstLine="799"/>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799"/>
        <w:spacing w:after="0" w:line="255" w:lineRule="auto"/>
        <w:rPr>
          <w:sz w:val="20"/>
          <w:szCs w:val="20"/>
          <w:color w:val="auto"/>
        </w:rPr>
      </w:pPr>
      <w:r>
        <w:rPr>
          <w:rFonts w:ascii="Times New Roman" w:cs="Times New Roman" w:eastAsia="Times New Roman" w:hAnsi="Times New Roman"/>
          <w:sz w:val="18"/>
          <w:szCs w:val="18"/>
          <w:color w:val="auto"/>
        </w:rPr>
        <w:t>We expect to receive total net proceeds of approximately $ billion from the issuance of the Notes, after underwriter discounts and payment of our other offering expenses. We intend to use the net proceeds from this offering to pay a portion of the redemption price to redeem all of the approximately 156.1 million outstanding shares of our Series A Preferred Stock on or after December 31, 2014. These shares are redeemable at our option, in whole or in part, at any time on or after December 31, 2014 at a redemption price per share equal to their base liquidation amount of $25 per share plus any accrued and unpaid dividends. These shares accrue cumulative dividends at a 9.0% annual rate. If we redeem all of the outstanding shares of our Series A Preferred Stock, the total redemption price would be their aggregate base liquidation amount of approximately $3.9 billion plus any accrued and unpaid dividends. We expect that we would use other cash on hand to fund any portion of the Series A Preferred Stock redemption price that exceeds our net proceeds from this offering.</w:t>
      </w:r>
    </w:p>
    <w:p>
      <w:pPr>
        <w:spacing w:after="0" w:line="189" w:lineRule="exact"/>
        <w:rPr>
          <w:sz w:val="20"/>
          <w:szCs w:val="20"/>
          <w:color w:val="auto"/>
        </w:rPr>
      </w:pPr>
    </w:p>
    <w:p>
      <w:pPr>
        <w:ind w:firstLine="799"/>
        <w:spacing w:after="0" w:line="266" w:lineRule="auto"/>
        <w:rPr>
          <w:sz w:val="20"/>
          <w:szCs w:val="20"/>
          <w:color w:val="auto"/>
        </w:rPr>
      </w:pPr>
      <w:r>
        <w:rPr>
          <w:rFonts w:ascii="Times New Roman" w:cs="Times New Roman" w:eastAsia="Times New Roman" w:hAnsi="Times New Roman"/>
          <w:sz w:val="18"/>
          <w:szCs w:val="18"/>
          <w:color w:val="auto"/>
        </w:rPr>
        <w:t>Although we intend to redeem all of our outstanding shares of Series A Preferred Stock when they become redeemable, we are not obligated to redeem the shares. In the event that we do not use all of the net proceeds from this offering to fund the redemption of outstanding shares of Series A Preferred Stock, we expect that we would use any such remaining net proceeds for general corporate purposes.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Until we use the net proceeds from this offering, we intend to invest the funds in short-term investments, including marketable securities.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RATIO OF EARNINGS TO FIXED CHARGES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following table presents the consolidated ratio of our earnings to fixed charges for each of the periods indicated:</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25"/>
        </w:trPr>
        <w:tc>
          <w:tcPr>
            <w:tcW w:w="2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62"/>
        </w:trPr>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auto"/>
            </w:tcBorders>
            <w:gridSpan w:val="2"/>
          </w:tcPr>
          <w:p>
            <w:pPr>
              <w:jc w:val="center"/>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July 10, 2009</w:t>
            </w:r>
          </w:p>
        </w:tc>
        <w:tc>
          <w:tcPr>
            <w:tcW w:w="4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740" w:type="dxa"/>
            <w:vAlign w:val="bottom"/>
          </w:tcPr>
          <w:p>
            <w:pPr>
              <w:spacing w:after="0"/>
              <w:rPr>
                <w:sz w:val="12"/>
                <w:szCs w:val="12"/>
                <w:color w:val="auto"/>
              </w:rPr>
            </w:pPr>
          </w:p>
        </w:tc>
        <w:tc>
          <w:tcPr>
            <w:tcW w:w="740" w:type="dxa"/>
            <w:vAlign w:val="bottom"/>
          </w:tcPr>
          <w:p>
            <w:pPr>
              <w:jc w:val="right"/>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July 9,</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8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400" w:type="dxa"/>
            <w:vAlign w:val="bottom"/>
            <w:tcBorders>
              <w:bottom w:val="single" w:sz="8" w:color="CCEEFF"/>
              <w:right w:val="single" w:sz="8" w:color="auto"/>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2009(a)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5.85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7.90</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5.93</w:t>
            </w:r>
          </w:p>
        </w:tc>
        <w:tc>
          <w:tcPr>
            <w:tcW w:w="4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700" w:hanging="895"/>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 January 1, 2009 through July 9, 2009 include reorganization gains, net of $128.2 billion.</w:t>
      </w:r>
    </w:p>
    <w:p>
      <w:pPr>
        <w:spacing w:after="0" w:line="252" w:lineRule="exact"/>
        <w:rPr>
          <w:rFonts w:ascii="Times New Roman" w:cs="Times New Roman" w:eastAsia="Times New Roman" w:hAnsi="Times New Roman"/>
          <w:sz w:val="18"/>
          <w:szCs w:val="18"/>
          <w:color w:val="auto"/>
        </w:rPr>
      </w:pPr>
    </w:p>
    <w:p>
      <w:pPr>
        <w:ind w:left="1700" w:right="20" w:hanging="895"/>
        <w:spacing w:after="0" w:line="266"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 the year ended December 31, 2012 and the period July 10, 2009 through December 31, 2009 were inadequate to cover fixed charges. Additional earnings of $28.8 billion and $4.9 billion in the year ended December 31, 2012 and the period July 10, 2009 through December 31, 2009 would have been necessary to bring ratios for these periods to 1.0.</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799"/>
        <w:spacing w:after="0" w:line="258" w:lineRule="auto"/>
        <w:rPr>
          <w:sz w:val="20"/>
          <w:szCs w:val="20"/>
          <w:color w:val="auto"/>
        </w:rPr>
      </w:pPr>
      <w:r>
        <w:rPr>
          <w:rFonts w:ascii="Times New Roman" w:cs="Times New Roman" w:eastAsia="Times New Roman" w:hAnsi="Times New Roman"/>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second supplemental indenture (the “Supplemental Indenture”) to be dated on or about November , 2014 between us and the Trustee. The Base Indenture and the Supplemental Indenture, each as amended and supplemented, are together referred to herein as the “Indenture.” The Indenture and the Notes are governed by, and construed in accordance with, the laws of the State of New York, United States.</w:t>
      </w:r>
    </w:p>
    <w:p>
      <w:pPr>
        <w:spacing w:after="0" w:line="184" w:lineRule="exact"/>
        <w:rPr>
          <w:sz w:val="20"/>
          <w:szCs w:val="20"/>
          <w:color w:val="auto"/>
        </w:rPr>
      </w:pPr>
    </w:p>
    <w:p>
      <w:pPr>
        <w:ind w:firstLine="799"/>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88" w:lineRule="exact"/>
        <w:rPr>
          <w:sz w:val="20"/>
          <w:szCs w:val="20"/>
          <w:color w:val="auto"/>
        </w:rPr>
      </w:pPr>
    </w:p>
    <w:p>
      <w:pPr>
        <w:ind w:right="40" w:firstLine="799"/>
        <w:spacing w:after="0" w:line="261" w:lineRule="auto"/>
        <w:rPr>
          <w:sz w:val="20"/>
          <w:szCs w:val="20"/>
          <w:color w:val="auto"/>
        </w:rPr>
      </w:pPr>
      <w:r>
        <w:rPr>
          <w:rFonts w:ascii="Times New Roman" w:cs="Times New Roman" w:eastAsia="Times New Roman" w:hAnsi="Times New Roman"/>
          <w:sz w:val="18"/>
          <w:szCs w:val="18"/>
          <w:color w:val="auto"/>
        </w:rPr>
        <w:t>The Notes will be senior, unsecured obligations of GM and will rank equally with all other unsecured and unsubordinated indebtedness of GM (other than obligations preferred by mandatory provisions of law). The 2025 Notes will mature on April 1, 2025, the 2035 Notes will mature on April 1, 2035 and the 2045 Notes will mature on April 1, 2045; in each case unless we redeem such Notes prior to their respective maturity dates, as described below under “—Optional Redemption.”</w:t>
      </w:r>
    </w:p>
    <w:p>
      <w:pPr>
        <w:spacing w:after="0" w:line="180" w:lineRule="exact"/>
        <w:rPr>
          <w:sz w:val="20"/>
          <w:szCs w:val="20"/>
          <w:color w:val="auto"/>
        </w:rPr>
      </w:pPr>
    </w:p>
    <w:p>
      <w:pPr>
        <w:ind w:right="520" w:firstLine="799"/>
        <w:spacing w:after="0" w:line="266" w:lineRule="auto"/>
        <w:rPr>
          <w:sz w:val="20"/>
          <w:szCs w:val="20"/>
          <w:color w:val="auto"/>
        </w:rPr>
      </w:pPr>
      <w:r>
        <w:rPr>
          <w:rFonts w:ascii="Times New Roman" w:cs="Times New Roman" w:eastAsia="Times New Roman" w:hAnsi="Times New Roman"/>
          <w:sz w:val="18"/>
          <w:szCs w:val="18"/>
          <w:color w:val="auto"/>
        </w:rPr>
        <w:t xml:space="preserve">The Notes will be issued in book-entry form only through the facilities of DTC, including its participants,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See “Description of Debt Securities—Book-Entry; Delivery and Form; Global Securities” in the accompanying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229" w:lineRule="exact"/>
        <w:rPr>
          <w:sz w:val="20"/>
          <w:szCs w:val="20"/>
          <w:color w:val="auto"/>
        </w:rPr>
      </w:pPr>
    </w:p>
    <w:p>
      <w:pPr>
        <w:ind w:right="60" w:firstLine="799"/>
        <w:spacing w:after="0" w:line="261" w:lineRule="auto"/>
        <w:rPr>
          <w:sz w:val="20"/>
          <w:szCs w:val="20"/>
          <w:color w:val="auto"/>
        </w:rPr>
      </w:pPr>
      <w:r>
        <w:rPr>
          <w:rFonts w:ascii="Times New Roman" w:cs="Times New Roman" w:eastAsia="Times New Roman" w:hAnsi="Times New Roman"/>
          <w:sz w:val="18"/>
          <w:szCs w:val="18"/>
          <w:color w:val="auto"/>
        </w:rPr>
        <w:t>The 2025 Notes will initially be limited to $ aggregate principal amount, the 2035 Notes will initially be limited to $ aggregate principal amount and the 2045 Notes will initially be limited to $ aggregate principal amount. The 2025 Notes will bear interest at a rate of % per annum, the</w:t>
      </w:r>
    </w:p>
    <w:p>
      <w:pPr>
        <w:spacing w:after="0"/>
        <w:tabs>
          <w:tab w:leader="none" w:pos="3100" w:val="left"/>
          <w:tab w:leader="none" w:pos="7800" w:val="left"/>
        </w:tabs>
        <w:rPr>
          <w:sz w:val="20"/>
          <w:szCs w:val="20"/>
          <w:color w:val="auto"/>
        </w:rPr>
      </w:pPr>
      <w:r>
        <w:rPr>
          <w:rFonts w:ascii="Times New Roman" w:cs="Times New Roman" w:eastAsia="Times New Roman" w:hAnsi="Times New Roman"/>
          <w:sz w:val="18"/>
          <w:szCs w:val="18"/>
          <w:color w:val="auto"/>
        </w:rPr>
        <w:t>2035 Notes will bear interest at a rate of</w:t>
        <w:tab/>
        <w:t>% per annum and the 2045 Notes will bear interest at a rate of</w:t>
      </w:r>
      <w:r>
        <w:rPr>
          <w:sz w:val="20"/>
          <w:szCs w:val="20"/>
          <w:color w:val="auto"/>
        </w:rPr>
        <w:tab/>
      </w:r>
      <w:r>
        <w:rPr>
          <w:rFonts w:ascii="Times New Roman" w:cs="Times New Roman" w:eastAsia="Times New Roman" w:hAnsi="Times New Roman"/>
          <w:sz w:val="17"/>
          <w:szCs w:val="17"/>
          <w:color w:val="auto"/>
        </w:rPr>
        <w:t>% per annum. The Notes will accrue interest,</w:t>
      </w:r>
    </w:p>
    <w:p>
      <w:pPr>
        <w:spacing w:after="0" w:line="393"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calculated on the basis of a 360-day year consisting of twelve 30-day months, from , 2014, or from the most recent interest payment date to which interest has been paid or duly provided for, which will be payable in arrears on and of each year, with the first payment to be made on , 2015, to the person in whose name the Notes are registered at the close of business on the or , as the case may be, next</w:t>
      </w:r>
    </w:p>
    <w:p>
      <w:pPr>
        <w:spacing w:after="0" w:line="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preceding the relevant interest payment date. The Notes will be issued in fully registered form only, in denominations of $2,000 and integral multiples of $1,000 in excess thereof.</w:t>
      </w:r>
    </w:p>
    <w:p>
      <w:pPr>
        <w:spacing w:after="0" w:line="180" w:lineRule="exact"/>
        <w:rPr>
          <w:sz w:val="20"/>
          <w:szCs w:val="20"/>
          <w:color w:val="auto"/>
        </w:rPr>
      </w:pPr>
    </w:p>
    <w:p>
      <w:pPr>
        <w:ind w:right="180" w:firstLine="799"/>
        <w:spacing w:after="0" w:line="258" w:lineRule="auto"/>
        <w:rPr>
          <w:sz w:val="20"/>
          <w:szCs w:val="20"/>
          <w:color w:val="auto"/>
        </w:rPr>
      </w:pPr>
      <w:r>
        <w:rPr>
          <w:rFonts w:ascii="Times New Roman" w:cs="Times New Roman" w:eastAsia="Times New Roman" w:hAnsi="Times New Roman"/>
          <w:sz w:val="18"/>
          <w:szCs w:val="18"/>
          <w:color w:val="auto"/>
        </w:rPr>
        <w:t>Amounts due on the respective stated maturity date or earlier redemption date of the Notes will be payable at the corporate trust office of the Trustee, which at the date hereof is 101 Barclay Street, Floor 7W, New York, NY 10286, Attention: Corporate Trust Division.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799"/>
        <w:spacing w:after="0" w:line="274" w:lineRule="auto"/>
        <w:rPr>
          <w:sz w:val="20"/>
          <w:szCs w:val="20"/>
          <w:color w:val="auto"/>
        </w:rPr>
      </w:pPr>
      <w:r>
        <w:rPr>
          <w:rFonts w:ascii="Times New Roman" w:cs="Times New Roman" w:eastAsia="Times New Roman" w:hAnsi="Times New Roman"/>
          <w:sz w:val="17"/>
          <w:szCs w:val="17"/>
          <w:color w:val="auto"/>
        </w:rPr>
        <w:t>If any interest payment date, stated maturity date or earlier redemption date falls on a day that is not a business day in The City of New York,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 As used in the Indenture, the term “business day” means, with respect to any place of payment or any other specified location, each Monday, Tuesday, Wednesday, Thursday and Friday that is not a day on which banking institutions are authorized or obligated by law, regulation or executive order to close in that place of payment, such other location or the city in which the corporate trust office of the Trustee is located.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229" w:lineRule="exact"/>
        <w:rPr>
          <w:sz w:val="20"/>
          <w:szCs w:val="20"/>
          <w:color w:val="auto"/>
        </w:rPr>
      </w:pPr>
    </w:p>
    <w:p>
      <w:pPr>
        <w:ind w:firstLine="799"/>
        <w:spacing w:after="0" w:line="255" w:lineRule="auto"/>
        <w:rPr>
          <w:sz w:val="20"/>
          <w:szCs w:val="20"/>
          <w:color w:val="auto"/>
        </w:rPr>
      </w:pPr>
      <w:r>
        <w:rPr>
          <w:rFonts w:ascii="Times New Roman" w:cs="Times New Roman" w:eastAsia="Times New Roman" w:hAnsi="Times New Roman"/>
          <w:sz w:val="18"/>
          <w:szCs w:val="18"/>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ind w:right="80" w:firstLine="799"/>
        <w:spacing w:after="0" w:line="261" w:lineRule="auto"/>
        <w:rPr>
          <w:sz w:val="20"/>
          <w:szCs w:val="20"/>
          <w:color w:val="auto"/>
        </w:rPr>
      </w:pPr>
      <w:r>
        <w:rPr>
          <w:rFonts w:ascii="Times New Roman" w:cs="Times New Roman" w:eastAsia="Times New Roman" w:hAnsi="Times New Roman"/>
          <w:sz w:val="18"/>
          <w:szCs w:val="18"/>
          <w:color w:val="auto"/>
        </w:rPr>
        <w:t>We may, at our option, redeem some or all of the Notes at any time and from time to time at a redemption price equal to the greater of the following amounts, plus, in each case, accrued and unpaid interest on the principal amount being redeemed to, but excluding, the applicable redemption date:</w:t>
      </w:r>
    </w:p>
    <w:p>
      <w:pPr>
        <w:ind w:left="220" w:hanging="212"/>
        <w:spacing w:after="0"/>
        <w:tabs>
          <w:tab w:leader="none" w:pos="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 (ii) as determined by us, the sum of the present values of the remaining scheduled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and interest on the Notes to be redeemed (not including any portion of payments of interest accrued as of the applicable redemption</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date), discounted to the applicable redemption date on a semi-annual basis at a rate equal to (A) the sum of the Treasury Rate plus basis points in the case of the 2025 Notes, (B) the sum of the Treasury Rate plus basis points in the case of the 2035 Notes and (C) the sum of the Treasury Rate plus</w:t>
      </w:r>
    </w:p>
    <w:p>
      <w:pPr>
        <w:spacing w:after="0" w:line="378" w:lineRule="exact"/>
        <w:rPr>
          <w:sz w:val="20"/>
          <w:szCs w:val="20"/>
          <w:color w:val="auto"/>
        </w:rPr>
      </w:pPr>
    </w:p>
    <w:p>
      <w:pPr>
        <w:ind w:right="40" w:firstLine="799"/>
        <w:spacing w:after="0" w:line="282" w:lineRule="auto"/>
        <w:rPr>
          <w:sz w:val="20"/>
          <w:szCs w:val="20"/>
          <w:color w:val="auto"/>
        </w:rPr>
      </w:pPr>
      <w:r>
        <w:rPr>
          <w:rFonts w:ascii="Times New Roman" w:cs="Times New Roman" w:eastAsia="Times New Roman" w:hAnsi="Times New Roman"/>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60" w:lineRule="exact"/>
        <w:rPr>
          <w:sz w:val="20"/>
          <w:szCs w:val="20"/>
          <w:color w:val="auto"/>
        </w:rPr>
      </w:pPr>
    </w:p>
    <w:p>
      <w:pPr>
        <w:ind w:right="40" w:firstLine="7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74" w:lineRule="exact"/>
        <w:rPr>
          <w:sz w:val="20"/>
          <w:szCs w:val="20"/>
          <w:color w:val="auto"/>
        </w:rPr>
      </w:pPr>
    </w:p>
    <w:p>
      <w:pPr>
        <w:jc w:val="both"/>
        <w:ind w:right="320" w:firstLine="7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as determined by us,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74" w:lineRule="exact"/>
        <w:rPr>
          <w:sz w:val="20"/>
          <w:szCs w:val="20"/>
          <w:color w:val="auto"/>
        </w:rPr>
      </w:pPr>
    </w:p>
    <w:p>
      <w:pPr>
        <w:ind w:right="20" w:firstLine="7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(i) each of J.P. Morgan Securities LLC, Goldman, Sachs &amp; Co. and Morgan Stanley &amp; Co. LLC and their respective successors, unless any of them ceases to be a primary United States Government securities dealer in New York City (a “Primary Treasury Dealer”), in which case we will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substitute therefor another nationally recognized investment banking firm that is a Primary Treasury Dealer and (ii) two other nationally recognized investment banking firms that are Primary Treasury Dealers as selected by us.</w:t>
      </w:r>
    </w:p>
    <w:p>
      <w:pPr>
        <w:spacing w:after="0" w:line="160" w:lineRule="exact"/>
        <w:rPr>
          <w:sz w:val="20"/>
          <w:szCs w:val="20"/>
          <w:color w:val="auto"/>
        </w:rPr>
      </w:pPr>
    </w:p>
    <w:p>
      <w:pPr>
        <w:ind w:right="280" w:firstLine="7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74" w:lineRule="exact"/>
        <w:rPr>
          <w:sz w:val="20"/>
          <w:szCs w:val="20"/>
          <w:color w:val="auto"/>
        </w:rPr>
      </w:pPr>
    </w:p>
    <w:p>
      <w:pPr>
        <w:jc w:val="both"/>
        <w:ind w:right="540" w:firstLine="7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799"/>
        <w:spacing w:after="0" w:line="266" w:lineRule="auto"/>
        <w:rPr>
          <w:sz w:val="20"/>
          <w:szCs w:val="20"/>
          <w:color w:val="auto"/>
        </w:rPr>
      </w:pPr>
      <w:r>
        <w:rPr>
          <w:rFonts w:ascii="Times New Roman" w:cs="Times New Roman" w:eastAsia="Times New Roman" w:hAnsi="Times New Roman"/>
          <w:sz w:val="18"/>
          <w:szCs w:val="18"/>
          <w:color w:val="auto"/>
        </w:rPr>
        <w:t>We will give notice of any redemption, mailed not less than 30 days nor more than 60 days before the applicable redemption date, to each holder of the Notes to be redeemed at such holder’s email address or physical address appearing in the security register of the Notes. If we redeem less than all of the Notes, the Trustee will select the particular Notes to be redeemed by lot, on a pro rata basis or by another method the Trustee deems fair and appropriate.</w:t>
      </w:r>
    </w:p>
    <w:p>
      <w:pPr>
        <w:spacing w:after="0" w:line="176" w:lineRule="exact"/>
        <w:rPr>
          <w:sz w:val="20"/>
          <w:szCs w:val="20"/>
          <w:color w:val="auto"/>
        </w:rPr>
      </w:pPr>
    </w:p>
    <w:p>
      <w:pPr>
        <w:ind w:right="40" w:firstLine="799"/>
        <w:spacing w:after="0" w:line="282" w:lineRule="auto"/>
        <w:rPr>
          <w:sz w:val="20"/>
          <w:szCs w:val="20"/>
          <w:color w:val="auto"/>
        </w:rPr>
      </w:pPr>
      <w:r>
        <w:rPr>
          <w:rFonts w:ascii="Times New Roman" w:cs="Times New Roman" w:eastAsia="Times New Roman" w:hAnsi="Times New Roman"/>
          <w:sz w:val="18"/>
          <w:szCs w:val="18"/>
          <w:color w:val="auto"/>
        </w:rPr>
        <w:t>Unless we default in the payment of the redemption price, on and after the applicable redemption date, interest will cease to accrue on the Notes or portions of the Notes called for redemption.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color w:val="auto"/>
        </w:rPr>
        <w:t>. The following definitions shall be applicable to the covenants specified below:</w:t>
      </w:r>
    </w:p>
    <w:p>
      <w:pPr>
        <w:spacing w:after="0" w:line="227" w:lineRule="exact"/>
        <w:rPr>
          <w:sz w:val="20"/>
          <w:szCs w:val="20"/>
          <w:color w:val="auto"/>
        </w:rPr>
      </w:pPr>
    </w:p>
    <w:p>
      <w:pPr>
        <w:ind w:right="40" w:firstLine="7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9" w:lineRule="exact"/>
        <w:rPr>
          <w:sz w:val="20"/>
          <w:szCs w:val="20"/>
          <w:color w:val="auto"/>
        </w:rPr>
      </w:pPr>
    </w:p>
    <w:p>
      <w:pPr>
        <w:ind w:right="300" w:firstLine="7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xml:space="preserve">” means, on the date of determination, total assets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7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Manufacturing Subsidiary</w:t>
      </w:r>
      <w:r>
        <w:rPr>
          <w:rFonts w:ascii="Times New Roman" w:cs="Times New Roman" w:eastAsia="Times New Roman" w:hAnsi="Times New Roman"/>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right="80" w:firstLine="7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83" w:lineRule="exact"/>
        <w:rPr>
          <w:sz w:val="20"/>
          <w:szCs w:val="20"/>
          <w:color w:val="auto"/>
        </w:rPr>
      </w:pPr>
    </w:p>
    <w:p>
      <w:pPr>
        <w:ind w:right="40" w:firstLine="7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78" w:lineRule="exact"/>
        <w:rPr>
          <w:sz w:val="20"/>
          <w:szCs w:val="20"/>
          <w:color w:val="auto"/>
        </w:rPr>
      </w:pPr>
    </w:p>
    <w:p>
      <w:pPr>
        <w:ind w:right="60" w:firstLine="7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Liens. </w:t>
      </w:r>
      <w:r>
        <w:rPr>
          <w:rFonts w:ascii="Times New Roman" w:cs="Times New Roman" w:eastAsia="Times New Roman" w:hAnsi="Times New Roman"/>
          <w:sz w:val="18"/>
          <w:szCs w:val="18"/>
          <w:color w:val="auto"/>
        </w:rPr>
        <w:t>For the benefit of the Notes, we will not, nor will we permit any Manufacturing Subsidiary to, issue or assume any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252" w:lineRule="exact"/>
        <w:rPr>
          <w:sz w:val="20"/>
          <w:szCs w:val="20"/>
          <w:color w:val="auto"/>
        </w:rPr>
      </w:pPr>
    </w:p>
    <w:p>
      <w:pPr>
        <w:ind w:left="1700" w:right="840" w:hanging="895"/>
        <w:spacing w:after="0" w:line="282" w:lineRule="auto"/>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188" w:lineRule="exact"/>
        <w:rPr>
          <w:rFonts w:ascii="Times New Roman" w:cs="Times New Roman" w:eastAsia="Times New Roman" w:hAnsi="Times New Roman"/>
          <w:sz w:val="18"/>
          <w:szCs w:val="18"/>
          <w:color w:val="auto"/>
        </w:rPr>
      </w:pPr>
    </w:p>
    <w:p>
      <w:pPr>
        <w:ind w:left="1700" w:right="80" w:hanging="895"/>
        <w:spacing w:after="0" w:line="266" w:lineRule="auto"/>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00" w:right="360"/>
        <w:spacing w:after="0" w:line="282" w:lineRule="auto"/>
        <w:rPr>
          <w:sz w:val="20"/>
          <w:szCs w:val="20"/>
          <w:color w:val="auto"/>
        </w:rPr>
      </w:pPr>
      <w:r>
        <w:rPr>
          <w:rFonts w:ascii="Times New Roman" w:cs="Times New Roman" w:eastAsia="Times New Roman" w:hAnsi="Times New Roman"/>
          <w:sz w:val="18"/>
          <w:szCs w:val="18"/>
          <w:color w:val="auto"/>
        </w:rPr>
        <w:t>after the later of such acquisition or completion of such improvements or construction or commencement of full operation of such property;</w:t>
      </w:r>
    </w:p>
    <w:p>
      <w:pPr>
        <w:spacing w:after="0" w:line="189" w:lineRule="exact"/>
        <w:rPr>
          <w:sz w:val="20"/>
          <w:szCs w:val="20"/>
          <w:color w:val="auto"/>
        </w:rPr>
      </w:pPr>
    </w:p>
    <w:p>
      <w:pPr>
        <w:ind w:left="1700" w:hanging="895"/>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252" w:lineRule="exact"/>
        <w:rPr>
          <w:rFonts w:ascii="Times New Roman" w:cs="Times New Roman" w:eastAsia="Times New Roman" w:hAnsi="Times New Roman"/>
          <w:sz w:val="18"/>
          <w:szCs w:val="18"/>
          <w:color w:val="auto"/>
        </w:rPr>
      </w:pPr>
    </w:p>
    <w:p>
      <w:pPr>
        <w:ind w:left="1700" w:right="300" w:hanging="895"/>
        <w:spacing w:after="0" w:line="266" w:lineRule="auto"/>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203" w:lineRule="exact"/>
        <w:rPr>
          <w:rFonts w:ascii="Times New Roman" w:cs="Times New Roman" w:eastAsia="Times New Roman" w:hAnsi="Times New Roman"/>
          <w:sz w:val="18"/>
          <w:szCs w:val="18"/>
          <w:color w:val="auto"/>
        </w:rPr>
      </w:pPr>
    </w:p>
    <w:p>
      <w:pPr>
        <w:ind w:left="1700" w:right="20" w:hanging="895"/>
        <w:spacing w:after="0" w:line="256" w:lineRule="auto"/>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214" w:lineRule="exact"/>
        <w:rPr>
          <w:rFonts w:ascii="Times New Roman" w:cs="Times New Roman" w:eastAsia="Times New Roman" w:hAnsi="Times New Roman"/>
          <w:sz w:val="18"/>
          <w:szCs w:val="18"/>
          <w:color w:val="auto"/>
        </w:rPr>
      </w:pPr>
    </w:p>
    <w:p>
      <w:pPr>
        <w:ind w:left="1700" w:hanging="895"/>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issuance of the Notes; or</w:t>
      </w:r>
    </w:p>
    <w:p>
      <w:pPr>
        <w:spacing w:after="0" w:line="252" w:lineRule="exact"/>
        <w:rPr>
          <w:rFonts w:ascii="Times New Roman" w:cs="Times New Roman" w:eastAsia="Times New Roman" w:hAnsi="Times New Roman"/>
          <w:sz w:val="18"/>
          <w:szCs w:val="18"/>
          <w:color w:val="auto"/>
        </w:rPr>
      </w:pPr>
    </w:p>
    <w:p>
      <w:pPr>
        <w:ind w:left="1700" w:right="40" w:hanging="895"/>
        <w:spacing w:after="0" w:line="258" w:lineRule="auto"/>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0" w:lineRule="exact"/>
        <w:rPr>
          <w:sz w:val="20"/>
          <w:szCs w:val="20"/>
          <w:color w:val="auto"/>
        </w:rPr>
      </w:pPr>
    </w:p>
    <w:p>
      <w:pPr>
        <w:ind w:right="80" w:firstLine="7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Sales and Lease-Backs. </w:t>
      </w:r>
      <w:r>
        <w:rPr>
          <w:rFonts w:ascii="Times New Roman" w:cs="Times New Roman" w:eastAsia="Times New Roman" w:hAnsi="Times New Roman"/>
          <w:sz w:val="18"/>
          <w:szCs w:val="18"/>
          <w:color w:val="auto"/>
        </w:rPr>
        <w:t>For the benefit of the Notes, we will not, nor will we permit any Manufacturing Subsidiary to, enter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211" w:lineRule="exact"/>
        <w:rPr>
          <w:sz w:val="20"/>
          <w:szCs w:val="20"/>
          <w:color w:val="auto"/>
        </w:rPr>
      </w:pPr>
    </w:p>
    <w:p>
      <w:pPr>
        <w:ind w:left="1700" w:right="100" w:hanging="895"/>
        <w:spacing w:after="0" w:line="255"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216" w:lineRule="exact"/>
        <w:rPr>
          <w:rFonts w:ascii="Times New Roman" w:cs="Times New Roman" w:eastAsia="Times New Roman" w:hAnsi="Times New Roman"/>
          <w:sz w:val="18"/>
          <w:szCs w:val="18"/>
          <w:color w:val="auto"/>
        </w:rPr>
      </w:pPr>
    </w:p>
    <w:p>
      <w:pPr>
        <w:ind w:left="1700" w:hanging="895"/>
        <w:spacing w:after="0" w:line="266"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00" w:right="60"/>
        <w:spacing w:after="0" w:line="266" w:lineRule="auto"/>
        <w:rPr>
          <w:sz w:val="20"/>
          <w:szCs w:val="20"/>
          <w:color w:val="auto"/>
        </w:rPr>
      </w:pPr>
      <w:r>
        <w:rPr>
          <w:rFonts w:ascii="Times New Roman" w:cs="Times New Roman" w:eastAsia="Times New Roman" w:hAnsi="Times New Roman"/>
          <w:sz w:val="18"/>
          <w:szCs w:val="18"/>
          <w:color w:val="auto"/>
        </w:rPr>
        <w:t>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firstLine="799"/>
        <w:spacing w:after="0" w:line="254" w:lineRule="auto"/>
        <w:rPr>
          <w:sz w:val="20"/>
          <w:szCs w:val="20"/>
          <w:color w:val="auto"/>
        </w:rPr>
      </w:pPr>
      <w:r>
        <w:rPr>
          <w:rFonts w:ascii="Times New Roman" w:cs="Times New Roman" w:eastAsia="Times New Roman" w:hAnsi="Times New Roman"/>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229" w:lineRule="exact"/>
        <w:rPr>
          <w:sz w:val="20"/>
          <w:szCs w:val="20"/>
          <w:color w:val="auto"/>
        </w:rPr>
      </w:pPr>
    </w:p>
    <w:p>
      <w:pPr>
        <w:ind w:right="120" w:firstLine="799"/>
        <w:spacing w:after="0" w:line="266" w:lineRule="auto"/>
        <w:rPr>
          <w:sz w:val="20"/>
          <w:szCs w:val="20"/>
          <w:color w:val="auto"/>
        </w:rPr>
      </w:pPr>
      <w:r>
        <w:rPr>
          <w:rFonts w:ascii="Times New Roman" w:cs="Times New Roman" w:eastAsia="Times New Roman" w:hAnsi="Times New Roman"/>
          <w:sz w:val="18"/>
          <w:szCs w:val="18"/>
          <w:color w:val="auto"/>
        </w:rPr>
        <w:t>The Bank of New York Mellon and its affiliates act as depositary for funds of, make loans to, act as trustee and perform certain other services for, certain of our affiliates and us in the normal course of its business. As trustee of various trusts, it has purchased our securities and those of certain of our affiliates.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w:t>
      </w:r>
    </w:p>
    <w:p>
      <w:pPr>
        <w:spacing w:after="0" w:line="229" w:lineRule="exact"/>
        <w:rPr>
          <w:sz w:val="20"/>
          <w:szCs w:val="20"/>
          <w:color w:val="auto"/>
        </w:rPr>
      </w:pPr>
    </w:p>
    <w:p>
      <w:pPr>
        <w:ind w:right="20" w:firstLine="799"/>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certain U.S.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federal income tax purposes (generally, property held for investment).</w:t>
      </w:r>
    </w:p>
    <w:p>
      <w:pPr>
        <w:spacing w:after="0" w:line="184" w:lineRule="exact"/>
        <w:rPr>
          <w:sz w:val="20"/>
          <w:szCs w:val="20"/>
          <w:color w:val="auto"/>
        </w:rPr>
      </w:pPr>
    </w:p>
    <w:p>
      <w:pPr>
        <w:ind w:firstLine="799"/>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76" w:lineRule="exact"/>
        <w:rPr>
          <w:sz w:val="20"/>
          <w:szCs w:val="20"/>
          <w:color w:val="auto"/>
        </w:rPr>
      </w:pPr>
    </w:p>
    <w:p>
      <w:pPr>
        <w:ind w:right="100" w:firstLine="799"/>
        <w:spacing w:after="0" w:line="268"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75" w:lineRule="exact"/>
        <w:rPr>
          <w:sz w:val="20"/>
          <w:szCs w:val="20"/>
          <w:color w:val="auto"/>
        </w:rPr>
      </w:pPr>
    </w:p>
    <w:p>
      <w:pPr>
        <w:ind w:right="100" w:firstLine="799"/>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88" w:lineRule="exact"/>
        <w:rPr>
          <w:sz w:val="20"/>
          <w:szCs w:val="20"/>
          <w:color w:val="auto"/>
        </w:rPr>
      </w:pPr>
    </w:p>
    <w:p>
      <w:pPr>
        <w:jc w:val="both"/>
        <w:ind w:right="20" w:firstLine="799"/>
        <w:spacing w:after="0" w:line="266" w:lineRule="auto"/>
        <w:rPr>
          <w:sz w:val="20"/>
          <w:szCs w:val="20"/>
          <w:color w:val="auto"/>
        </w:rPr>
      </w:pPr>
      <w:r>
        <w:rPr>
          <w:rFonts w:ascii="Times New Roman" w:cs="Times New Roman" w:eastAsia="Times New Roman" w:hAnsi="Times New Roman"/>
          <w:sz w:val="18"/>
          <w:szCs w:val="18"/>
          <w:color w:val="auto"/>
        </w:rPr>
        <w:t>The term “Non-U.S. Holder” means a beneficial owner of a Note that is, for U.S. federal income tax purposes, an individual, corporation, estate or trust that is not a U.S. Holder. For purposes of this “Certain U.S. Federal Tax Considerations” section only, the term “Holder” means a U.S. Holder or a Non-U.S. Holder (as those terms are defined herein).</w:t>
      </w:r>
    </w:p>
    <w:p>
      <w:pPr>
        <w:spacing w:after="0" w:line="176" w:lineRule="exact"/>
        <w:rPr>
          <w:sz w:val="20"/>
          <w:szCs w:val="20"/>
          <w:color w:val="auto"/>
        </w:rPr>
      </w:pPr>
    </w:p>
    <w:p>
      <w:pPr>
        <w:ind w:right="160" w:firstLine="799"/>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Stated Interest</w:t>
      </w:r>
    </w:p>
    <w:p>
      <w:pPr>
        <w:spacing w:after="0" w:line="227" w:lineRule="exact"/>
        <w:rPr>
          <w:sz w:val="20"/>
          <w:szCs w:val="20"/>
          <w:color w:val="auto"/>
        </w:rPr>
      </w:pPr>
    </w:p>
    <w:p>
      <w:pPr>
        <w:ind w:right="460" w:firstLine="799"/>
        <w:spacing w:after="0" w:line="282" w:lineRule="auto"/>
        <w:rPr>
          <w:sz w:val="20"/>
          <w:szCs w:val="20"/>
          <w:color w:val="auto"/>
        </w:rPr>
      </w:pPr>
      <w:r>
        <w:rPr>
          <w:rFonts w:ascii="Times New Roman" w:cs="Times New Roman" w:eastAsia="Times New Roman" w:hAnsi="Times New Roman"/>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w:t>
      </w:r>
    </w:p>
    <w:p>
      <w:pPr>
        <w:spacing w:after="0" w:line="225" w:lineRule="exact"/>
        <w:rPr>
          <w:sz w:val="20"/>
          <w:szCs w:val="20"/>
          <w:color w:val="auto"/>
        </w:rPr>
      </w:pPr>
    </w:p>
    <w:p>
      <w:pPr>
        <w:ind w:firstLine="799"/>
        <w:spacing w:after="0" w:line="259" w:lineRule="auto"/>
        <w:rPr>
          <w:sz w:val="20"/>
          <w:szCs w:val="20"/>
          <w:color w:val="auto"/>
        </w:rPr>
      </w:pPr>
      <w:r>
        <w:rPr>
          <w:rFonts w:ascii="Times New Roman" w:cs="Times New Roman" w:eastAsia="Times New Roman" w:hAnsi="Times New Roman"/>
          <w:sz w:val="18"/>
          <w:szCs w:val="18"/>
          <w:color w:val="auto"/>
        </w:rPr>
        <w:t xml:space="preserve">The Notes are expected to be issued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(“OID”) for U.S. federal income tax purposes. However, if the stated principal amount of the Notes exceeds their issue price (as defined above) by at least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the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Retirement or Other Taxable Disposition of the Notes</w:t>
      </w:r>
    </w:p>
    <w:p>
      <w:pPr>
        <w:spacing w:after="0" w:line="227" w:lineRule="exact"/>
        <w:rPr>
          <w:sz w:val="20"/>
          <w:szCs w:val="20"/>
          <w:color w:val="auto"/>
        </w:rPr>
      </w:pPr>
    </w:p>
    <w:p>
      <w:pPr>
        <w:ind w:right="100" w:firstLine="799"/>
        <w:spacing w:after="0" w:line="266"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140" w:firstLine="799"/>
        <w:spacing w:after="0" w:line="256" w:lineRule="auto"/>
        <w:rPr>
          <w:sz w:val="20"/>
          <w:szCs w:val="20"/>
          <w:color w:val="auto"/>
        </w:rPr>
      </w:pPr>
      <w:r>
        <w:rPr>
          <w:rFonts w:ascii="Times New Roman" w:cs="Times New Roman" w:eastAsia="Times New Roman" w:hAnsi="Times New Roman"/>
          <w:sz w:val="18"/>
          <w:szCs w:val="18"/>
          <w:color w:val="auto"/>
        </w:rPr>
        <w:t>Information reporting generally will apply to a U.S. Holder with respect to payments of interest or accruals of OID (if any) on a Note and the payment of proceeds from the sale, exchange, redemption, retirement or other taxable disposition of a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 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88" w:lineRule="exact"/>
        <w:rPr>
          <w:sz w:val="20"/>
          <w:szCs w:val="20"/>
          <w:color w:val="auto"/>
        </w:rPr>
      </w:pPr>
    </w:p>
    <w:p>
      <w:pPr>
        <w:ind w:right="80" w:firstLine="799"/>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Tax on Net Investment Income</w:t>
      </w:r>
    </w:p>
    <w:p>
      <w:pPr>
        <w:spacing w:after="0" w:line="227" w:lineRule="exact"/>
        <w:rPr>
          <w:sz w:val="20"/>
          <w:szCs w:val="20"/>
          <w:color w:val="auto"/>
        </w:rPr>
      </w:pPr>
    </w:p>
    <w:p>
      <w:pPr>
        <w:ind w:right="200" w:firstLine="799"/>
        <w:spacing w:after="0" w:line="261"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of Interest and Disposition of Notes</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Subject to the discussion below and to the provisions of an applicable tax treaty:</w:t>
      </w:r>
    </w:p>
    <w:p>
      <w:pPr>
        <w:spacing w:after="0" w:line="252" w:lineRule="exact"/>
        <w:rPr>
          <w:sz w:val="20"/>
          <w:szCs w:val="20"/>
          <w:color w:val="auto"/>
        </w:rPr>
      </w:pPr>
    </w:p>
    <w:p>
      <w:pPr>
        <w:ind w:left="1700" w:hanging="895"/>
        <w:spacing w:after="0" w:line="255"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w:t>
      </w:r>
    </w:p>
    <w:p>
      <w:pPr>
        <w:spacing w:after="0" w:line="2" w:lineRule="exact"/>
        <w:rPr>
          <w:rFonts w:ascii="Times New Roman" w:cs="Times New Roman" w:eastAsia="Times New Roman" w:hAnsi="Times New Roman"/>
          <w:sz w:val="18"/>
          <w:szCs w:val="18"/>
          <w:color w:val="auto"/>
        </w:rPr>
      </w:pPr>
    </w:p>
    <w:p>
      <w:pPr>
        <w:ind w:left="17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213" w:lineRule="exact"/>
        <w:rPr>
          <w:rFonts w:ascii="Times New Roman" w:cs="Times New Roman" w:eastAsia="Times New Roman" w:hAnsi="Times New Roman"/>
          <w:sz w:val="18"/>
          <w:szCs w:val="18"/>
          <w:color w:val="auto"/>
        </w:rPr>
      </w:pPr>
    </w:p>
    <w:p>
      <w:pPr>
        <w:ind w:left="1700" w:right="60" w:hanging="895"/>
        <w:spacing w:after="0" w:line="282"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Note unless (i) such gain is effectively connected with the conduct of a trade or business in the U.S. by such Non-U.S. Holder or</w:t>
      </w:r>
    </w:p>
    <w:p>
      <w:pPr>
        <w:spacing w:after="0" w:line="27" w:lineRule="exact"/>
        <w:rPr>
          <w:sz w:val="20"/>
          <w:szCs w:val="20"/>
          <w:color w:val="auto"/>
        </w:rPr>
      </w:pPr>
    </w:p>
    <w:p>
      <w:pPr>
        <w:ind w:left="1700" w:right="40" w:firstLine="10"/>
        <w:spacing w:after="0" w:line="255" w:lineRule="auto"/>
        <w:tabs>
          <w:tab w:leader="none" w:pos="19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86" w:lineRule="exact"/>
        <w:rPr>
          <w:sz w:val="20"/>
          <w:szCs w:val="20"/>
          <w:color w:val="auto"/>
        </w:rPr>
      </w:pPr>
    </w:p>
    <w:p>
      <w:pPr>
        <w:ind w:firstLine="799"/>
        <w:spacing w:after="0" w:line="261" w:lineRule="auto"/>
        <w:rPr>
          <w:sz w:val="20"/>
          <w:szCs w:val="20"/>
          <w:color w:val="auto"/>
        </w:rPr>
      </w:pPr>
      <w:r>
        <w:rPr>
          <w:rFonts w:ascii="Times New Roman" w:cs="Times New Roman" w:eastAsia="Times New Roman" w:hAnsi="Times New Roman"/>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0" w:lineRule="exact"/>
        <w:rPr>
          <w:sz w:val="20"/>
          <w:szCs w:val="20"/>
          <w:color w:val="auto"/>
        </w:rPr>
      </w:pPr>
    </w:p>
    <w:p>
      <w:pPr>
        <w:ind w:right="280" w:firstLine="799"/>
        <w:spacing w:after="0" w:line="289" w:lineRule="auto"/>
        <w:rPr>
          <w:sz w:val="20"/>
          <w:szCs w:val="20"/>
          <w:color w:val="auto"/>
        </w:rPr>
      </w:pPr>
      <w:r>
        <w:rPr>
          <w:rFonts w:ascii="Times New Roman" w:cs="Times New Roman" w:eastAsia="Times New Roman" w:hAnsi="Times New Roman"/>
          <w:sz w:val="17"/>
          <w:szCs w:val="17"/>
          <w:color w:val="auto"/>
        </w:rPr>
        <w:t>If the requirements set forth in clause (a) above are not satisfied with respect to a Non-U.S. Holder,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58" w:lineRule="exact"/>
        <w:rPr>
          <w:sz w:val="20"/>
          <w:szCs w:val="20"/>
          <w:color w:val="auto"/>
        </w:rPr>
      </w:pPr>
    </w:p>
    <w:p>
      <w:pPr>
        <w:ind w:right="60" w:firstLine="799"/>
        <w:spacing w:after="0" w:line="255"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FATCA Withholding</w:t>
      </w:r>
    </w:p>
    <w:p>
      <w:pPr>
        <w:spacing w:after="0" w:line="227" w:lineRule="exact"/>
        <w:rPr>
          <w:sz w:val="20"/>
          <w:szCs w:val="20"/>
          <w:color w:val="auto"/>
        </w:rPr>
      </w:pPr>
    </w:p>
    <w:p>
      <w:pPr>
        <w:ind w:right="20" w:firstLine="799"/>
        <w:spacing w:after="0" w:line="253" w:lineRule="auto"/>
        <w:rPr>
          <w:sz w:val="20"/>
          <w:szCs w:val="20"/>
          <w:color w:val="auto"/>
        </w:rPr>
      </w:pPr>
      <w:r>
        <w:rPr>
          <w:rFonts w:ascii="Times New Roman" w:cs="Times New Roman" w:eastAsia="Times New Roman" w:hAnsi="Times New Roman"/>
          <w:sz w:val="18"/>
          <w:szCs w:val="18"/>
          <w:color w:val="auto"/>
        </w:rPr>
        <w:t>Under the U.S. tax rules known as the Foreign Account Tax Compliance Act (“FATCA”), a Non-U.S. Holder of the Notes will generally be subject to 30% U.S. withholding tax on payments of stated interest made with respect to (and, after December 31, 2016, gross proceeds from the sale or other taxable disposition of) the Notes if the Non-U.S. Holder (i) is, or holds Notes through, a foreign financial institution that has not entered into an agreement with the U.S. government to report, on an annual basis, certain information regarding accounts with or interests in the institution held by certain United States persons and by certain non-U.S. entities that are wholly or partially owned by United States persons, or that has been designated as a “nonparticipating foreign financial institution”, or (ii) fails to provide certain documentation (usually an IRS Form W-8BEN or W-8BEN-E) containing information about its identity, its FATCA status, and if required, its direct and indirect U.S. owners. If FATCA withholding is imposed, a beneficial owner that is not a foreign financial institution generally will be entitled to a refund of any amount withheld by filing a U.S. federal income tax return (which may entail a significant administrative burden). The future adoption of, or implementation of, an intergovernmental agreement between the United States and an applicable foreign country, or future U.S. Treasury regulations, may modify these requirements. You should consult your own tax advisor on how these rules may apply to your investment in the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20" w:firstLine="799"/>
        <w:spacing w:after="0" w:line="282" w:lineRule="auto"/>
        <w:rPr>
          <w:sz w:val="20"/>
          <w:szCs w:val="20"/>
          <w:color w:val="auto"/>
        </w:rPr>
      </w:pPr>
      <w:r>
        <w:rPr>
          <w:rFonts w:ascii="Times New Roman" w:cs="Times New Roman" w:eastAsia="Times New Roman" w:hAnsi="Times New Roman"/>
          <w:sz w:val="18"/>
          <w:szCs w:val="18"/>
          <w:color w:val="auto"/>
        </w:rPr>
        <w:t>Generally, payments of interest on a Note to a Non-U.S. Holder and the amount of any tax withheld from such payments must be reported annually to the IRS and to such Non-U.S. Holder. Backup withholding will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not apply to payments of interest on a Note if the recipient Non-U.S. Holder certifies under penalties of perjury that it is not a U.S. person (generally by providing an IRS Form W-8BEN or W-8BEN-E) or otherwise establishes an exemption.</w:t>
      </w:r>
    </w:p>
    <w:p>
      <w:pPr>
        <w:spacing w:after="0" w:line="162" w:lineRule="exact"/>
        <w:rPr>
          <w:sz w:val="20"/>
          <w:szCs w:val="20"/>
          <w:color w:val="auto"/>
        </w:rPr>
      </w:pPr>
    </w:p>
    <w:p>
      <w:pPr>
        <w:ind w:right="60" w:firstLine="799"/>
        <w:spacing w:after="0" w:line="255" w:lineRule="auto"/>
        <w:rPr>
          <w:sz w:val="20"/>
          <w:szCs w:val="20"/>
          <w:color w:val="auto"/>
        </w:rPr>
      </w:pPr>
      <w:r>
        <w:rPr>
          <w:rFonts w:ascii="Times New Roman" w:cs="Times New Roman" w:eastAsia="Times New Roman" w:hAnsi="Times New Roman"/>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firstLine="799"/>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Federal Estate Tax</w:t>
      </w:r>
    </w:p>
    <w:p>
      <w:pPr>
        <w:spacing w:after="0" w:line="227" w:lineRule="exact"/>
        <w:rPr>
          <w:sz w:val="20"/>
          <w:szCs w:val="20"/>
          <w:color w:val="auto"/>
        </w:rPr>
      </w:pPr>
    </w:p>
    <w:p>
      <w:pPr>
        <w:ind w:right="40" w:firstLine="799"/>
        <w:spacing w:after="0" w:line="276" w:lineRule="auto"/>
        <w:rPr>
          <w:sz w:val="20"/>
          <w:szCs w:val="20"/>
          <w:color w:val="auto"/>
        </w:rPr>
      </w:pPr>
      <w:r>
        <w:rPr>
          <w:rFonts w:ascii="Times New Roman" w:cs="Times New Roman" w:eastAsia="Times New Roman" w:hAnsi="Times New Roman"/>
          <w:sz w:val="17"/>
          <w:szCs w:val="17"/>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w:t>
      </w:r>
    </w:p>
    <w:p>
      <w:pPr>
        <w:spacing w:after="0" w:line="1" w:lineRule="exact"/>
        <w:rPr>
          <w:sz w:val="20"/>
          <w:szCs w:val="20"/>
          <w:color w:val="auto"/>
        </w:rPr>
      </w:pPr>
    </w:p>
    <w:p>
      <w:pPr>
        <w:ind w:right="120" w:firstLine="8"/>
        <w:spacing w:after="0" w:line="261"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does not actually or constructively own 10% or more of the combined voting power of all classes of GM’s stock and (ii) amounts treated as interest earned on the Note are not effectively connected with the conduct of a trade or business in the U.S. by such Non-U.S. Holder.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300"/>
          </w:cols>
          <w:pgMar w:left="24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20" w:firstLine="799"/>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each underwriter named below, for whom J.P. Morgan Securities LLC, Goldman, Sachs &amp; Co. and Morgan Stanley &amp; Co. LLC are acting as representatives, have severally agreed to purchase, and we have agreed to sell to each underwriter, the principal amount of the Notes set forth opposite the underwriter’s name.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6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66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7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6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2025 Notes</w:t>
            </w:r>
          </w:p>
        </w:tc>
        <w:tc>
          <w:tcPr>
            <w:tcW w:w="6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2035 Notes</w:t>
            </w:r>
          </w:p>
        </w:tc>
        <w:tc>
          <w:tcPr>
            <w:tcW w:w="66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2045 Notes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020" w:type="dxa"/>
            <w:vAlign w:val="bottom"/>
            <w:gridSpan w:val="2"/>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Incorporated</w:t>
            </w:r>
          </w:p>
        </w:tc>
        <w:tc>
          <w:tcPr>
            <w:tcW w:w="17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RBS Securities Inc.</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Sandler O’Neill &amp; Partners, L.P.</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2"/>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799"/>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76" w:lineRule="exact"/>
        <w:rPr>
          <w:sz w:val="20"/>
          <w:szCs w:val="20"/>
          <w:color w:val="auto"/>
        </w:rPr>
      </w:pPr>
    </w:p>
    <w:p>
      <w:pPr>
        <w:ind w:right="100" w:firstLine="799"/>
        <w:spacing w:after="0" w:line="256"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 of the principal amount of the 2025 Notes, % of the principal amount of the 2035 Notes and % of the principal amount of the 2045 Notes. In addition, the underwriters may allow, and those selected dealers may reallow, a concession of up to % of the principal amount of the 2025 Notes, % of the principal amount of the 2035 Notes and % of the principal amount of the 2045 Notes to certain other dealers. After the initial offering, the underwriters may change the public offering prices and any other selling terms. The underwriters may offer and sell the Notes through certain of their affiliates.</w:t>
      </w:r>
    </w:p>
    <w:p>
      <w:pPr>
        <w:spacing w:after="0" w:line="188" w:lineRule="exact"/>
        <w:rPr>
          <w:sz w:val="20"/>
          <w:szCs w:val="20"/>
          <w:color w:val="auto"/>
        </w:rPr>
      </w:pPr>
    </w:p>
    <w:p>
      <w:pPr>
        <w:ind w:right="100" w:firstLine="799"/>
        <w:spacing w:after="0" w:line="274" w:lineRule="auto"/>
        <w:rPr>
          <w:sz w:val="20"/>
          <w:szCs w:val="20"/>
          <w:color w:val="auto"/>
        </w:rPr>
      </w:pPr>
      <w:r>
        <w:rPr>
          <w:rFonts w:ascii="Times New Roman" w:cs="Times New Roman" w:eastAsia="Times New Roman" w:hAnsi="Times New Roman"/>
          <w:sz w:val="17"/>
          <w:szCs w:val="17"/>
          <w:color w:val="auto"/>
        </w:rPr>
        <w:t>We expect to deliver the Notes offered hereby against payment for the Notes on or about the date specified in the last paragraph of the cover page of this prospectus supplement, which will be the fifth business day following the date of the pricing of the Notes (this settlement cycle being referred to as “T+5”). Under Rule 15c6-1 under the Exchange Act,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alternate settlement cycle at the time of any such trade to prevent a failed settlement. Purchasers who wish to trade the Notes on the date of pricing or the next succeeding business day should consult their own advisor.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799"/>
        <w:spacing w:after="0" w:line="261" w:lineRule="auto"/>
        <w:rPr>
          <w:sz w:val="20"/>
          <w:szCs w:val="20"/>
          <w:color w:val="auto"/>
        </w:rPr>
      </w:pPr>
      <w:r>
        <w:rPr>
          <w:rFonts w:ascii="Times New Roman" w:cs="Times New Roman" w:eastAsia="Times New Roman" w:hAnsi="Times New Roman"/>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80" w:lineRule="exact"/>
        <w:rPr>
          <w:sz w:val="20"/>
          <w:szCs w:val="20"/>
          <w:color w:val="auto"/>
        </w:rPr>
      </w:pPr>
    </w:p>
    <w:p>
      <w:pPr>
        <w:ind w:right="80" w:firstLine="799"/>
        <w:spacing w:after="0" w:line="258" w:lineRule="auto"/>
        <w:rPr>
          <w:sz w:val="20"/>
          <w:szCs w:val="20"/>
          <w:color w:val="auto"/>
        </w:rPr>
      </w:pPr>
      <w:r>
        <w:rPr>
          <w:rFonts w:ascii="Times New Roman" w:cs="Times New Roman" w:eastAsia="Times New Roman" w:hAnsi="Times New Roman"/>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84" w:lineRule="exact"/>
        <w:rPr>
          <w:sz w:val="20"/>
          <w:szCs w:val="20"/>
          <w:color w:val="auto"/>
        </w:rPr>
      </w:pPr>
    </w:p>
    <w:p>
      <w:pPr>
        <w:ind w:right="720" w:firstLine="799"/>
        <w:spacing w:after="0" w:line="282" w:lineRule="auto"/>
        <w:rPr>
          <w:sz w:val="20"/>
          <w:szCs w:val="20"/>
          <w:color w:val="auto"/>
        </w:rPr>
      </w:pPr>
      <w:r>
        <w:rPr>
          <w:rFonts w:ascii="Times New Roman" w:cs="Times New Roman" w:eastAsia="Times New Roman" w:hAnsi="Times New Roman"/>
          <w:sz w:val="18"/>
          <w:szCs w:val="18"/>
          <w:color w:val="auto"/>
        </w:rPr>
        <w:t>We estimate that our portion of the total expenses of the offering, exclusive of the underwriter discounts payable by us in the offering and reimbursements of certain expenses incurred in connection with the offering, will be $4 million.</w:t>
      </w:r>
    </w:p>
    <w:p>
      <w:pPr>
        <w:spacing w:after="0" w:line="162" w:lineRule="exact"/>
        <w:rPr>
          <w:sz w:val="20"/>
          <w:szCs w:val="20"/>
          <w:color w:val="auto"/>
        </w:rPr>
      </w:pPr>
    </w:p>
    <w:p>
      <w:pPr>
        <w:ind w:right="100" w:firstLine="799"/>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189" w:lineRule="exact"/>
        <w:rPr>
          <w:sz w:val="20"/>
          <w:szCs w:val="20"/>
          <w:color w:val="auto"/>
        </w:rPr>
      </w:pPr>
    </w:p>
    <w:p>
      <w:pPr>
        <w:ind w:left="2160" w:right="540" w:hanging="680"/>
        <w:spacing w:after="0" w:line="282" w:lineRule="auto"/>
        <w:tabs>
          <w:tab w:leader="none" w:pos="2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the offering.</w:t>
      </w:r>
    </w:p>
    <w:p>
      <w:pPr>
        <w:spacing w:after="0" w:line="188" w:lineRule="exact"/>
        <w:rPr>
          <w:rFonts w:ascii="Times New Roman" w:cs="Times New Roman" w:eastAsia="Times New Roman" w:hAnsi="Times New Roman"/>
          <w:sz w:val="18"/>
          <w:szCs w:val="18"/>
          <w:color w:val="auto"/>
        </w:rPr>
      </w:pPr>
    </w:p>
    <w:p>
      <w:pPr>
        <w:ind w:left="2160" w:right="260" w:hanging="680"/>
        <w:spacing w:after="0" w:line="282" w:lineRule="auto"/>
        <w:tabs>
          <w:tab w:leader="none" w:pos="2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188"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160" w:firstLine="799"/>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firstLine="799"/>
        <w:spacing w:after="0" w:line="253"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799"/>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8" w:lineRule="exact"/>
        <w:rPr>
          <w:sz w:val="20"/>
          <w:szCs w:val="20"/>
          <w:color w:val="auto"/>
        </w:rPr>
      </w:pPr>
    </w:p>
    <w:p>
      <w:pPr>
        <w:ind w:right="60" w:firstLine="799"/>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jc w:val="both"/>
        <w:ind w:right="220" w:firstLine="799"/>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other than:</w:t>
      </w:r>
    </w:p>
    <w:p>
      <w:pPr>
        <w:spacing w:after="0" w:line="207" w:lineRule="exact"/>
        <w:rPr>
          <w:sz w:val="20"/>
          <w:szCs w:val="20"/>
          <w:color w:val="auto"/>
        </w:rPr>
      </w:pPr>
    </w:p>
    <w:p>
      <w:pPr>
        <w:ind w:left="1700" w:hanging="895"/>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1700" w:right="60" w:hanging="895"/>
        <w:spacing w:after="0" w:line="266" w:lineRule="auto"/>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203" w:lineRule="exact"/>
        <w:rPr>
          <w:rFonts w:ascii="Times New Roman" w:cs="Times New Roman" w:eastAsia="Times New Roman" w:hAnsi="Times New Roman"/>
          <w:sz w:val="18"/>
          <w:szCs w:val="18"/>
          <w:color w:val="auto"/>
        </w:rPr>
      </w:pPr>
    </w:p>
    <w:p>
      <w:pPr>
        <w:ind w:left="1700" w:hanging="895"/>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Notes shall require the Company or any underwriter to publish a prospectus pursuant to Article 3 of the Prospectus Directive or supplement a prospectus pursuant to Article 16 of the Prospectus Directive.</w:t>
      </w:r>
    </w:p>
    <w:p>
      <w:pPr>
        <w:spacing w:after="0" w:line="162" w:lineRule="exact"/>
        <w:rPr>
          <w:sz w:val="20"/>
          <w:szCs w:val="20"/>
          <w:color w:val="auto"/>
        </w:rPr>
      </w:pPr>
    </w:p>
    <w:p>
      <w:pPr>
        <w:ind w:firstLine="799"/>
        <w:spacing w:after="0" w:line="25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(and amendments thereto,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52" w:lineRule="exact"/>
        <w:rPr>
          <w:sz w:val="20"/>
          <w:szCs w:val="20"/>
          <w:color w:val="auto"/>
        </w:rPr>
      </w:pPr>
    </w:p>
    <w:p>
      <w:pPr>
        <w:ind w:left="1700" w:hanging="895"/>
        <w:spacing w:after="0" w:line="261"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Notes in circumstances in which Section 21(1) of the FSMA does not apply to us; and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700" w:right="420" w:hanging="895"/>
        <w:spacing w:after="0" w:line="282"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any Notes in, from or otherwise involving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52" w:lineRule="exact"/>
        <w:rPr>
          <w:sz w:val="20"/>
          <w:szCs w:val="20"/>
          <w:color w:val="auto"/>
        </w:rPr>
      </w:pPr>
    </w:p>
    <w:p>
      <w:pPr>
        <w:ind w:left="1700" w:right="40" w:hanging="666"/>
        <w:spacing w:after="0" w:line="281"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191" w:lineRule="exact"/>
        <w:rPr>
          <w:rFonts w:ascii="Times New Roman" w:cs="Times New Roman" w:eastAsia="Times New Roman" w:hAnsi="Times New Roman"/>
          <w:sz w:val="17"/>
          <w:szCs w:val="17"/>
          <w:color w:val="auto"/>
        </w:rPr>
      </w:pPr>
    </w:p>
    <w:p>
      <w:pPr>
        <w:ind w:left="1700" w:right="40" w:hanging="666"/>
        <w:spacing w:after="0" w:line="258" w:lineRule="auto"/>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right="40" w:firstLine="799"/>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firstLine="799"/>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right="20" w:firstLine="799"/>
        <w:spacing w:after="0" w:line="255"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60" w:firstLine="799"/>
        <w:spacing w:after="0" w:line="261"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Robert C. Shrosbree, Esq., Executive Director, Legal, Corporate &amp; Securities, GM Legal Staff, and certain other legal matters related to the Notes will be passed upon for us by Jenner &amp; Block LLP. Certain legal matters will be passed upon for the underwriters by Davis Polk &amp; Wardwell LLP. Davis Polk &amp; Wardwell LLP acts as counsel to the Executive Compensation Committee of our Board of Directors and has acted as our counsel, and as counsel for certain of our subsidiaries, in various matters.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60" w:firstLine="799"/>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GM SEC Filings (File No. 001-34960)</w:t>
            </w: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0"/>
        </w:trPr>
        <w:tc>
          <w:tcPr>
            <w:tcW w:w="28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31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Year ended December 31, 2013 (filed with the SEC on February 6, 2014)</w:t>
            </w:r>
          </w:p>
        </w:tc>
      </w:tr>
      <w:tr>
        <w:trPr>
          <w:trHeight w:val="41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Quarter ended March 31, 2014 (filed with the SEC on April 24, 2014),</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Quarter ended June 30, 2014 (filed with the SEC on July 24, 2014 and</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Quarter ended September 30, 2014 (filed with the SEC on October 23,</w:t>
            </w:r>
          </w:p>
        </w:tc>
      </w:tr>
      <w:tr>
        <w:trPr>
          <w:trHeight w:val="234"/>
        </w:trPr>
        <w:tc>
          <w:tcPr>
            <w:tcW w:w="2880" w:type="dxa"/>
            <w:vAlign w:val="bottom"/>
          </w:tcPr>
          <w:p>
            <w:pPr>
              <w:spacing w:after="0"/>
              <w:rPr>
                <w:sz w:val="20"/>
                <w:szCs w:val="20"/>
                <w:color w:val="auto"/>
              </w:rPr>
            </w:pPr>
          </w:p>
        </w:tc>
        <w:tc>
          <w:tcPr>
            <w:tcW w:w="358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2014)</w:t>
            </w:r>
          </w:p>
        </w:tc>
        <w:tc>
          <w:tcPr>
            <w:tcW w:w="4940" w:type="dxa"/>
            <w:vAlign w:val="bottom"/>
          </w:tcPr>
          <w:p>
            <w:pPr>
              <w:spacing w:after="0"/>
              <w:rPr>
                <w:sz w:val="20"/>
                <w:szCs w:val="20"/>
                <w:color w:val="auto"/>
              </w:rPr>
            </w:pPr>
          </w:p>
        </w:tc>
      </w:tr>
      <w:tr>
        <w:trPr>
          <w:trHeight w:val="41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w w:val="99"/>
              </w:rPr>
              <w:t>Dates filed: January 7, 2014, January 15, 2014 (2 filed Forms 8-K), January</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17, 2014, February 4, 2014, March 4, 2014, March 13, 2014, April 3, 2014,</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April 21, 2014, May 5, 2014, May 20, 2014 (1 filed Form 8-K), June 5,</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2014 (2 filed Forms 8-K), June 12, 2014 (and amendment thereto on Form</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8-K/A filed on August 15, 2014), July 2, 2014, July 18, 2014, October 10,</w:t>
            </w:r>
          </w:p>
        </w:tc>
      </w:tr>
      <w:tr>
        <w:trPr>
          <w:trHeight w:val="234"/>
        </w:trPr>
        <w:tc>
          <w:tcPr>
            <w:tcW w:w="2880" w:type="dxa"/>
            <w:vAlign w:val="bottom"/>
          </w:tcPr>
          <w:p>
            <w:pPr>
              <w:spacing w:after="0"/>
              <w:rPr>
                <w:sz w:val="20"/>
                <w:szCs w:val="20"/>
                <w:color w:val="auto"/>
              </w:rPr>
            </w:pPr>
          </w:p>
        </w:tc>
        <w:tc>
          <w:tcPr>
            <w:tcW w:w="8520" w:type="dxa"/>
            <w:vAlign w:val="bottom"/>
            <w:gridSpan w:val="3"/>
          </w:tcPr>
          <w:p>
            <w:pPr>
              <w:ind w:left="3060"/>
              <w:spacing w:after="0"/>
              <w:rPr>
                <w:sz w:val="20"/>
                <w:szCs w:val="20"/>
                <w:color w:val="auto"/>
              </w:rPr>
            </w:pPr>
            <w:r>
              <w:rPr>
                <w:rFonts w:ascii="Times New Roman" w:cs="Times New Roman" w:eastAsia="Times New Roman" w:hAnsi="Times New Roman"/>
                <w:sz w:val="18"/>
                <w:szCs w:val="18"/>
                <w:color w:val="auto"/>
              </w:rPr>
              <w:t>2014, October 17, 2014 and October 22, 2014</w:t>
            </w:r>
          </w:p>
        </w:tc>
      </w:tr>
    </w:tbl>
    <w:p>
      <w:pPr>
        <w:spacing w:after="0" w:line="198" w:lineRule="exact"/>
        <w:rPr>
          <w:sz w:val="20"/>
          <w:szCs w:val="20"/>
          <w:color w:val="auto"/>
        </w:rPr>
      </w:pPr>
    </w:p>
    <w:p>
      <w:pPr>
        <w:ind w:right="300" w:firstLine="799"/>
        <w:spacing w:after="0" w:line="266"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(313) 556-5000</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799"/>
        <w:spacing w:after="0" w:line="256"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20 Broad Street, New York, New York 10005, where our common stock is listed.</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340"/>
          </w:cols>
          <w:pgMar w:left="240" w:top="455" w:right="3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144780</wp:posOffset>
            </wp:positionV>
            <wp:extent cx="4536440" cy="651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36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 and on the Toronto Stock Exchange under the symbol “GMM.”</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0"/>
          <w:szCs w:val="20"/>
          <w:color w:val="auto"/>
        </w:rPr>
      </w:pPr>
    </w:p>
    <w:p>
      <w:pPr>
        <w:ind w:firstLine="456"/>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any of the securities involves risk. See “</w:t>
      </w:r>
      <w:hyperlink w:anchor="page34">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date of this prospectus is April 30, 2014.</w:t>
      </w:r>
    </w:p>
    <w:p>
      <w:pPr>
        <w:sectPr>
          <w:pgSz w:w="11900" w:h="16838" w:orient="portrait"/>
          <w:cols w:equalWidth="0" w:num="1">
            <w:col w:w="11360"/>
          </w:cols>
          <w:pgMar w:left="240" w:top="455" w:right="2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c>
          <w:tcPr>
            <w:tcW w:w="22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99"/>
        </w:trPr>
        <w:tc>
          <w:tcPr>
            <w:tcW w:w="8860" w:type="dxa"/>
            <w:vAlign w:val="bottom"/>
            <w:gridSpan w:val="1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INCORPORATION OF CERTAIN DOCUMENTS BY REFERENCE</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9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392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GENERAL MOTORS COMPANY</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CONSOLIDATED RATIO OF EARNINGS TO FIXED CHARGES</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36">
              <w:r>
                <w:rPr>
                  <w:rFonts w:ascii="Times New Roman" w:cs="Times New Roman" w:eastAsia="Times New Roman" w:hAnsi="Times New Roman"/>
                  <w:sz w:val="18"/>
                  <w:szCs w:val="18"/>
                  <w:color w:val="0000EE"/>
                  <w:w w:val="96"/>
                </w:rPr>
                <w:t>CONSOLIDATED RATIO OF EARNINGS TO COMBINED FIXED CHARGES AND PREFERRED STOCK DIVIDENDS</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OVERVIEW OF OUR CAPITAL STOCK</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GENERAL DESCRIPTION OF SECURITIES THAT MAY BE OFFERED</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0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DESCRIPTION OF DEBT SECURITIES</w:t>
              </w:r>
            </w:hyperlink>
          </w:p>
        </w:tc>
        <w:tc>
          <w:tcPr>
            <w:tcW w:w="2340" w:type="dxa"/>
            <w:vAlign w:val="bottom"/>
            <w:tcBorders>
              <w:top w:val="single" w:sz="8" w:color="0000EE"/>
            </w:tcBorders>
            <w:gridSpan w:val="6"/>
          </w:tcPr>
          <w:p>
            <w:pPr>
              <w:spacing w:after="0"/>
              <w:rPr>
                <w:sz w:val="17"/>
                <w:szCs w:val="17"/>
                <w:color w:val="auto"/>
              </w:rPr>
            </w:pPr>
          </w:p>
        </w:tc>
        <w:tc>
          <w:tcPr>
            <w:tcW w:w="35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DESCRIPTION OF PREFERRED STOCK</w:t>
              </w:r>
            </w:hyperlink>
          </w:p>
        </w:tc>
        <w:tc>
          <w:tcPr>
            <w:tcW w:w="57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DESCRIPTION OF COMMON STOCK</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8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DESCRIPTION OF WARRANTS</w:t>
              </w:r>
            </w:hyperlink>
          </w:p>
        </w:tc>
        <w:tc>
          <w:tcPr>
            <w:tcW w:w="59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4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PLAN OF DISTRIBUTION</w:t>
              </w:r>
            </w:hyperlink>
          </w:p>
        </w:tc>
        <w:tc>
          <w:tcPr>
            <w:tcW w:w="644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LEGAL MATTERS</w:t>
              </w:r>
            </w:hyperlink>
          </w:p>
        </w:tc>
        <w:tc>
          <w:tcPr>
            <w:tcW w:w="686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1">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2"/>
          </w:tcPr>
          <w:p>
            <w:pPr>
              <w:spacing w:after="0"/>
              <w:rPr>
                <w:sz w:val="17"/>
                <w:szCs w:val="17"/>
                <w:color w:val="auto"/>
              </w:rPr>
            </w:pPr>
          </w:p>
        </w:tc>
        <w:tc>
          <w:tcPr>
            <w:tcW w:w="744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860" w:type="dxa"/>
            <w:vAlign w:val="bottom"/>
            <w:gridSpan w:val="19"/>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WHERE YOU CAN FIND MORE INFORMATION</w:t>
              </w:r>
            </w:hyperlink>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3" w:lineRule="exact"/>
        <w:rPr>
          <w:sz w:val="20"/>
          <w:szCs w:val="20"/>
          <w:color w:val="auto"/>
        </w:rPr>
      </w:pPr>
    </w:p>
    <w:p>
      <w:pPr>
        <w:ind w:right="280" w:firstLine="456"/>
        <w:spacing w:after="0" w:line="293" w:lineRule="auto"/>
        <w:rPr>
          <w:sz w:val="20"/>
          <w:szCs w:val="20"/>
          <w:color w:val="auto"/>
        </w:rPr>
      </w:pPr>
      <w:r>
        <w:rPr>
          <w:rFonts w:ascii="Times New Roman" w:cs="Times New Roman" w:eastAsia="Times New Roman" w:hAnsi="Times New Roman"/>
          <w:sz w:val="16"/>
          <w:szCs w:val="16"/>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date of completion of this offering (provided, however,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5" w:right="259" w:bottom="144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449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Reports on Form 8-K or Form 8-K/A</w:t>
      </w:r>
    </w:p>
    <w:p>
      <w:pPr>
        <w:spacing w:after="0" w:line="200" w:lineRule="exact"/>
        <w:rPr>
          <w:sz w:val="20"/>
          <w:szCs w:val="20"/>
          <w:color w:val="auto"/>
        </w:rPr>
      </w:pPr>
    </w:p>
    <w:p>
      <w:pPr>
        <w:spacing w:after="0" w:line="229" w:lineRule="exact"/>
        <w:rPr>
          <w:sz w:val="20"/>
          <w:szCs w:val="20"/>
          <w:color w:val="auto"/>
        </w:rPr>
      </w:pPr>
    </w:p>
    <w:p>
      <w:pPr>
        <w:ind w:right="1440"/>
        <w:spacing w:after="0" w:line="262" w:lineRule="auto"/>
        <w:rPr>
          <w:sz w:val="20"/>
          <w:szCs w:val="20"/>
          <w:color w:val="auto"/>
        </w:rPr>
      </w:pPr>
      <w:r>
        <w:rPr>
          <w:rFonts w:ascii="Times New Roman" w:cs="Times New Roman" w:eastAsia="Times New Roman" w:hAnsi="Times New Roman"/>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Period</w:t>
      </w:r>
    </w:p>
    <w:p>
      <w:pPr>
        <w:spacing w:after="0" w:line="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Year ended December 31, 2013 (filed with the SEC on February 6, 2014) Quarter ended March 31, 2014 (filed with the SEC on April 24, 2014) Dates filed: January 7, 2014, January 15, 2014 (2 filings), January 17, 2014, February 4, 2014, March 4, 2014, March 13, 2014, April 3, 2014 and April 21, 2014</w:t>
      </w:r>
    </w:p>
    <w:p>
      <w:pPr>
        <w:spacing w:after="0" w:line="803"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(313) 556-5000</w:t>
      </w:r>
    </w:p>
    <w:p>
      <w:pPr>
        <w:spacing w:after="0" w:line="10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2013, as updated by our subsequent filings under the Exchange Act, including Forms 10-Q and 8-K, and the risk factors contained or incorporated by reference in the accompanying prospectus supplement before acquiring any of the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17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design, build and sell cars, trucks and automobile parts worldwide. We also provide automotive financing services through General Motors Financial Company, Inc. (GM Financial).</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four automotive segments: GM North America (GMNA), GM Europe (GME), GM International Operations (GMIO) and GM South America (GMSA).</w:t>
      </w:r>
    </w:p>
    <w:p>
      <w:pPr>
        <w:spacing w:after="0" w:line="120"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RATIO OF EARNINGS TO FIXED CHARGES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consolidated ratio of our earnings to fixed charges for each of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July 10, 2009</w:t>
            </w:r>
          </w:p>
        </w:tc>
        <w:tc>
          <w:tcPr>
            <w:tcW w:w="4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106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Ended March 31,</w:t>
            </w:r>
          </w:p>
        </w:tc>
        <w:tc>
          <w:tcPr>
            <w:tcW w:w="13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560" w:type="dxa"/>
            <w:vAlign w:val="bottom"/>
            <w:tcBorders>
              <w:right w:val="single" w:sz="8" w:color="auto"/>
            </w:tcBorders>
            <w:gridSpan w:val="2"/>
            <w:vMerge w:val="restart"/>
          </w:tcPr>
          <w:p>
            <w:pPr>
              <w:jc w:val="center"/>
              <w:ind w:right="440"/>
              <w:spacing w:after="0" w:line="10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40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Borders>
              <w:right w:val="single" w:sz="8" w:color="auto"/>
            </w:tcBorders>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jc w:val="center"/>
              <w:ind w:left="872"/>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200" w:type="dxa"/>
            <w:vAlign w:val="bottom"/>
            <w:gridSpan w:val="2"/>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1300" w:type="dxa"/>
            <w:vAlign w:val="bottom"/>
            <w:gridSpan w:val="2"/>
          </w:tcPr>
          <w:p>
            <w:pPr>
              <w:jc w:val="right"/>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860" w:type="dxa"/>
            <w:vAlign w:val="bottom"/>
          </w:tcPr>
          <w:p>
            <w:pPr>
              <w:jc w:val="right"/>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1320" w:type="dxa"/>
            <w:vAlign w:val="bottom"/>
            <w:gridSpan w:val="2"/>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40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2009(a)</w:t>
            </w: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(b)</w:t>
            </w:r>
          </w:p>
        </w:tc>
        <w:tc>
          <w:tcPr>
            <w:tcW w:w="13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4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02"/>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4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rPr>
              <w:t>5.93</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(b)</w:t>
            </w:r>
          </w:p>
        </w:tc>
        <w:tc>
          <w:tcPr>
            <w:tcW w:w="46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 January 1, 2009 through July 9, 2009 include reorganization gains, net of $128.2 billion.</w:t>
      </w:r>
    </w:p>
    <w:p>
      <w:pPr>
        <w:spacing w:after="0" w:line="21" w:lineRule="exact"/>
        <w:rPr>
          <w:rFonts w:ascii="Times New Roman" w:cs="Times New Roman" w:eastAsia="Times New Roman" w:hAnsi="Times New Roman"/>
          <w:sz w:val="18"/>
          <w:szCs w:val="18"/>
          <w:color w:val="auto"/>
        </w:rPr>
      </w:pPr>
    </w:p>
    <w:p>
      <w:pPr>
        <w:jc w:val="both"/>
        <w:ind w:left="460" w:right="280" w:hanging="452"/>
        <w:spacing w:after="0" w:line="302" w:lineRule="auto"/>
        <w:tabs>
          <w:tab w:leader="none" w:pos="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RATIO OF EARNINGS TO COMBINED FIXED CHARGES AND PREFERRED STOCK DIVIDENDS</w:t>
      </w:r>
    </w:p>
    <w:p>
      <w:pPr>
        <w:spacing w:after="0" w:line="173"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consolidated ratio of our earnings to combined fixed charges and preferred stock dividends for each of the periods indicated:</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July 10, 2009</w:t>
            </w:r>
          </w:p>
        </w:tc>
        <w:tc>
          <w:tcPr>
            <w:tcW w:w="4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102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Ended March 31,</w:t>
            </w:r>
          </w:p>
        </w:tc>
        <w:tc>
          <w:tcPr>
            <w:tcW w:w="9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80" w:type="dxa"/>
            <w:vAlign w:val="bottom"/>
            <w:tcBorders>
              <w:right w:val="single" w:sz="8" w:color="auto"/>
            </w:tcBorders>
            <w:gridSpan w:val="2"/>
            <w:vMerge w:val="restart"/>
          </w:tcPr>
          <w:p>
            <w:pPr>
              <w:jc w:val="center"/>
              <w:ind w:right="580"/>
              <w:spacing w:after="0" w:line="10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44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left="412"/>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700" w:type="dxa"/>
            <w:vAlign w:val="bottom"/>
            <w:gridSpan w:val="2"/>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1260" w:type="dxa"/>
            <w:vAlign w:val="bottom"/>
            <w:gridSpan w:val="2"/>
          </w:tcPr>
          <w:p>
            <w:pPr>
              <w:ind w:left="740"/>
              <w:spacing w:after="0" w:line="129"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2"/>
                <w:szCs w:val="12"/>
                <w:color w:val="auto"/>
              </w:rPr>
            </w:pPr>
          </w:p>
        </w:tc>
        <w:tc>
          <w:tcPr>
            <w:tcW w:w="780" w:type="dxa"/>
            <w:vAlign w:val="bottom"/>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1260" w:type="dxa"/>
            <w:vAlign w:val="bottom"/>
            <w:gridSpan w:val="2"/>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4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2009(a)</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62"/>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ind w:left="48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 January 1, 2009 through July 9, 2009 include reorganization gains, net of $128.2 billion.</w:t>
      </w:r>
    </w:p>
    <w:p>
      <w:pPr>
        <w:spacing w:after="0" w:line="21" w:lineRule="exact"/>
        <w:rPr>
          <w:rFonts w:ascii="Times New Roman" w:cs="Times New Roman" w:eastAsia="Times New Roman" w:hAnsi="Times New Roman"/>
          <w:sz w:val="18"/>
          <w:szCs w:val="18"/>
          <w:color w:val="auto"/>
        </w:rPr>
      </w:pPr>
    </w:p>
    <w:p>
      <w:pPr>
        <w:ind w:left="460" w:hanging="452"/>
        <w:spacing w:after="0" w:line="254"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 the three months ended March 31, 2014, the year ended December 31, 2012 and the period July 10, 2009 through December 31, 2009 were inadequate to cover combined fixed charges and preferred stock dividends. Additional earnings of $0.6 billion, $29.7 billion and $5.0 billion in the three months ended March 31, 2014, the year ended December 31, 2012 and the period July 10, 2009 through December 31, 2009 would have been necessary to bring ratios for these periods to 1.0.</w:t>
      </w:r>
    </w:p>
    <w:p>
      <w:pPr>
        <w:spacing w:after="0" w:line="2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3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39"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our Series A Fixed Rate Cumulative Perpetual Preferred Stock (Series A Preferred Stock) and applicable provisions of law, in each case as currently in effect as of the date of this prospectus, and is qualified in its entirety by reference to the provisions of those documents.</w:t>
      </w:r>
    </w:p>
    <w:p>
      <w:pPr>
        <w:spacing w:after="0" w:line="13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As of April 25, 2014, 1,603,739,863 shares of our common stock were issued and outstanding. The general terms of our common stock are described below within the section of this prospectus entitled “Description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92"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The certificate of designations for the Series A Preferred Stock authorizes 360,000,000 shares of Series A Preferred Stock, 156 million of which were outstanding as of April 25, 2014. There are no mandatory redemption, mandatory repurchase or sinking fund provisions applicable to our Series A Preferred Stock.</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or any other class or series of our stock, and no shares of common stock or any other class or series of our stock may be repurchased or redeemed by us (subject to certain exceptions that are specified in the certificate of designations for the Series A Preferred Stock).</w:t>
      </w:r>
    </w:p>
    <w:p>
      <w:pPr>
        <w:spacing w:after="0" w:line="139" w:lineRule="exact"/>
        <w:rPr>
          <w:sz w:val="20"/>
          <w:szCs w:val="20"/>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or any other class or series of our stock: (1) the liquidation amount of $25.00 per share; and (2) the amount of any accrued and unpaid dividends, if any, whether or not declared, prior to such distribution or payment date.</w:t>
      </w:r>
    </w:p>
    <w:p>
      <w:pPr>
        <w:spacing w:after="0" w:line="97"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3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the Series A Preferred Stock are not convertible into or exchangeable for any other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2009, we issued three sets of warrants:</w:t>
      </w:r>
    </w:p>
    <w:p>
      <w:pPr>
        <w:spacing w:after="0" w:line="90" w:lineRule="exact"/>
        <w:rPr>
          <w:sz w:val="20"/>
          <w:szCs w:val="20"/>
          <w:color w:val="auto"/>
        </w:rPr>
      </w:pPr>
    </w:p>
    <w:p>
      <w:pPr>
        <w:ind w:left="900" w:right="380" w:hanging="325"/>
        <w:spacing w:after="0" w:line="334"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set of warrants to acquire 45,454,545 shares of common stock that are exercisable at any time prior to 5:00 p.m. New York City time, on December 31, 2015 at an exercise price of $42.31 per share and that are listed on the New York Stock Exchange under the symbol “GM.WS.C;”</w:t>
      </w:r>
    </w:p>
    <w:p>
      <w:pPr>
        <w:spacing w:after="0" w:line="1" w:lineRule="exact"/>
        <w:rPr>
          <w:rFonts w:ascii="Times New Roman" w:cs="Times New Roman" w:eastAsia="Times New Roman" w:hAnsi="Times New Roman"/>
          <w:sz w:val="16"/>
          <w:szCs w:val="16"/>
          <w:color w:val="auto"/>
        </w:rPr>
      </w:pPr>
    </w:p>
    <w:p>
      <w:pPr>
        <w:ind w:left="900" w:right="8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of April 25, 2014, there were a total of 180,893,718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55"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9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Our Bylaws provide that any vacancy occurring in our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94"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94"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in accordance with the stockholders agreement we entered into with the United States Department of Treasury and two of our stockholders - Canada GEN Investment Corporation and the UAW Retiree Medical Benefits Trust - or by any stockholder entitled to vote for the election of directors who complies with the applicable notice requirements.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51"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not more than 180 days and not less than 120 days in advance of the annual meeting;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not more than 15 days after the day on which notice of the special meeting is first mailed to stockholders.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51" w:lineRule="exact"/>
        <w:rPr>
          <w:sz w:val="20"/>
          <w:szCs w:val="20"/>
          <w:color w:val="auto"/>
        </w:rPr>
      </w:pPr>
    </w:p>
    <w:p>
      <w:pPr>
        <w:ind w:left="900" w:right="580" w:hanging="325"/>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38"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38" w:lineRule="exact"/>
        <w:rPr>
          <w:rFonts w:ascii="Times New Roman" w:cs="Times New Roman" w:eastAsia="Times New Roman" w:hAnsi="Times New Roman"/>
          <w:sz w:val="18"/>
          <w:szCs w:val="18"/>
          <w:color w:val="auto"/>
        </w:rPr>
      </w:pPr>
    </w:p>
    <w:p>
      <w:pPr>
        <w:ind w:left="900" w:right="460" w:hanging="325"/>
        <w:spacing w:after="0" w:line="339" w:lineRule="auto"/>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7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3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293" w:lineRule="exact"/>
        <w:rPr>
          <w:sz w:val="20"/>
          <w:szCs w:val="20"/>
          <w:color w:val="auto"/>
        </w:rPr>
      </w:pPr>
    </w:p>
    <w:p>
      <w:pPr>
        <w:ind w:left="460" w:right="2880" w:firstLine="2418"/>
        <w:spacing w:after="0" w:line="388" w:lineRule="auto"/>
        <w:rPr>
          <w:sz w:val="20"/>
          <w:szCs w:val="20"/>
          <w:color w:val="auto"/>
        </w:rPr>
      </w:pPr>
      <w:r>
        <w:rPr>
          <w:rFonts w:ascii="Times New Roman" w:cs="Times New Roman" w:eastAsia="Times New Roman" w:hAnsi="Times New Roman"/>
          <w:sz w:val="16"/>
          <w:szCs w:val="16"/>
          <w:b w:val="1"/>
          <w:bCs w:val="1"/>
          <w:color w:val="auto"/>
        </w:rPr>
        <w:t xml:space="preserve">GENERAL DESCRIPTION OF SECURITIES THAT MAY BE OFFERED </w:t>
      </w:r>
      <w:r>
        <w:rPr>
          <w:rFonts w:ascii="Times New Roman" w:cs="Times New Roman" w:eastAsia="Times New Roman" w:hAnsi="Times New Roman"/>
          <w:sz w:val="16"/>
          <w:szCs w:val="16"/>
          <w:color w:val="auto"/>
        </w:rPr>
        <w:t>The following securities may be offered, at any time and from time to time, pursuant to this prospectus:</w:t>
      </w:r>
    </w:p>
    <w:p>
      <w:pPr>
        <w:spacing w:after="0" w:line="1"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will be issued under an indenture dated as of September 27, 2013 between us and The Bank of New York Mellon, as trustee, which has been filed with the SEC as an exhibit to the registration statement of which this prospectus is a part,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36"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39" w:lineRule="exact"/>
        <w:rPr>
          <w:sz w:val="20"/>
          <w:szCs w:val="20"/>
          <w:color w:val="auto"/>
        </w:rPr>
      </w:pPr>
    </w:p>
    <w:p>
      <w:pPr>
        <w:jc w:val="both"/>
        <w:ind w:right="580" w:firstLine="456"/>
        <w:spacing w:after="0" w:line="310" w:lineRule="auto"/>
        <w:rPr>
          <w:sz w:val="20"/>
          <w:szCs w:val="20"/>
          <w:color w:val="auto"/>
        </w:rPr>
      </w:pPr>
      <w:r>
        <w:rPr>
          <w:rFonts w:ascii="Times New Roman" w:cs="Times New Roman" w:eastAsia="Times New Roman" w:hAnsi="Times New Roman"/>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39"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38" w:lineRule="exact"/>
        <w:rPr>
          <w:rFonts w:ascii="Times New Roman" w:cs="Times New Roman" w:eastAsia="Times New Roman" w:hAnsi="Times New Roman"/>
          <w:sz w:val="18"/>
          <w:szCs w:val="18"/>
          <w:color w:val="auto"/>
        </w:rPr>
      </w:pPr>
    </w:p>
    <w:p>
      <w:pPr>
        <w:ind w:left="900" w:right="80" w:hanging="325"/>
        <w:spacing w:after="0" w:line="310"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16"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90"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9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39"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90" w:lineRule="exact"/>
        <w:rPr>
          <w:rFonts w:ascii="Times New Roman" w:cs="Times New Roman" w:eastAsia="Times New Roman" w:hAnsi="Times New Roman"/>
          <w:sz w:val="18"/>
          <w:szCs w:val="18"/>
          <w:color w:val="auto"/>
        </w:rPr>
      </w:pPr>
    </w:p>
    <w:p>
      <w:pPr>
        <w:ind w:left="1480" w:hanging="446"/>
        <w:spacing w:after="0" w:line="253" w:lineRule="auto"/>
        <w:tabs>
          <w:tab w:leader="none" w:pos="14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480" w:right="260"/>
        <w:spacing w:after="0" w:line="275" w:lineRule="auto"/>
        <w:rPr>
          <w:sz w:val="20"/>
          <w:szCs w:val="20"/>
          <w:color w:val="auto"/>
        </w:rPr>
      </w:pPr>
      <w:r>
        <w:rPr>
          <w:rFonts w:ascii="Times New Roman" w:cs="Times New Roman" w:eastAsia="Times New Roman" w:hAnsi="Times New Roman"/>
          <w:sz w:val="18"/>
          <w:szCs w:val="18"/>
          <w:color w:val="auto"/>
        </w:rPr>
        <w:t>interest on, the debt securities of such series to the date of deposit (in the case of debt securities that have become due and payable) or the stated maturity date or redemption date thereof; and</w:t>
      </w:r>
    </w:p>
    <w:p>
      <w:pPr>
        <w:spacing w:after="0" w:line="39"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90"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55" w:lineRule="exact"/>
        <w:rPr>
          <w:sz w:val="20"/>
          <w:szCs w:val="20"/>
          <w:color w:val="auto"/>
        </w:rPr>
      </w:pPr>
    </w:p>
    <w:p>
      <w:pPr>
        <w:ind w:left="900" w:right="80" w:hanging="446"/>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38"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7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90" w:lineRule="exact"/>
        <w:rPr>
          <w:sz w:val="20"/>
          <w:szCs w:val="20"/>
          <w:color w:val="auto"/>
        </w:rPr>
      </w:pPr>
    </w:p>
    <w:p>
      <w:pPr>
        <w:ind w:left="900" w:hanging="446"/>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dollars (or such other currency or composite currency in which such debt securities are denominated) in an amount sufficient;</w:t>
      </w:r>
    </w:p>
    <w:p>
      <w:pPr>
        <w:spacing w:after="0" w:line="90" w:lineRule="exact"/>
        <w:rPr>
          <w:rFonts w:ascii="Times New Roman" w:cs="Times New Roman" w:eastAsia="Times New Roman" w:hAnsi="Times New Roman"/>
          <w:sz w:val="18"/>
          <w:szCs w:val="18"/>
          <w:color w:val="auto"/>
        </w:rPr>
      </w:pPr>
    </w:p>
    <w:p>
      <w:pPr>
        <w:ind w:left="1480" w:right="100" w:hanging="446"/>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such cash and eligible obligations in an amount sufficient,</w:t>
      </w:r>
    </w:p>
    <w:p>
      <w:pPr>
        <w:spacing w:after="0" w:line="90" w:lineRule="exact"/>
        <w:rPr>
          <w:sz w:val="20"/>
          <w:szCs w:val="20"/>
          <w:color w:val="auto"/>
        </w:rPr>
      </w:pPr>
    </w:p>
    <w:p>
      <w:pPr>
        <w:ind w:left="920" w:right="20"/>
        <w:spacing w:after="0" w:line="262" w:lineRule="auto"/>
        <w:rPr>
          <w:sz w:val="20"/>
          <w:szCs w:val="20"/>
          <w:color w:val="auto"/>
        </w:rPr>
      </w:pPr>
      <w:r>
        <w:rPr>
          <w:rFonts w:ascii="Times New Roman" w:cs="Times New Roman" w:eastAsia="Times New Roman" w:hAnsi="Times New Roman"/>
          <w:sz w:val="18"/>
          <w:szCs w:val="18"/>
          <w:color w:val="auto"/>
        </w:rPr>
        <w:t>in each case, in the written opinion of a nationally recognized firm of independent certified public accountants,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51" w:lineRule="exact"/>
        <w:rPr>
          <w:sz w:val="20"/>
          <w:szCs w:val="20"/>
          <w:color w:val="auto"/>
        </w:rPr>
      </w:pPr>
    </w:p>
    <w:p>
      <w:pPr>
        <w:ind w:left="900" w:right="80" w:hanging="446"/>
        <w:spacing w:after="0" w:line="258"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6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1"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38" w:lineRule="exact"/>
        <w:rPr>
          <w:rFonts w:ascii="Times New Roman" w:cs="Times New Roman" w:eastAsia="Times New Roman" w:hAnsi="Times New Roman"/>
          <w:sz w:val="18"/>
          <w:szCs w:val="18"/>
          <w:color w:val="auto"/>
        </w:rPr>
      </w:pPr>
    </w:p>
    <w:p>
      <w:pPr>
        <w:jc w:val="both"/>
        <w:ind w:left="900" w:right="20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51"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agreement whereby we irrevocably agree to forfeit our rights, if any, to extend the interest payment periods on such debt securities pursuant to the indenture;</w:t>
      </w:r>
    </w:p>
    <w:p>
      <w:pPr>
        <w:spacing w:after="0" w:line="38" w:lineRule="exact"/>
        <w:rPr>
          <w:rFonts w:ascii="Times New Roman" w:cs="Times New Roman" w:eastAsia="Times New Roman" w:hAnsi="Times New Roman"/>
          <w:sz w:val="18"/>
          <w:szCs w:val="18"/>
          <w:color w:val="auto"/>
        </w:rPr>
      </w:pPr>
    </w:p>
    <w:p>
      <w:pPr>
        <w:ind w:left="900" w:right="160" w:hanging="446"/>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51" w:lineRule="exact"/>
        <w:rPr>
          <w:rFonts w:ascii="Times New Roman" w:cs="Times New Roman" w:eastAsia="Times New Roman" w:hAnsi="Times New Roman"/>
          <w:sz w:val="18"/>
          <w:szCs w:val="18"/>
          <w:color w:val="auto"/>
        </w:rPr>
      </w:pPr>
    </w:p>
    <w:p>
      <w:pPr>
        <w:ind w:left="900" w:right="580" w:hanging="446"/>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38" w:lineRule="exact"/>
        <w:rPr>
          <w:rFonts w:ascii="Times New Roman" w:cs="Times New Roman" w:eastAsia="Times New Roman" w:hAnsi="Times New Roman"/>
          <w:sz w:val="18"/>
          <w:szCs w:val="18"/>
          <w:color w:val="auto"/>
        </w:rPr>
      </w:pPr>
    </w:p>
    <w:p>
      <w:pPr>
        <w:ind w:left="900" w:right="200" w:hanging="446"/>
        <w:spacing w:after="0" w:line="25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9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39" w:lineRule="exact"/>
        <w:rPr>
          <w:sz w:val="20"/>
          <w:szCs w:val="20"/>
          <w:color w:val="auto"/>
        </w:rPr>
      </w:pPr>
    </w:p>
    <w:p>
      <w:pPr>
        <w:ind w:left="900" w:right="160" w:hanging="446"/>
        <w:spacing w:after="0" w:line="25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5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38" w:lineRule="exact"/>
        <w:rPr>
          <w:rFonts w:ascii="Times New Roman" w:cs="Times New Roman" w:eastAsia="Times New Roman" w:hAnsi="Times New Roman"/>
          <w:sz w:val="18"/>
          <w:szCs w:val="18"/>
          <w:color w:val="auto"/>
        </w:rPr>
      </w:pPr>
    </w:p>
    <w:p>
      <w:pPr>
        <w:ind w:left="900" w:right="80" w:hanging="446"/>
        <w:spacing w:after="0" w:line="339"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74" w:lineRule="exact"/>
        <w:rPr>
          <w:sz w:val="20"/>
          <w:szCs w:val="20"/>
          <w:color w:val="auto"/>
        </w:rPr>
      </w:pPr>
    </w:p>
    <w:p>
      <w:pPr>
        <w:jc w:val="both"/>
        <w:ind w:right="40" w:firstLine="456"/>
        <w:spacing w:after="0" w:line="339" w:lineRule="auto"/>
        <w:rPr>
          <w:sz w:val="20"/>
          <w:szCs w:val="20"/>
          <w:color w:val="auto"/>
        </w:rPr>
      </w:pPr>
      <w:r>
        <w:rPr>
          <w:rFonts w:ascii="Times New Roman" w:cs="Times New Roman" w:eastAsia="Times New Roman" w:hAnsi="Times New Roman"/>
          <w:sz w:val="16"/>
          <w:szCs w:val="16"/>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62" w:lineRule="exact"/>
        <w:rPr>
          <w:sz w:val="20"/>
          <w:szCs w:val="20"/>
          <w:color w:val="auto"/>
        </w:rPr>
      </w:pPr>
    </w:p>
    <w:p>
      <w:pPr>
        <w:ind w:left="900" w:right="40" w:hanging="446"/>
        <w:spacing w:after="0" w:line="254"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60" w:lineRule="exact"/>
        <w:rPr>
          <w:rFonts w:ascii="Times New Roman" w:cs="Times New Roman" w:eastAsia="Times New Roman" w:hAnsi="Times New Roman"/>
          <w:sz w:val="18"/>
          <w:szCs w:val="18"/>
          <w:color w:val="auto"/>
        </w:rPr>
      </w:pPr>
    </w:p>
    <w:p>
      <w:pPr>
        <w:ind w:left="900" w:right="120" w:hanging="446"/>
        <w:spacing w:after="0" w:line="26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51" w:lineRule="exact"/>
        <w:rPr>
          <w:rFonts w:ascii="Times New Roman" w:cs="Times New Roman" w:eastAsia="Times New Roman" w:hAnsi="Times New Roman"/>
          <w:sz w:val="18"/>
          <w:szCs w:val="18"/>
          <w:color w:val="auto"/>
        </w:rPr>
      </w:pPr>
    </w:p>
    <w:p>
      <w:pPr>
        <w:jc w:val="both"/>
        <w:ind w:left="900" w:right="340" w:hanging="446"/>
        <w:spacing w:after="0" w:line="26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w:t>
      </w:r>
    </w:p>
    <w:p>
      <w:pPr>
        <w:spacing w:after="0" w:line="171"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39" w:lineRule="exact"/>
        <w:rPr>
          <w:sz w:val="20"/>
          <w:szCs w:val="20"/>
          <w:color w:val="auto"/>
        </w:rPr>
      </w:pPr>
    </w:p>
    <w:p>
      <w:pPr>
        <w:ind w:left="900" w:right="240" w:hanging="446"/>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 or</w:t>
      </w:r>
    </w:p>
    <w:p>
      <w:pPr>
        <w:spacing w:after="0" w:line="38" w:lineRule="exact"/>
        <w:rPr>
          <w:rFonts w:ascii="Times New Roman" w:cs="Times New Roman" w:eastAsia="Times New Roman" w:hAnsi="Times New Roman"/>
          <w:sz w:val="18"/>
          <w:szCs w:val="18"/>
          <w:color w:val="auto"/>
        </w:rPr>
      </w:pPr>
    </w:p>
    <w:p>
      <w:pPr>
        <w:ind w:left="900" w:right="640" w:hanging="446"/>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 or</w:t>
      </w:r>
    </w:p>
    <w:p>
      <w:pPr>
        <w:spacing w:after="0" w:line="90" w:lineRule="exact"/>
        <w:rPr>
          <w:rFonts w:ascii="Times New Roman" w:cs="Times New Roman" w:eastAsia="Times New Roman" w:hAnsi="Times New Roman"/>
          <w:sz w:val="18"/>
          <w:szCs w:val="18"/>
          <w:color w:val="auto"/>
        </w:rPr>
      </w:pPr>
    </w:p>
    <w:p>
      <w:pPr>
        <w:jc w:val="both"/>
        <w:ind w:left="900" w:right="40" w:hanging="446"/>
        <w:spacing w:after="0" w:line="26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51" w:lineRule="exact"/>
        <w:rPr>
          <w:rFonts w:ascii="Times New Roman" w:cs="Times New Roman" w:eastAsia="Times New Roman" w:hAnsi="Times New Roman"/>
          <w:sz w:val="18"/>
          <w:szCs w:val="18"/>
          <w:color w:val="auto"/>
        </w:rPr>
      </w:pPr>
    </w:p>
    <w:p>
      <w:pPr>
        <w:ind w:left="900" w:hanging="446"/>
        <w:spacing w:after="0" w:line="301" w:lineRule="auto"/>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change or eliminate any of the provisions of the indenture, or to add any new provision to the indenture, in respect of one or more series of debt securities; provided, however,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22" w:lineRule="exact"/>
        <w:rPr>
          <w:rFonts w:ascii="Times New Roman" w:cs="Times New Roman" w:eastAsia="Times New Roman" w:hAnsi="Times New Roman"/>
          <w:sz w:val="16"/>
          <w:szCs w:val="16"/>
          <w:color w:val="auto"/>
        </w:rPr>
      </w:pPr>
    </w:p>
    <w:p>
      <w:pPr>
        <w:ind w:left="900" w:right="20" w:hanging="446"/>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8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 or</w:t>
      </w:r>
    </w:p>
    <w:p>
      <w:pPr>
        <w:spacing w:after="0" w:line="90" w:lineRule="exact"/>
        <w:rPr>
          <w:rFonts w:ascii="Times New Roman" w:cs="Times New Roman" w:eastAsia="Times New Roman" w:hAnsi="Times New Roman"/>
          <w:sz w:val="18"/>
          <w:szCs w:val="18"/>
          <w:color w:val="auto"/>
        </w:rPr>
      </w:pPr>
    </w:p>
    <w:p>
      <w:pPr>
        <w:ind w:left="900" w:right="22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change any place or places where (a) the principal of or premium, if any, or interest, if any, on all or any series of debt securities shall be payable,</w:t>
      </w:r>
    </w:p>
    <w:p>
      <w:pPr>
        <w:spacing w:after="0" w:line="44" w:lineRule="exact"/>
        <w:rPr>
          <w:rFonts w:ascii="Times New Roman" w:cs="Times New Roman" w:eastAsia="Times New Roman" w:hAnsi="Times New Roman"/>
          <w:sz w:val="16"/>
          <w:szCs w:val="16"/>
          <w:color w:val="auto"/>
        </w:rPr>
      </w:pPr>
    </w:p>
    <w:p>
      <w:pPr>
        <w:ind w:left="900" w:right="280" w:hanging="1"/>
        <w:spacing w:after="0" w:line="323" w:lineRule="auto"/>
        <w:tabs>
          <w:tab w:leader="none" w:pos="1149"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5" w:lineRule="exact"/>
        <w:rPr>
          <w:rFonts w:ascii="Times New Roman" w:cs="Times New Roman" w:eastAsia="Times New Roman" w:hAnsi="Times New Roman"/>
          <w:sz w:val="16"/>
          <w:szCs w:val="16"/>
          <w:color w:val="auto"/>
        </w:rPr>
      </w:pPr>
    </w:p>
    <w:p>
      <w:pPr>
        <w:ind w:left="900" w:right="24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of any series of debt securities, or any tranche thereof, pursuant to the terms of the indenture, provided that any such action shall not adversely affect the interests of the holders of debt securities of such series or tranche or any other series of debt securities in any material respect; or</w:t>
      </w:r>
    </w:p>
    <w:p>
      <w:pPr>
        <w:spacing w:after="0" w:line="51" w:lineRule="exact"/>
        <w:rPr>
          <w:rFonts w:ascii="Times New Roman" w:cs="Times New Roman" w:eastAsia="Times New Roman" w:hAnsi="Times New Roman"/>
          <w:sz w:val="18"/>
          <w:szCs w:val="18"/>
          <w:color w:val="auto"/>
        </w:rPr>
      </w:pPr>
    </w:p>
    <w:p>
      <w:pPr>
        <w:ind w:left="900" w:right="66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38" w:lineRule="exact"/>
        <w:rPr>
          <w:rFonts w:ascii="Times New Roman" w:cs="Times New Roman" w:eastAsia="Times New Roman" w:hAnsi="Times New Roman"/>
          <w:sz w:val="18"/>
          <w:szCs w:val="18"/>
          <w:color w:val="auto"/>
        </w:rPr>
      </w:pPr>
    </w:p>
    <w:p>
      <w:pPr>
        <w:ind w:left="900" w:right="18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the indenture, provided that such action pursuant to this clause shall not adversely affect in any material respect the interests of the holders of any debt securities of any series outstanding on the date of such supplemental indenture.</w:t>
      </w:r>
    </w:p>
    <w:p>
      <w:pPr>
        <w:spacing w:after="0" w:line="132"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9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39" w:lineRule="exact"/>
        <w:rPr>
          <w:sz w:val="20"/>
          <w:szCs w:val="20"/>
          <w:color w:val="auto"/>
        </w:rPr>
      </w:pPr>
    </w:p>
    <w:p>
      <w:pPr>
        <w:ind w:left="900" w:hanging="446"/>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any debt security of that series when it becomes due and payable, and continuance of such default for a period of 30 days; provided that a valid extension of the interest payment period by us as permitted under the terms of any debt security of that series shall not constitute a failure to pay interest for this purpose;</w:t>
      </w:r>
    </w:p>
    <w:p>
      <w:pPr>
        <w:spacing w:after="0" w:line="51" w:lineRule="exact"/>
        <w:rPr>
          <w:rFonts w:ascii="Times New Roman" w:cs="Times New Roman" w:eastAsia="Times New Roman" w:hAnsi="Times New Roman"/>
          <w:sz w:val="18"/>
          <w:szCs w:val="18"/>
          <w:color w:val="auto"/>
        </w:rPr>
      </w:pPr>
    </w:p>
    <w:p>
      <w:pPr>
        <w:ind w:left="900" w:right="760" w:hanging="446"/>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38"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line="301" w:lineRule="auto"/>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22"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17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4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47"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39"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requesting holders have offered the trustee indemnity against the reasonable expenses and liabilities to be incurred in complying with the request;</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provided, however, that if an event of default has occurred and is continuing with respect to more than one series of debt securities of equal ranking,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36"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39" w:lineRule="exact"/>
        <w:rPr>
          <w:sz w:val="20"/>
          <w:szCs w:val="20"/>
          <w:color w:val="auto"/>
        </w:rPr>
      </w:pPr>
    </w:p>
    <w:p>
      <w:pPr>
        <w:ind w:left="900" w:right="20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38" w:lineRule="exact"/>
        <w:rPr>
          <w:rFonts w:ascii="Times New Roman" w:cs="Times New Roman" w:eastAsia="Times New Roman" w:hAnsi="Times New Roman"/>
          <w:sz w:val="18"/>
          <w:szCs w:val="18"/>
          <w:color w:val="auto"/>
        </w:rPr>
      </w:pPr>
    </w:p>
    <w:p>
      <w:pPr>
        <w:ind w:left="900" w:right="20" w:hanging="325"/>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32"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9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90"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17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not DTC participants may beneficially own securities held by or on behalf of DTC only through DTC participants or indirect participants in DTC.</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51"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2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9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Debt securities in physical, certificated form will be issued and delivered to each person that DTC identifies as a beneficial owner of the related global security only if:</w:t>
      </w:r>
    </w:p>
    <w:p>
      <w:pPr>
        <w:spacing w:after="0" w:line="39" w:lineRule="exact"/>
        <w:rPr>
          <w:sz w:val="20"/>
          <w:szCs w:val="20"/>
          <w:color w:val="auto"/>
        </w:rPr>
      </w:pPr>
    </w:p>
    <w:p>
      <w:pPr>
        <w:ind w:left="900" w:right="80" w:hanging="325"/>
        <w:spacing w:after="0" w:line="27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173" w:lineRule="exact"/>
        <w:rPr>
          <w:sz w:val="20"/>
          <w:szCs w:val="20"/>
          <w:color w:val="auto"/>
        </w:rPr>
      </w:pPr>
    </w:p>
    <w:p>
      <w:pPr>
        <w:jc w:val="both"/>
        <w:ind w:right="40" w:firstLine="456"/>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April 25, 2014, there were 156 million shares of Series A Preferred Stock outstanding. The terms of any shares of preferred stock offered pursuant to this prospectus will be set forth in an applicable prospectus supplement.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73"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Our only class of common stock is our common stock, par value $0.01 per share. Our Certificate of Incorporation currently authorizes our Board of Directors to issue 5,000,000,000 shares of common stock. As of April 25, 2014 1,603,739,863 shares of our common stock were issued and outstanding. There are no redemption or sinking fund provisions applicable to our common stock. All outstanding shares of our common stock are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stock entitled to vote thereon present in person or by proxy at the meeting, unless otherwise provided by applicable law.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common stock is listed on the New York Stock Exchange under the symbol “GM” and on the Toronto Stock Exchange under the symbol “GMM.”</w:t>
      </w: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20"/>
          </w:cols>
          <w:pgMar w:left="24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Reports and other information can also be inspected at the offices of the New York Stock Exchange, Inc., 20 Broad Street, New York, New York 10005, where our common stock is listed.</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240" w:top="455" w:right="49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19685</wp:posOffset>
            </wp:positionV>
            <wp:extent cx="4528185" cy="634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80" w:hanging="859"/>
        <w:spacing w:after="0"/>
        <w:tabs>
          <w:tab w:leader="none" w:pos="518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Senior Notes due 2025</w:t>
      </w:r>
    </w:p>
    <w:p>
      <w:pPr>
        <w:spacing w:after="0" w:line="43" w:lineRule="exact"/>
        <w:rPr>
          <w:sz w:val="20"/>
          <w:szCs w:val="20"/>
          <w:color w:val="auto"/>
        </w:rPr>
      </w:pPr>
    </w:p>
    <w:p>
      <w:pPr>
        <w:ind w:left="5180" w:hanging="859"/>
        <w:spacing w:after="0"/>
        <w:tabs>
          <w:tab w:leader="none" w:pos="518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Senior Notes due 2035</w:t>
      </w:r>
    </w:p>
    <w:p>
      <w:pPr>
        <w:spacing w:after="0" w:line="21" w:lineRule="exact"/>
        <w:rPr>
          <w:sz w:val="20"/>
          <w:szCs w:val="20"/>
          <w:color w:val="auto"/>
        </w:rPr>
      </w:pPr>
    </w:p>
    <w:p>
      <w:pPr>
        <w:ind w:left="5180" w:hanging="859"/>
        <w:spacing w:after="0"/>
        <w:tabs>
          <w:tab w:leader="none" w:pos="518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3194685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3375025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3"/>
    </w:lvl>
    <w:lvl w:ilvl="1">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Roman"/>
      <w:start w:val="3"/>
    </w:lvl>
  </w:abstractNum>
  <w:abstractNum w:abstractNumId="12">
    <w:nsid w:val="6CEAF087"/>
    <w:multiLevelType w:val="hybridMultilevel"/>
    <w:lvl w:ilvl="0">
      <w:lvlJc w:val="left"/>
      <w:lvlText w:val="(%1)"/>
      <w:numFmt w:val="lowerRoman"/>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lowerRoman"/>
      <w:start w:val="2"/>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lowerRoman"/>
      <w:start w:val="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Roman"/>
      <w:start w:val="1"/>
    </w:lvl>
    <w:lvl w:ilvl="1">
      <w:lvlJc w:val="left"/>
      <w:lvlText w:val="•"/>
      <w:numFmt w:val="bullet"/>
      <w:start w:val="1"/>
    </w:lvl>
  </w:abstractNum>
  <w:abstractNum w:abstractNumId="32">
    <w:nsid w:val="70A64E2A"/>
    <w:multiLevelType w:val="hybridMultilevel"/>
    <w:lvl w:ilvl="0">
      <w:lvlJc w:val="left"/>
      <w:lvlText w:val="(%1)"/>
      <w:numFmt w:val="lowerRoman"/>
      <w:start w:val="2"/>
    </w:lvl>
  </w:abstractNum>
  <w:abstractNum w:abstractNumId="33">
    <w:nsid w:val="6A2342EC"/>
    <w:multiLevelType w:val="hybridMultilevel"/>
    <w:lvl w:ilvl="0">
      <w:lvlJc w:val="left"/>
      <w:lvlText w:val="(%1)"/>
      <w:numFmt w:val="lowerRoman"/>
      <w:start w:val="1"/>
    </w:lvl>
  </w:abstractNum>
  <w:abstractNum w:abstractNumId="34">
    <w:nsid w:val="2A487CB0"/>
    <w:multiLevelType w:val="hybridMultilevel"/>
    <w:lvl w:ilvl="0">
      <w:lvlJc w:val="left"/>
      <w:lvlText w:val="(%1)"/>
      <w:numFmt w:val="lowerRoman"/>
      <w:start w:val="1"/>
    </w:lvl>
    <w:lvl w:ilvl="1">
      <w:lvlJc w:val="left"/>
      <w:lvlText w:val="•"/>
      <w:numFmt w:val="bullet"/>
      <w:start w:val="1"/>
    </w:lvl>
  </w:abstractNum>
  <w:abstractNum w:abstractNumId="35">
    <w:nsid w:val="1D4ED43B"/>
    <w:multiLevelType w:val="hybridMultilevel"/>
    <w:lvl w:ilvl="0">
      <w:lvlJc w:val="left"/>
      <w:lvlText w:val="(%1)"/>
      <w:numFmt w:val="lowerRoman"/>
      <w:start w:val="2"/>
    </w:lvl>
  </w:abstractNum>
  <w:abstractNum w:abstractNumId="36">
    <w:nsid w:val="725A06FB"/>
    <w:multiLevelType w:val="hybridMultilevel"/>
    <w:lvl w:ilvl="0">
      <w:lvlJc w:val="left"/>
      <w:lvlText w:val="(%1)"/>
      <w:numFmt w:val="lowerRoman"/>
      <w:start w:val="3"/>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1)"/>
      <w:numFmt w:val="lowerRoman"/>
      <w:start w:val="1"/>
    </w:lvl>
  </w:abstractNum>
  <w:abstractNum w:abstractNumId="39">
    <w:nsid w:val="7A6D8D3C"/>
    <w:multiLevelType w:val="hybridMultilevel"/>
    <w:lvl w:ilvl="0">
      <w:lvlJc w:val="left"/>
      <w:lvlText w:val="(%1)"/>
      <w:numFmt w:val="lowerRoman"/>
      <w:start w:val="1"/>
    </w:lvl>
  </w:abstractNum>
  <w:abstractNum w:abstractNumId="40">
    <w:nsid w:val="4B588F54"/>
    <w:multiLevelType w:val="hybridMultilevel"/>
    <w:lvl w:ilvl="0">
      <w:lvlJc w:val="left"/>
      <w:lvlText w:val="(%1)"/>
      <w:numFmt w:val="lowerRoman"/>
      <w:start w:val="7"/>
    </w:lvl>
    <w:lvl w:ilvl="1">
      <w:lvlJc w:val="left"/>
      <w:lvlText w:val="(%2)"/>
      <w:numFmt w:val="lowerLetter"/>
      <w:start w:val="2"/>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Roman"/>
      <w:start w:val="4"/>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2019-12-07T20:46:21Z</dcterms:created>
  <dcterms:modified xsi:type="dcterms:W3CDTF">2019-12-07T20:46:21Z</dcterms:modified>
</cp:coreProperties>
</file>