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771525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spacing w:after="0" w:line="144" w:lineRule="exact"/>
        <w:rPr>
          <w:sz w:val="24"/>
          <w:szCs w:val="24"/>
          <w:color w:val="auto"/>
        </w:rPr>
      </w:pPr>
    </w:p>
    <w:p>
      <w:pPr>
        <w:ind w:left="660" w:right="2180" w:hanging="635"/>
        <w:spacing w:after="0" w:line="236"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OR</w:t>
      </w:r>
    </w:p>
    <w:p>
      <w:pPr>
        <w:spacing w:after="0" w:line="144" w:lineRule="exact"/>
        <w:rPr>
          <w:sz w:val="24"/>
          <w:szCs w:val="24"/>
          <w:color w:val="auto"/>
        </w:rPr>
      </w:pPr>
    </w:p>
    <w:p>
      <w:pPr>
        <w:ind w:left="660" w:right="2160" w:hanging="635"/>
        <w:spacing w:after="0" w:line="236"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7" w:lineRule="exact"/>
        <w:rPr>
          <w:sz w:val="24"/>
          <w:szCs w:val="24"/>
          <w:color w:val="auto"/>
        </w:rPr>
      </w:pPr>
    </w:p>
    <w:p>
      <w:pPr>
        <w:ind w:left="46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3340735</wp:posOffset>
            </wp:positionH>
            <wp:positionV relativeFrom="paragraph">
              <wp:posOffset>119380</wp:posOffset>
            </wp:positionV>
            <wp:extent cx="469265" cy="443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9265" cy="443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GENERAL MOTORS COMPANY</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22"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508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1940" w:type="dxa"/>
            <w:vAlign w:val="bottom"/>
          </w:tcPr>
          <w:p>
            <w:pPr>
              <w:jc w:val="right"/>
              <w:ind w:right="150"/>
              <w:spacing w:after="0"/>
              <w:rPr>
                <w:sz w:val="20"/>
                <w:szCs w:val="20"/>
                <w:color w:val="auto"/>
              </w:rPr>
            </w:pPr>
            <w:r>
              <w:rPr>
                <w:rFonts w:ascii="Arial" w:cs="Arial" w:eastAsia="Arial" w:hAnsi="Arial"/>
                <w:sz w:val="18"/>
                <w:szCs w:val="18"/>
                <w:b w:val="1"/>
                <w:bCs w:val="1"/>
                <w:color w:val="auto"/>
              </w:rPr>
              <w:t>27-0756180</w:t>
            </w:r>
          </w:p>
        </w:tc>
      </w:tr>
      <w:tr>
        <w:trPr>
          <w:trHeight w:val="215"/>
        </w:trPr>
        <w:tc>
          <w:tcPr>
            <w:tcW w:w="5080" w:type="dxa"/>
            <w:vAlign w:val="bottom"/>
          </w:tcPr>
          <w:p>
            <w:pPr>
              <w:jc w:val="center"/>
              <w:ind w:right="1570"/>
              <w:spacing w:after="0"/>
              <w:rPr>
                <w:sz w:val="20"/>
                <w:szCs w:val="20"/>
                <w:color w:val="auto"/>
              </w:rPr>
            </w:pPr>
            <w:r>
              <w:rPr>
                <w:rFonts w:ascii="Arial" w:cs="Arial" w:eastAsia="Arial" w:hAnsi="Arial"/>
                <w:sz w:val="18"/>
                <w:szCs w:val="18"/>
                <w:i w:val="1"/>
                <w:iCs w:val="1"/>
                <w:color w:val="auto"/>
                <w:w w:val="93"/>
              </w:rPr>
              <w:t>(State or other jurisdiction of</w:t>
            </w:r>
          </w:p>
        </w:tc>
        <w:tc>
          <w:tcPr>
            <w:tcW w:w="1940" w:type="dxa"/>
            <w:vAlign w:val="bottom"/>
          </w:tcPr>
          <w:p>
            <w:pPr>
              <w:jc w:val="center"/>
              <w:ind w:left="510"/>
              <w:spacing w:after="0"/>
              <w:rPr>
                <w:sz w:val="20"/>
                <w:szCs w:val="20"/>
                <w:color w:val="auto"/>
              </w:rPr>
            </w:pPr>
            <w:r>
              <w:rPr>
                <w:rFonts w:ascii="Arial" w:cs="Arial" w:eastAsia="Arial" w:hAnsi="Arial"/>
                <w:sz w:val="18"/>
                <w:szCs w:val="18"/>
                <w:i w:val="1"/>
                <w:iCs w:val="1"/>
                <w:color w:val="auto"/>
                <w:w w:val="89"/>
              </w:rPr>
              <w:t>(I.R.S. Employer</w:t>
            </w:r>
          </w:p>
        </w:tc>
      </w:tr>
      <w:tr>
        <w:trPr>
          <w:trHeight w:val="230"/>
        </w:trPr>
        <w:tc>
          <w:tcPr>
            <w:tcW w:w="5080" w:type="dxa"/>
            <w:vAlign w:val="bottom"/>
          </w:tcPr>
          <w:p>
            <w:pPr>
              <w:jc w:val="center"/>
              <w:ind w:right="1570"/>
              <w:spacing w:after="0"/>
              <w:rPr>
                <w:sz w:val="20"/>
                <w:szCs w:val="20"/>
                <w:color w:val="auto"/>
              </w:rPr>
            </w:pPr>
            <w:r>
              <w:rPr>
                <w:rFonts w:ascii="Arial" w:cs="Arial" w:eastAsia="Arial" w:hAnsi="Arial"/>
                <w:sz w:val="18"/>
                <w:szCs w:val="18"/>
                <w:i w:val="1"/>
                <w:iCs w:val="1"/>
                <w:color w:val="auto"/>
                <w:w w:val="94"/>
              </w:rPr>
              <w:t>incorporation or organization)</w:t>
            </w:r>
          </w:p>
        </w:tc>
        <w:tc>
          <w:tcPr>
            <w:tcW w:w="1940" w:type="dxa"/>
            <w:vAlign w:val="bottom"/>
          </w:tcPr>
          <w:p>
            <w:pPr>
              <w:jc w:val="center"/>
              <w:ind w:left="510"/>
              <w:spacing w:after="0"/>
              <w:rPr>
                <w:sz w:val="20"/>
                <w:szCs w:val="20"/>
                <w:color w:val="auto"/>
              </w:rPr>
            </w:pPr>
            <w:r>
              <w:rPr>
                <w:rFonts w:ascii="Arial" w:cs="Arial" w:eastAsia="Arial" w:hAnsi="Arial"/>
                <w:sz w:val="18"/>
                <w:szCs w:val="18"/>
                <w:i w:val="1"/>
                <w:iCs w:val="1"/>
                <w:color w:val="auto"/>
                <w:w w:val="95"/>
              </w:rPr>
              <w:t>Identification No.)</w:t>
            </w:r>
          </w:p>
        </w:tc>
      </w:tr>
      <w:tr>
        <w:trPr>
          <w:trHeight w:val="334"/>
        </w:trPr>
        <w:tc>
          <w:tcPr>
            <w:tcW w:w="50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3"/>
              </w:rPr>
              <w:t>300 Renaissance Center, Detroit, Michigan</w:t>
            </w:r>
          </w:p>
        </w:tc>
        <w:tc>
          <w:tcPr>
            <w:tcW w:w="1940" w:type="dxa"/>
            <w:vAlign w:val="bottom"/>
          </w:tcPr>
          <w:p>
            <w:pPr>
              <w:jc w:val="right"/>
              <w:ind w:right="150"/>
              <w:spacing w:after="0"/>
              <w:rPr>
                <w:sz w:val="20"/>
                <w:szCs w:val="20"/>
                <w:color w:val="auto"/>
              </w:rPr>
            </w:pPr>
            <w:r>
              <w:rPr>
                <w:rFonts w:ascii="Arial" w:cs="Arial" w:eastAsia="Arial" w:hAnsi="Arial"/>
                <w:sz w:val="18"/>
                <w:szCs w:val="18"/>
                <w:b w:val="1"/>
                <w:bCs w:val="1"/>
                <w:color w:val="auto"/>
              </w:rPr>
              <w:t>48265 -3000</w:t>
            </w:r>
          </w:p>
        </w:tc>
      </w:tr>
      <w:tr>
        <w:trPr>
          <w:trHeight w:val="270"/>
        </w:trPr>
        <w:tc>
          <w:tcPr>
            <w:tcW w:w="5080" w:type="dxa"/>
            <w:vAlign w:val="bottom"/>
          </w:tcPr>
          <w:p>
            <w:pPr>
              <w:jc w:val="center"/>
              <w:ind w:right="159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940" w:type="dxa"/>
            <w:vAlign w:val="bottom"/>
          </w:tcPr>
          <w:p>
            <w:pPr>
              <w:jc w:val="center"/>
              <w:ind w:left="510"/>
              <w:spacing w:after="0"/>
              <w:rPr>
                <w:sz w:val="20"/>
                <w:szCs w:val="20"/>
                <w:color w:val="auto"/>
              </w:rPr>
            </w:pPr>
            <w:r>
              <w:rPr>
                <w:rFonts w:ascii="Arial" w:cs="Arial" w:eastAsia="Arial" w:hAnsi="Arial"/>
                <w:sz w:val="18"/>
                <w:szCs w:val="18"/>
                <w:i w:val="1"/>
                <w:iCs w:val="1"/>
                <w:color w:val="auto"/>
                <w:w w:val="91"/>
              </w:rPr>
              <w:t>(Zip Code)</w:t>
            </w:r>
          </w:p>
        </w:tc>
      </w:tr>
      <w:tr>
        <w:trPr>
          <w:trHeight w:val="309"/>
        </w:trPr>
        <w:tc>
          <w:tcPr>
            <w:tcW w:w="5080" w:type="dxa"/>
            <w:vAlign w:val="bottom"/>
          </w:tcPr>
          <w:p>
            <w:pPr>
              <w:jc w:val="right"/>
              <w:ind w:right="510"/>
              <w:spacing w:after="0"/>
              <w:rPr>
                <w:sz w:val="20"/>
                <w:szCs w:val="20"/>
                <w:color w:val="auto"/>
              </w:rPr>
            </w:pPr>
            <w:r>
              <w:rPr>
                <w:rFonts w:ascii="Arial" w:cs="Arial" w:eastAsia="Arial" w:hAnsi="Arial"/>
                <w:sz w:val="18"/>
                <w:szCs w:val="18"/>
                <w:b w:val="1"/>
                <w:bCs w:val="1"/>
                <w:color w:val="auto"/>
              </w:rPr>
              <w:t>(313) 667-1500</w:t>
            </w:r>
          </w:p>
        </w:tc>
        <w:tc>
          <w:tcPr>
            <w:tcW w:w="194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tbl>
      <w:tblPr>
        <w:tblLayout w:type="fixed"/>
        <w:tblInd w:w="140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2420" w:type="dxa"/>
            <w:vAlign w:val="bottom"/>
            <w:gridSpan w:val="2"/>
          </w:tcPr>
          <w:p>
            <w:pPr>
              <w:jc w:val="center"/>
              <w:ind w:right="1180"/>
              <w:spacing w:after="0"/>
              <w:rPr>
                <w:sz w:val="20"/>
                <w:szCs w:val="20"/>
                <w:color w:val="auto"/>
              </w:rPr>
            </w:pPr>
            <w:r>
              <w:rPr>
                <w:rFonts w:ascii="Arial" w:cs="Arial" w:eastAsia="Arial" w:hAnsi="Arial"/>
                <w:sz w:val="17"/>
                <w:szCs w:val="17"/>
                <w:color w:val="auto"/>
                <w:w w:val="91"/>
              </w:rPr>
              <w:t>Title of each class</w:t>
            </w:r>
          </w:p>
        </w:tc>
        <w:tc>
          <w:tcPr>
            <w:tcW w:w="2480" w:type="dxa"/>
            <w:vAlign w:val="bottom"/>
            <w:gridSpan w:val="3"/>
          </w:tcPr>
          <w:p>
            <w:pPr>
              <w:jc w:val="center"/>
              <w:ind w:left="94"/>
              <w:spacing w:after="0"/>
              <w:rPr>
                <w:sz w:val="20"/>
                <w:szCs w:val="20"/>
                <w:color w:val="auto"/>
              </w:rPr>
            </w:pPr>
            <w:r>
              <w:rPr>
                <w:rFonts w:ascii="Arial" w:cs="Arial" w:eastAsia="Arial" w:hAnsi="Arial"/>
                <w:sz w:val="17"/>
                <w:szCs w:val="17"/>
                <w:color w:val="auto"/>
                <w:w w:val="93"/>
              </w:rPr>
              <w:t>Trading Symbol(s)</w:t>
            </w:r>
          </w:p>
        </w:tc>
        <w:tc>
          <w:tcPr>
            <w:tcW w:w="3520" w:type="dxa"/>
            <w:vAlign w:val="bottom"/>
            <w:gridSpan w:val="2"/>
          </w:tcPr>
          <w:p>
            <w:pPr>
              <w:jc w:val="center"/>
              <w:ind w:left="394"/>
              <w:spacing w:after="0"/>
              <w:rPr>
                <w:sz w:val="20"/>
                <w:szCs w:val="20"/>
                <w:color w:val="auto"/>
              </w:rPr>
            </w:pPr>
            <w:r>
              <w:rPr>
                <w:rFonts w:ascii="Arial" w:cs="Arial" w:eastAsia="Arial" w:hAnsi="Arial"/>
                <w:sz w:val="17"/>
                <w:szCs w:val="17"/>
                <w:color w:val="auto"/>
                <w:w w:val="90"/>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45"/>
        </w:trPr>
        <w:tc>
          <w:tcPr>
            <w:tcW w:w="2920" w:type="dxa"/>
            <w:vAlign w:val="bottom"/>
            <w:gridSpan w:val="3"/>
          </w:tcPr>
          <w:p>
            <w:pPr>
              <w:jc w:val="center"/>
              <w:ind w:right="680"/>
              <w:spacing w:after="0"/>
              <w:rPr>
                <w:sz w:val="20"/>
                <w:szCs w:val="20"/>
                <w:color w:val="auto"/>
              </w:rPr>
            </w:pPr>
            <w:r>
              <w:rPr>
                <w:rFonts w:ascii="Arial" w:cs="Arial" w:eastAsia="Arial" w:hAnsi="Arial"/>
                <w:sz w:val="17"/>
                <w:szCs w:val="17"/>
                <w:color w:val="auto"/>
                <w:w w:val="92"/>
              </w:rPr>
              <w:t>Common Stock, $0.01 par value</w:t>
            </w:r>
          </w:p>
        </w:tc>
        <w:tc>
          <w:tcPr>
            <w:tcW w:w="680" w:type="dxa"/>
            <w:vAlign w:val="bottom"/>
          </w:tcPr>
          <w:p>
            <w:pPr>
              <w:spacing w:after="0"/>
              <w:rPr>
                <w:sz w:val="21"/>
                <w:szCs w:val="21"/>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7"/>
                <w:szCs w:val="17"/>
                <w:color w:val="auto"/>
              </w:rPr>
              <w:t>GM</w:t>
            </w:r>
          </w:p>
        </w:tc>
        <w:tc>
          <w:tcPr>
            <w:tcW w:w="480" w:type="dxa"/>
            <w:vAlign w:val="bottom"/>
          </w:tcPr>
          <w:p>
            <w:pPr>
              <w:spacing w:after="0"/>
              <w:rPr>
                <w:sz w:val="21"/>
                <w:szCs w:val="21"/>
                <w:color w:val="auto"/>
              </w:rPr>
            </w:pPr>
          </w:p>
        </w:tc>
        <w:tc>
          <w:tcPr>
            <w:tcW w:w="3040" w:type="dxa"/>
            <w:vAlign w:val="bottom"/>
          </w:tcPr>
          <w:p>
            <w:pPr>
              <w:jc w:val="center"/>
              <w:spacing w:after="0"/>
              <w:rPr>
                <w:sz w:val="20"/>
                <w:szCs w:val="20"/>
                <w:color w:val="auto"/>
              </w:rPr>
            </w:pPr>
            <w:r>
              <w:rPr>
                <w:rFonts w:ascii="Arial" w:cs="Arial" w:eastAsia="Arial" w:hAnsi="Arial"/>
                <w:sz w:val="17"/>
                <w:szCs w:val="17"/>
                <w:color w:val="auto"/>
                <w:w w:val="92"/>
              </w:rPr>
              <w:t>New York Stock Exchange</w:t>
            </w:r>
          </w:p>
        </w:tc>
      </w:tr>
    </w:tbl>
    <w:p>
      <w:pPr>
        <w:spacing w:after="0" w:line="146" w:lineRule="exact"/>
        <w:rPr>
          <w:sz w:val="24"/>
          <w:szCs w:val="24"/>
          <w:color w:val="auto"/>
        </w:rPr>
      </w:pPr>
    </w:p>
    <w:p>
      <w:pPr>
        <w:jc w:val="both"/>
        <w:ind w:firstLine="81"/>
        <w:spacing w:after="0" w:line="29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5" w:lineRule="exact"/>
        <w:rPr>
          <w:sz w:val="24"/>
          <w:szCs w:val="24"/>
          <w:color w:val="auto"/>
        </w:rPr>
      </w:pPr>
    </w:p>
    <w:p>
      <w:pPr>
        <w:jc w:val="both"/>
        <w:ind w:firstLine="81"/>
        <w:spacing w:after="0" w:line="225"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ind w:firstLine="81"/>
        <w:spacing w:after="0" w:line="26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p>
      <w:pPr>
        <w:ind w:left="80"/>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Non-accelerated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7"/>
          <w:szCs w:val="17"/>
          <w:color w:val="auto"/>
        </w:rPr>
        <w:t>☐</w:t>
      </w:r>
    </w:p>
    <w:p>
      <w:pPr>
        <w:spacing w:after="0" w:line="158" w:lineRule="exact"/>
        <w:rPr>
          <w:sz w:val="24"/>
          <w:szCs w:val="24"/>
          <w:color w:val="auto"/>
        </w:rPr>
      </w:pPr>
    </w:p>
    <w:p>
      <w:pPr>
        <w:jc w:val="both"/>
        <w:ind w:firstLine="81"/>
        <w:spacing w:after="0" w:line="23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4" w:lineRule="exact"/>
        <w:rPr>
          <w:sz w:val="24"/>
          <w:szCs w:val="24"/>
          <w:color w:val="auto"/>
        </w:rPr>
      </w:pPr>
    </w:p>
    <w:p>
      <w:pPr>
        <w:ind w:left="80" w:right="2220"/>
        <w:spacing w:after="0" w:line="292"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12, 2023 there were 1,369,481,206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741045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130810</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20" w:type="dxa"/>
            <w:vAlign w:val="bottom"/>
          </w:tcPr>
          <w:p>
            <w:pPr>
              <w:jc w:val="center"/>
              <w:ind w:right="1330"/>
              <w:spacing w:after="0"/>
              <w:rPr>
                <w:sz w:val="20"/>
                <w:szCs w:val="20"/>
                <w:color w:val="auto"/>
              </w:rPr>
            </w:pPr>
            <w:r>
              <w:rPr>
                <w:rFonts w:ascii="Arial" w:cs="Arial" w:eastAsia="Arial" w:hAnsi="Arial"/>
                <w:sz w:val="18"/>
                <w:szCs w:val="18"/>
                <w:b w:val="1"/>
                <w:bCs w:val="1"/>
                <w:color w:val="auto"/>
              </w:rPr>
              <w:t>INDEX</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20" w:type="dxa"/>
            <w:vAlign w:val="bottom"/>
            <w:vMerge w:val="restart"/>
          </w:tcPr>
          <w:p>
            <w:pPr>
              <w:jc w:val="center"/>
              <w:ind w:right="1370"/>
              <w:spacing w:after="0"/>
              <w:rPr>
                <w:sz w:val="20"/>
                <w:szCs w:val="20"/>
                <w:color w:val="auto"/>
              </w:rPr>
            </w:pPr>
            <w:r>
              <w:rPr>
                <w:rFonts w:ascii="Arial" w:cs="Arial" w:eastAsia="Arial" w:hAnsi="Arial"/>
                <w:sz w:val="18"/>
                <w:szCs w:val="18"/>
                <w:b w:val="1"/>
                <w:bCs w:val="1"/>
                <w:color w:val="auto"/>
                <w:w w:val="98"/>
              </w:rPr>
              <w:t>PART I</w:t>
            </w:r>
          </w:p>
        </w:tc>
        <w:tc>
          <w:tcPr>
            <w:tcW w:w="540" w:type="dxa"/>
            <w:vAlign w:val="bottom"/>
            <w:gridSpan w:val="5"/>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720" w:type="dxa"/>
            <w:vAlign w:val="bottom"/>
            <w:vMerge w:val="continue"/>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Condensed Consolidated Income Statements (Unaudited)</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Statements of Comprehensive Income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Condensed Consolidated Balance Sheets (Unaudited)</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Statements of Cash Flows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Condensed Consolidated Statements of Equity (Unaudited)</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Notes to 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Nature of Operations and Basis of Presentation</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Note 2.</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3.</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Marketable and Other Securities</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Note 4.</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GM Financial Receivables and Transactions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5.</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Inventories</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6.</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Equipment on Operating Leases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7.</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Equity in Net Assets of Nonconsolidated Affiliates</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8.</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Variable Interest Entities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9.</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Debt</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10.</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Derivative Financial Instruments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11.</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Product Warranty and Related Liabilities</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12.</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Pensions and Other Postretirement Benefits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13.</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Commitments and Contingencies</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14.</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Income Taxes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15.</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Restructuring and Other Initiatives</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16.</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Stockholders' Equity and Noncontrolling Interests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17.</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Earnings Per Share</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18.</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Stock Incentive Plans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19.</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Segment Reporting</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8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3.</w:t>
            </w: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8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Controls and Procedures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8720" w:type="dxa"/>
            <w:vAlign w:val="bottom"/>
            <w:tcBorders>
              <w:top w:val="single" w:sz="8" w:color="CCEEFF"/>
            </w:tcBorders>
          </w:tcPr>
          <w:p>
            <w:pPr>
              <w:jc w:val="center"/>
              <w:ind w:right="1370"/>
              <w:spacing w:after="0"/>
              <w:rPr>
                <w:sz w:val="20"/>
                <w:szCs w:val="20"/>
                <w:color w:val="auto"/>
              </w:rPr>
            </w:pPr>
            <w:r>
              <w:rPr>
                <w:rFonts w:ascii="Arial" w:cs="Arial" w:eastAsia="Arial" w:hAnsi="Arial"/>
                <w:sz w:val="18"/>
                <w:szCs w:val="18"/>
                <w:b w:val="1"/>
                <w:bCs w:val="1"/>
                <w:color w:val="auto"/>
              </w:rPr>
              <w:t>PART II</w:t>
            </w: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8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Legal Proceedings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1A.</w:t>
            </w:r>
          </w:p>
        </w:tc>
        <w:tc>
          <w:tcPr>
            <w:tcW w:w="1120" w:type="dxa"/>
            <w:vAlign w:val="bottom"/>
          </w:tcPr>
          <w:p>
            <w:pPr>
              <w:ind w:left="140"/>
              <w:spacing w:after="0" w:line="189" w:lineRule="exact"/>
              <w:rPr>
                <w:sz w:val="20"/>
                <w:szCs w:val="20"/>
                <w:color w:val="auto"/>
              </w:rPr>
            </w:pPr>
            <w:r>
              <w:rPr>
                <w:rFonts w:ascii="Arial" w:cs="Arial" w:eastAsia="Arial" w:hAnsi="Arial"/>
                <w:sz w:val="18"/>
                <w:szCs w:val="18"/>
                <w:color w:val="auto"/>
                <w:w w:val="95"/>
              </w:rPr>
              <w:t>Risk Factors</w:t>
            </w: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8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5.</w:t>
            </w: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Other Information</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6.</w:t>
            </w:r>
          </w:p>
        </w:tc>
        <w:tc>
          <w:tcPr>
            <w:tcW w:w="11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Exhibits</w:t>
            </w:r>
          </w:p>
        </w:tc>
        <w:tc>
          <w:tcPr>
            <w:tcW w:w="8720" w:type="dxa"/>
            <w:vAlign w:val="bottom"/>
            <w:shd w:val="clear" w:color="auto" w:fill="CCEEFF"/>
          </w:tcPr>
          <w:p>
            <w:pPr>
              <w:spacing w:after="0"/>
              <w:rPr>
                <w:sz w:val="16"/>
                <w:szCs w:val="16"/>
                <w:color w:val="auto"/>
              </w:rPr>
            </w:pP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Signature</w:t>
            </w:r>
          </w:p>
        </w:tc>
        <w:tc>
          <w:tcPr>
            <w:tcW w:w="1120" w:type="dxa"/>
            <w:vAlign w:val="bottom"/>
          </w:tcPr>
          <w:p>
            <w:pPr>
              <w:spacing w:after="0"/>
              <w:rPr>
                <w:sz w:val="16"/>
                <w:szCs w:val="16"/>
                <w:color w:val="auto"/>
              </w:rPr>
            </w:pP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3"/>
        </w:trPr>
        <w:tc>
          <w:tcPr>
            <w:tcW w:w="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8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5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5"/>
        </w:trPr>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2023</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2022</w:t>
            </w:r>
          </w:p>
        </w:tc>
        <w:tc>
          <w:tcPr>
            <w:tcW w:w="14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2023</w:t>
            </w:r>
          </w:p>
        </w:tc>
        <w:tc>
          <w:tcPr>
            <w:tcW w:w="140" w:type="dxa"/>
            <w:vAlign w:val="bottom"/>
          </w:tcPr>
          <w:p>
            <w:pPr>
              <w:spacing w:after="0"/>
              <w:rPr>
                <w:sz w:val="15"/>
                <w:szCs w:val="15"/>
                <w:color w:val="auto"/>
              </w:rPr>
            </w:pPr>
          </w:p>
        </w:tc>
        <w:tc>
          <w:tcPr>
            <w:tcW w:w="1300" w:type="dxa"/>
            <w:vAlign w:val="bottom"/>
          </w:tcPr>
          <w:p>
            <w:pPr>
              <w:jc w:val="right"/>
              <w:ind w:right="120"/>
              <w:spacing w:after="0"/>
              <w:rPr>
                <w:sz w:val="20"/>
                <w:szCs w:val="20"/>
                <w:color w:val="auto"/>
              </w:rPr>
            </w:pPr>
            <w:r>
              <w:rPr>
                <w:rFonts w:ascii="Arial" w:cs="Arial" w:eastAsia="Arial" w:hAnsi="Arial"/>
                <w:sz w:val="13"/>
                <w:szCs w:val="13"/>
                <w:b w:val="1"/>
                <w:bCs w:val="1"/>
                <w:color w:val="auto"/>
                <w:w w:val="88"/>
              </w:rPr>
              <w:t>September 30, 2022</w:t>
            </w:r>
          </w:p>
        </w:tc>
      </w:tr>
      <w:tr>
        <w:trPr>
          <w:trHeight w:val="19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Net sales and revenue</w:t>
            </w: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18"/>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40,498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118,398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104,141</w:t>
            </w:r>
          </w:p>
        </w:tc>
      </w:tr>
      <w:tr>
        <w:trPr>
          <w:trHeight w:val="212"/>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9,486</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sales and revenue (Note 2)</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44,131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128,863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113,627</w:t>
            </w:r>
          </w:p>
        </w:tc>
      </w:tr>
      <w:tr>
        <w:trPr>
          <w:trHeight w:val="192"/>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8"/>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 and other cost of sales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35,842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104,721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92,314</w:t>
            </w:r>
          </w:p>
        </w:tc>
      </w:tr>
      <w:tr>
        <w:trPr>
          <w:trHeight w:val="212"/>
        </w:trPr>
        <w:tc>
          <w:tcPr>
            <w:tcW w:w="5200" w:type="dxa"/>
            <w:vAlign w:val="bottom"/>
          </w:tcPr>
          <w:p>
            <w:pPr>
              <w:ind w:left="140"/>
              <w:spacing w:after="0"/>
              <w:rPr>
                <w:sz w:val="20"/>
                <w:szCs w:val="20"/>
                <w:color w:val="auto"/>
              </w:rPr>
            </w:pPr>
            <w:r>
              <w:rPr>
                <w:rFonts w:ascii="Arial" w:cs="Arial" w:eastAsia="Arial" w:hAnsi="Arial"/>
                <w:sz w:val="16"/>
                <w:szCs w:val="16"/>
                <w:color w:val="auto"/>
              </w:rPr>
              <w:t>GM Financial interest, operating and other expenses</w:t>
            </w:r>
          </w:p>
        </w:tc>
        <w:tc>
          <w:tcPr>
            <w:tcW w:w="1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2,933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8,313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6,335</w:t>
            </w:r>
          </w:p>
        </w:tc>
      </w:tr>
      <w:tr>
        <w:trPr>
          <w:trHeight w:val="218"/>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 and other selling, general and administrative expense</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2,344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7,449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7,274</w:t>
            </w:r>
          </w:p>
        </w:tc>
      </w:tr>
      <w:tr>
        <w:trPr>
          <w:trHeight w:val="206"/>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41,118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38,497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120,483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105,922</w:t>
            </w:r>
          </w:p>
        </w:tc>
      </w:tr>
      <w:tr>
        <w:trPr>
          <w:trHeight w:val="211"/>
        </w:trPr>
        <w:tc>
          <w:tcPr>
            <w:tcW w:w="5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income (loss)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7,704</w:t>
            </w:r>
          </w:p>
        </w:tc>
      </w:tr>
      <w:tr>
        <w:trPr>
          <w:trHeight w:val="212"/>
        </w:trPr>
        <w:tc>
          <w:tcPr>
            <w:tcW w:w="5200" w:type="dxa"/>
            <w:vAlign w:val="bottom"/>
          </w:tcPr>
          <w:p>
            <w:pPr>
              <w:ind w:left="20"/>
              <w:spacing w:after="0"/>
              <w:rPr>
                <w:sz w:val="20"/>
                <w:szCs w:val="20"/>
                <w:color w:val="auto"/>
              </w:rPr>
            </w:pPr>
            <w:r>
              <w:rPr>
                <w:rFonts w:ascii="Arial" w:cs="Arial" w:eastAsia="Arial" w:hAnsi="Arial"/>
                <w:sz w:val="16"/>
                <w:szCs w:val="16"/>
                <w:color w:val="auto"/>
              </w:rPr>
              <w:t>Automotive interest expense</w:t>
            </w:r>
          </w:p>
        </w:tc>
        <w:tc>
          <w:tcPr>
            <w:tcW w:w="1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719</w:t>
            </w:r>
          </w:p>
        </w:tc>
      </w:tr>
      <w:tr>
        <w:trPr>
          <w:trHeight w:val="218"/>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and other non-operating income,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r>
      <w:tr>
        <w:trPr>
          <w:trHeight w:val="21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income (loss) (Note 7)</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9,009</w:t>
            </w:r>
          </w:p>
        </w:tc>
      </w:tr>
      <w:tr>
        <w:trPr>
          <w:trHeight w:val="21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 (Note 14)</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7,701</w:t>
            </w:r>
          </w:p>
        </w:tc>
      </w:tr>
      <w:tr>
        <w:trPr>
          <w:trHeight w:val="21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(income) attributable to noncontrolling interests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r>
      <w:tr>
        <w:trPr>
          <w:trHeight w:val="23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8,026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stockholders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6,931</w:t>
            </w:r>
          </w:p>
        </w:tc>
      </w:tr>
      <w:tr>
        <w:trPr>
          <w:trHeight w:val="54"/>
        </w:trPr>
        <w:tc>
          <w:tcPr>
            <w:tcW w:w="5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(Note 17)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2"/>
        </w:trPr>
        <w:tc>
          <w:tcPr>
            <w:tcW w:w="5200" w:type="dxa"/>
            <w:vAlign w:val="bottom"/>
          </w:tcPr>
          <w:p>
            <w:pPr>
              <w:ind w:left="140"/>
              <w:spacing w:after="0"/>
              <w:rPr>
                <w:sz w:val="20"/>
                <w:szCs w:val="20"/>
                <w:color w:val="auto"/>
              </w:rPr>
            </w:pPr>
            <w:r>
              <w:rPr>
                <w:rFonts w:ascii="Arial" w:cs="Arial" w:eastAsia="Arial" w:hAnsi="Arial"/>
                <w:sz w:val="16"/>
                <w:szCs w:val="16"/>
                <w:color w:val="auto"/>
              </w:rPr>
              <w:t>Basic earnings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4.76</w:t>
            </w:r>
          </w:p>
        </w:tc>
      </w:tr>
      <w:tr>
        <w:trPr>
          <w:trHeight w:val="218"/>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common shares outstanding – basic</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w:t>
            </w:r>
          </w:p>
        </w:tc>
      </w:tr>
      <w:tr>
        <w:trPr>
          <w:trHeight w:val="212"/>
        </w:trPr>
        <w:tc>
          <w:tcPr>
            <w:tcW w:w="520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218"/>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common shares outstanding – diluted</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r>
      <w:tr>
        <w:trPr>
          <w:trHeight w:val="54"/>
        </w:trPr>
        <w:tc>
          <w:tcPr>
            <w:tcW w:w="5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Dividends declared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780" w:type="dxa"/>
            <w:vAlign w:val="bottom"/>
            <w:gridSpan w:val="4"/>
          </w:tcPr>
          <w:p>
            <w:pPr>
              <w:jc w:val="right"/>
              <w:ind w:right="782"/>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5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2"/>
        </w:trPr>
        <w:tc>
          <w:tcPr>
            <w:tcW w:w="5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September 30, 2023</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02"/>
              <w:spacing w:after="0"/>
              <w:rPr>
                <w:sz w:val="20"/>
                <w:szCs w:val="20"/>
                <w:color w:val="auto"/>
              </w:rPr>
            </w:pPr>
            <w:r>
              <w:rPr>
                <w:rFonts w:ascii="Arial" w:cs="Arial" w:eastAsia="Arial" w:hAnsi="Arial"/>
                <w:sz w:val="13"/>
                <w:szCs w:val="13"/>
                <w:b w:val="1"/>
                <w:bCs w:val="1"/>
                <w:color w:val="auto"/>
                <w:w w:val="87"/>
              </w:rPr>
              <w:t>September 30, 2022</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September 30, 2023</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02"/>
              <w:spacing w:after="0"/>
              <w:rPr>
                <w:sz w:val="20"/>
                <w:szCs w:val="20"/>
                <w:color w:val="auto"/>
              </w:rPr>
            </w:pPr>
            <w:r>
              <w:rPr>
                <w:rFonts w:ascii="Arial" w:cs="Arial" w:eastAsia="Arial" w:hAnsi="Arial"/>
                <w:sz w:val="13"/>
                <w:szCs w:val="13"/>
                <w:b w:val="1"/>
                <w:bCs w:val="1"/>
                <w:color w:val="auto"/>
                <w:w w:val="88"/>
              </w:rPr>
              <w:t>September 30, 2022</w:t>
            </w:r>
          </w:p>
        </w:tc>
      </w:tr>
      <w:tr>
        <w:trPr>
          <w:trHeight w:val="215"/>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7,701</w:t>
            </w:r>
          </w:p>
        </w:tc>
      </w:tr>
      <w:tr>
        <w:trPr>
          <w:trHeight w:val="212"/>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 (Note 16)</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8"/>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 and other</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r>
      <w:tr>
        <w:trPr>
          <w:trHeight w:val="212"/>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r>
      <w:tr>
        <w:trPr>
          <w:trHeight w:val="211"/>
        </w:trPr>
        <w:tc>
          <w:tcPr>
            <w:tcW w:w="5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 (loss), net of tax</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06"/>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7,616</w:t>
            </w:r>
          </w:p>
        </w:tc>
      </w:tr>
      <w:tr>
        <w:trPr>
          <w:trHeight w:val="215"/>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Comprehensive loss (income) attributable to 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11"/>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attributable to stockholders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7,891</w:t>
            </w:r>
          </w:p>
        </w:tc>
      </w:tr>
      <w:tr>
        <w:trPr>
          <w:trHeight w:val="20"/>
        </w:trPr>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may not add due to rounding.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5"/>
        </w:trPr>
        <w:tc>
          <w:tcPr>
            <w:tcW w:w="7820" w:type="dxa"/>
            <w:vAlign w:val="bottom"/>
            <w:vMerge w:val="restart"/>
          </w:tcPr>
          <w:p>
            <w:pPr>
              <w:ind w:left="36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Marketable debt securities (Note 3)</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9,651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12,150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and notes receivable, net of allowance of $275 and $260</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GM Financial receivables, net of allowance of $856 and $869 (Note 4; Note 8 at VIEs)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36,224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33,623</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(Note 5)</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15,366</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 (Note 3; Note 8 at VIEs)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6,825</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100,451</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Financial receivables, net of allowance of $1,402 and $1,227 (Note 4; Note 8 at VIEs)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40,591</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Equity in net assets of nonconsolidated affiliates (Note 7)</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10,549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10,176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45,248</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Goodwill and intangible assets,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4,945</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on operating leases, net (Note 6; Note 8 at VIEs)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32,701</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20,289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20,539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 (Note 3; Note 8 at VIEs)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9,386</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assets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170,984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163,586</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281,705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264,037</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88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(principally trade)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27,486</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Short-term debt and current portion of long-term debt (Note 9)</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Automotive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0" w:type="dxa"/>
            <w:vAlign w:val="bottom"/>
          </w:tcPr>
          <w:p>
            <w:pPr>
              <w:spacing w:after="0"/>
              <w:rPr>
                <w:sz w:val="1"/>
                <w:szCs w:val="1"/>
                <w:color w:val="auto"/>
              </w:rPr>
            </w:pPr>
          </w:p>
        </w:tc>
      </w:tr>
      <w:tr>
        <w:trPr>
          <w:trHeight w:val="212"/>
        </w:trPr>
        <w:tc>
          <w:tcPr>
            <w:tcW w:w="7820" w:type="dxa"/>
            <w:vAlign w:val="bottom"/>
          </w:tcPr>
          <w:p>
            <w:pPr>
              <w:ind w:left="240"/>
              <w:spacing w:after="0"/>
              <w:rPr>
                <w:sz w:val="20"/>
                <w:szCs w:val="20"/>
                <w:color w:val="auto"/>
              </w:rPr>
            </w:pPr>
            <w:r>
              <w:rPr>
                <w:rFonts w:ascii="Arial" w:cs="Arial" w:eastAsia="Arial" w:hAnsi="Arial"/>
                <w:sz w:val="16"/>
                <w:szCs w:val="16"/>
                <w:color w:val="auto"/>
              </w:rPr>
              <w:t>GM Financial (Note 8 at VIEs)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38,256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36,819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24,910</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96,820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91,173</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Long-term debt (Note 9)</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Automotive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15,885</w:t>
            </w:r>
          </w:p>
        </w:tc>
        <w:tc>
          <w:tcPr>
            <w:tcW w:w="0" w:type="dxa"/>
            <w:vAlign w:val="bottom"/>
          </w:tcPr>
          <w:p>
            <w:pPr>
              <w:spacing w:after="0"/>
              <w:rPr>
                <w:sz w:val="1"/>
                <w:szCs w:val="1"/>
                <w:color w:val="auto"/>
              </w:rPr>
            </w:pPr>
          </w:p>
        </w:tc>
      </w:tr>
      <w:tr>
        <w:trPr>
          <w:trHeight w:val="212"/>
        </w:trPr>
        <w:tc>
          <w:tcPr>
            <w:tcW w:w="7820" w:type="dxa"/>
            <w:vAlign w:val="bottom"/>
          </w:tcPr>
          <w:p>
            <w:pPr>
              <w:ind w:left="240"/>
              <w:spacing w:after="0"/>
              <w:rPr>
                <w:sz w:val="20"/>
                <w:szCs w:val="20"/>
                <w:color w:val="auto"/>
              </w:rPr>
            </w:pPr>
            <w:r>
              <w:rPr>
                <w:rFonts w:ascii="Arial" w:cs="Arial" w:eastAsia="Arial" w:hAnsi="Arial"/>
                <w:sz w:val="16"/>
                <w:szCs w:val="16"/>
                <w:color w:val="auto"/>
              </w:rPr>
              <w:t>GM Financial (Note 8 at VIEs)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64,259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60,036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Postretirement benefits other than pensions (Note 12)</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Pensions (Note 12)</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5,698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14,767</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liabilities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106,158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100,579</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191,752</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Commitments and contingencies (Note 13)</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 - Cruise stock incentive awards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Equity (Note 16)</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$0.01 par value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26,058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26,428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49,251</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(7,901)</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equity</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67,792</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4,135</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78,404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71,927</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281,705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264,037</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may not add due to rounding.</w:t>
      </w:r>
    </w:p>
    <w:p>
      <w:pPr>
        <w:sectPr>
          <w:pgSz w:w="11900" w:h="16838" w:orient="portrait"/>
          <w:cols w:equalWidth="0" w:num="1">
            <w:col w:w="11240"/>
          </w:cols>
          <w:pgMar w:left="320" w:top="125" w:right="3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259715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4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September 30, 2022</w:t>
            </w:r>
          </w:p>
        </w:tc>
      </w:tr>
      <w:tr>
        <w:trPr>
          <w:trHeight w:val="199"/>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7,701</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Depreciation and impairment of Equipment on operating leases,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3,628</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amortization and impairment charges on Property,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4,892</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Foreign currency remeasurement and transaction (gains) losses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Undistributed earnings of nonconsolidated affiliates,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Pension contributions and OPEB payments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OPEB income,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Provision (benefit) for deferred taxes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504</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other operating assets and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(4,722)</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17,273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10,419</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Expenditures for property</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(5,933)</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Available-for-sale marketable securities, acquisitions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(7,450)</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Available-for-sale marketable securities, liquidations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6,145</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finance receivables,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(26,444)</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Principal collections and recoveries on finance receivables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21,135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20,522</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leased vehicles,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(9,062)</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Proceeds from termination of leased vehicles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9,860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11,052</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(12,100)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(10,971)</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Net increase (decrease) in short-term debt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1,208</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debt (original maturities greater than three months)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36,053</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Payments on debt (original maturities greater than three months)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(33,269)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(31,649)</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to purchase common stock</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Issuance (redemption) of subsidiary stock (Note 16)</w:t>
            </w: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(2,121)</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financing activities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w:t>
            </w: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r>
      <w:tr>
        <w:trPr>
          <w:trHeight w:val="211"/>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21,948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23,542</w:t>
            </w: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23,499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7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Significant Non-cash Investing and Financing Activity</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Non-cash property additions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7,018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5,011</w:t>
            </w: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may not add due to rounding.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(Unaudited)</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5"/>
          </w:tcPr>
          <w:p>
            <w:pPr>
              <w:ind w:left="340"/>
              <w:spacing w:after="0"/>
              <w:rPr>
                <w:sz w:val="20"/>
                <w:szCs w:val="20"/>
                <w:color w:val="auto"/>
              </w:rPr>
            </w:pPr>
            <w:r>
              <w:rPr>
                <w:rFonts w:ascii="Arial" w:cs="Arial" w:eastAsia="Arial" w:hAnsi="Arial"/>
                <w:sz w:val="14"/>
                <w:szCs w:val="14"/>
                <w:b w:val="1"/>
                <w:bCs w:val="1"/>
                <w:color w:val="auto"/>
                <w:w w:val="97"/>
              </w:rPr>
              <w:t>Common Stockholders’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Total Equity</w:t>
            </w:r>
          </w:p>
        </w:tc>
        <w:tc>
          <w:tcPr>
            <w:tcW w:w="100" w:type="dxa"/>
            <w:vAlign w:val="bottom"/>
          </w:tcPr>
          <w:p>
            <w:pPr>
              <w:spacing w:after="0"/>
              <w:rPr>
                <w:sz w:val="11"/>
                <w:szCs w:val="11"/>
                <w:color w:val="auto"/>
              </w:rPr>
            </w:pPr>
          </w:p>
        </w:tc>
        <w:tc>
          <w:tcPr>
            <w:tcW w:w="1340" w:type="dxa"/>
            <w:vAlign w:val="bottom"/>
          </w:tcPr>
          <w:p>
            <w:pPr>
              <w:jc w:val="center"/>
              <w:ind w:right="8"/>
              <w:spacing w:after="0" w:line="132"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44"/>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40" w:type="dxa"/>
            <w:vAlign w:val="bottom"/>
            <w:gridSpan w:val="2"/>
          </w:tcPr>
          <w:p>
            <w:pPr>
              <w:ind w:left="40"/>
              <w:spacing w:after="0" w:line="144" w:lineRule="exact"/>
              <w:rPr>
                <w:sz w:val="20"/>
                <w:szCs w:val="20"/>
                <w:color w:val="auto"/>
              </w:rPr>
            </w:pPr>
            <w:r>
              <w:rPr>
                <w:rFonts w:ascii="Arial" w:cs="Arial" w:eastAsia="Arial" w:hAnsi="Arial"/>
                <w:sz w:val="14"/>
                <w:szCs w:val="14"/>
                <w:b w:val="1"/>
                <w:bCs w:val="1"/>
                <w:color w:val="auto"/>
                <w:w w:val="91"/>
              </w:rPr>
              <w:t>Cruise Stock Incentive</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3"/>
              </w:rPr>
              <w:t>(Permanent</w:t>
            </w:r>
          </w:p>
        </w:tc>
        <w:tc>
          <w:tcPr>
            <w:tcW w:w="100" w:type="dxa"/>
            <w:vAlign w:val="bottom"/>
          </w:tcPr>
          <w:p>
            <w:pPr>
              <w:spacing w:after="0"/>
              <w:rPr>
                <w:sz w:val="12"/>
                <w:szCs w:val="12"/>
                <w:color w:val="auto"/>
              </w:rPr>
            </w:pPr>
          </w:p>
        </w:tc>
        <w:tc>
          <w:tcPr>
            <w:tcW w:w="1340" w:type="dxa"/>
            <w:vAlign w:val="bottom"/>
          </w:tcPr>
          <w:p>
            <w:pPr>
              <w:jc w:val="center"/>
              <w:ind w:right="8"/>
              <w:spacing w:after="0" w:line="148"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95"/>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Equity)</w:t>
            </w:r>
          </w:p>
        </w:tc>
        <w:tc>
          <w:tcPr>
            <w:tcW w:w="100" w:type="dxa"/>
            <w:vAlign w:val="bottom"/>
          </w:tcPr>
          <w:p>
            <w:pPr>
              <w:spacing w:after="0"/>
              <w:rPr>
                <w:sz w:val="16"/>
                <w:szCs w:val="16"/>
                <w:color w:val="auto"/>
              </w:rPr>
            </w:pPr>
          </w:p>
        </w:tc>
        <w:tc>
          <w:tcPr>
            <w:tcW w:w="134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(Temporary Equity)</w:t>
            </w:r>
          </w:p>
        </w:tc>
        <w:tc>
          <w:tcPr>
            <w:tcW w:w="0" w:type="dxa"/>
            <w:vAlign w:val="bottom"/>
          </w:tcPr>
          <w:p>
            <w:pPr>
              <w:spacing w:after="0"/>
              <w:rPr>
                <w:sz w:val="1"/>
                <w:szCs w:val="1"/>
                <w:color w:val="auto"/>
              </w:rPr>
            </w:pPr>
          </w:p>
        </w:tc>
      </w:tr>
      <w:tr>
        <w:trPr>
          <w:trHeight w:val="202"/>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27,061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41,937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65,815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940" w:type="dxa"/>
            <w:vAlign w:val="bottom"/>
          </w:tcPr>
          <w:p>
            <w:pPr>
              <w:ind w:left="20"/>
              <w:spacing w:after="0" w:line="165" w:lineRule="exact"/>
              <w:rPr>
                <w:sz w:val="20"/>
                <w:szCs w:val="20"/>
                <w:color w:val="auto"/>
              </w:rPr>
            </w:pPr>
            <w:r>
              <w:rPr>
                <w:rFonts w:ascii="Arial" w:cs="Arial" w:eastAsia="Arial" w:hAnsi="Arial"/>
                <w:sz w:val="16"/>
                <w:szCs w:val="16"/>
                <w:color w:val="auto"/>
              </w:rPr>
              <w:t>Issuance (redemption) of subsidiary</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40" w:type="dxa"/>
            <w:vAlign w:val="bottom"/>
          </w:tcPr>
          <w:p>
            <w:pPr>
              <w:ind w:left="180"/>
              <w:spacing w:after="0"/>
              <w:rPr>
                <w:sz w:val="20"/>
                <w:szCs w:val="20"/>
                <w:color w:val="auto"/>
              </w:rPr>
            </w:pPr>
            <w:r>
              <w:rPr>
                <w:rFonts w:ascii="Arial" w:cs="Arial" w:eastAsia="Arial" w:hAnsi="Arial"/>
                <w:sz w:val="16"/>
                <w:szCs w:val="16"/>
                <w:color w:val="auto"/>
              </w:rPr>
              <w:t>preferred stock (Note 16)</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27,015</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43,879</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(8,814)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4,679</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66,774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94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Issuance (redemption) of subsidiary</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98"/>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27,261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45,554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68,260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940" w:type="dxa"/>
            <w:vAlign w:val="bottom"/>
          </w:tcPr>
          <w:p>
            <w:pPr>
              <w:ind w:left="20"/>
              <w:spacing w:after="0" w:line="165" w:lineRule="exact"/>
              <w:rPr>
                <w:sz w:val="20"/>
                <w:szCs w:val="20"/>
                <w:color w:val="auto"/>
              </w:rPr>
            </w:pPr>
            <w:r>
              <w:rPr>
                <w:rFonts w:ascii="Arial" w:cs="Arial" w:eastAsia="Arial" w:hAnsi="Arial"/>
                <w:sz w:val="16"/>
                <w:szCs w:val="16"/>
                <w:color w:val="auto"/>
              </w:rPr>
              <w:t>Issuance (redemption) of subsidiary</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4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20"/>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2"/>
        </w:trPr>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2023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Purchase of common stock</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2"/>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26,323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51,318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(7,778)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4,084</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73,961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2"/>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26,078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53,517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(7,953)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4,030</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75,685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20"/>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may not add due to rounding.</w:t>
      </w:r>
    </w:p>
    <w:p>
      <w:pPr>
        <w:sectPr>
          <w:pgSz w:w="11900" w:h="16838" w:orient="portrait"/>
          <w:cols w:equalWidth="0" w:num="1">
            <w:col w:w="11220"/>
          </w:cols>
          <w:pgMar w:left="320" w:top="125" w:right="3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259715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06" w:lineRule="exact"/>
        <w:rPr>
          <w:sz w:val="20"/>
          <w:szCs w:val="20"/>
          <w:color w:val="auto"/>
        </w:rPr>
      </w:pPr>
    </w:p>
    <w:p>
      <w:pPr>
        <w:jc w:val="both"/>
        <w:ind w:firstLine="161"/>
        <w:spacing w:after="0" w:line="238" w:lineRule="auto"/>
        <w:rPr>
          <w:sz w:val="20"/>
          <w:szCs w:val="20"/>
          <w:color w:val="auto"/>
        </w:rPr>
      </w:pPr>
      <w:r>
        <w:rPr>
          <w:rFonts w:ascii="Arial" w:cs="Arial" w:eastAsia="Arial" w:hAnsi="Arial"/>
          <w:sz w:val="18"/>
          <w:szCs w:val="18"/>
          <w:color w:val="auto"/>
        </w:rPr>
        <w:t>General Motors Company (sometimes referred to in this Quarterly Report on Form 10-Q as we, our, us, ourselves, the Company, General Motors or GM) designs, builds and sells trucks, crossovers, cars and automobile parts and provides software-enabled services and subscriptions worldwide. Additionally, we are investing in and growing an autonomous vehicle (AV) business. We also provide automotive financing services through General Motors Financial Company, Inc. (GM Financial). We analyze the results of our operations through the following segments: GM North America (GMNA), GM International (GMI), Cruise and GM Financial. Cruise is our global segment responsible for the development and commercialization of AV technology. Corporate includes certain centrally recorded income and costs such as interest, income taxes, corporate expenditures and certain revenues and expenses that are not part of a reportable segment.</w:t>
      </w:r>
    </w:p>
    <w:p>
      <w:pPr>
        <w:spacing w:after="0" w:line="216"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color w:val="auto"/>
        </w:rPr>
        <w:t>The condensed consolidated financial statements are prepared in conformity with U.S. GAAP pursuant to the rules and regulations of the Securities and Exchange Commission (SEC) for interim financial information. Accordingly, they do not include all of the information and notes required by U.S. GAAP for complete financial statements. The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2022 Form 10-K. Except for per share amounts or as otherwise specified, amounts presented within tables are stated in millions. Certain columns and rows may not add due to rounding.</w:t>
      </w:r>
    </w:p>
    <w:p>
      <w:pPr>
        <w:spacing w:after="0" w:line="209" w:lineRule="exact"/>
        <w:rPr>
          <w:sz w:val="20"/>
          <w:szCs w:val="20"/>
          <w:color w:val="auto"/>
        </w:rPr>
      </w:pPr>
    </w:p>
    <w:p>
      <w:pPr>
        <w:jc w:val="both"/>
        <w:ind w:firstLine="161"/>
        <w:spacing w:after="0" w:line="277" w:lineRule="auto"/>
        <w:rPr>
          <w:sz w:val="20"/>
          <w:szCs w:val="20"/>
          <w:color w:val="auto"/>
        </w:rPr>
      </w:pPr>
      <w:r>
        <w:rPr>
          <w:rFonts w:ascii="Arial" w:cs="Arial" w:eastAsia="Arial" w:hAnsi="Arial"/>
          <w:sz w:val="17"/>
          <w:szCs w:val="17"/>
          <w:color w:val="auto"/>
        </w:rPr>
        <w:t>Throughout this report, we refer to General Motors Company and its consolidated subsidiaries in a simplified manner and on a collective basis, using words like "we," "our," "us" and "the Company." This drafting style is suggested by the SEC and is not meant to indicate that General Motors Company, the publicly traded parent company, or any particular subsidiary of the parent company, owns or operates any particular asset, business or property. The operations and businesses described in this report are owned and operated by distinct subsidiaries of General Motors Company.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We consolidate entities that we control due to ownership of a majority voting interest and we consolidate variable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GM Financial </w:t>
      </w:r>
      <w:r>
        <w:rPr>
          <w:rFonts w:ascii="Arial" w:cs="Arial" w:eastAsia="Arial" w:hAnsi="Arial"/>
          <w:sz w:val="18"/>
          <w:szCs w:val="18"/>
          <w:color w:val="auto"/>
        </w:rPr>
        <w:t>The amounts presented for GM Financial are adjusted to reflect the impact on GM Financial's deferred tax positions and provision for</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resulting from the inclusion of GM Financial in our consolidated tax returns and to eliminate the effect of transactions between GM Financial and the other members of the consolidated group. Accordingly, the amounts presented will differ from those presented by GM Financial on a stand-alone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GM CONFIDENTIAL - AUDIT COMMITTEE 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disaggregates our revenue by major source: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10"/>
          </w:tcPr>
          <w:p>
            <w:pPr>
              <w:ind w:left="20"/>
              <w:spacing w:after="0"/>
              <w:rPr>
                <w:sz w:val="20"/>
                <w:szCs w:val="20"/>
                <w:color w:val="auto"/>
              </w:rPr>
            </w:pPr>
            <w:r>
              <w:rPr>
                <w:rFonts w:ascii="Arial" w:cs="Arial" w:eastAsia="Arial" w:hAnsi="Arial"/>
                <w:sz w:val="14"/>
                <w:szCs w:val="14"/>
                <w:b w:val="1"/>
                <w:bCs w:val="1"/>
                <w:color w:val="auto"/>
                <w:w w:val="98"/>
              </w:rPr>
              <w:t>Three Months Ended September 30, 2023</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GMNA</w:t>
            </w:r>
          </w:p>
        </w:tc>
        <w:tc>
          <w:tcPr>
            <w:tcW w:w="120" w:type="dxa"/>
            <w:vAlign w:val="bottom"/>
            <w:gridSpan w:val="2"/>
            <w:vMerge w:val="restart"/>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GMI</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2"/>
              </w:rPr>
              <w:t>Corporate</w:t>
            </w:r>
          </w:p>
        </w:tc>
        <w:tc>
          <w:tcPr>
            <w:tcW w:w="12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ind w:left="220"/>
              <w:spacing w:after="0" w:line="13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Cruise</w:t>
            </w:r>
          </w:p>
        </w:tc>
        <w:tc>
          <w:tcPr>
            <w:tcW w:w="1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rPr>
              <w:t>GM</w:t>
            </w:r>
          </w:p>
        </w:tc>
        <w:tc>
          <w:tcPr>
            <w:tcW w:w="1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Eliminations/Reclassifications</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Automotive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Financial</w:t>
            </w: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38,823</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38,818</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1,358</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36,106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40,503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40,498</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1,621</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1,616</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Pr>
          <w:p>
            <w:pPr>
              <w:spacing w:after="0"/>
              <w:rPr>
                <w:sz w:val="17"/>
                <w:szCs w:val="17"/>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3,641</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3,633</w:t>
            </w:r>
          </w:p>
        </w:tc>
        <w:tc>
          <w:tcPr>
            <w:tcW w:w="0" w:type="dxa"/>
            <w:vAlign w:val="bottom"/>
          </w:tcPr>
          <w:p>
            <w:pPr>
              <w:spacing w:after="0"/>
              <w:rPr>
                <w:sz w:val="1"/>
                <w:szCs w:val="1"/>
                <w:color w:val="auto"/>
              </w:rPr>
            </w:pPr>
          </w:p>
        </w:tc>
      </w:tr>
      <w:tr>
        <w:trPr>
          <w:trHeight w:val="23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36,106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40,503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44,131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10"/>
          </w:tcPr>
          <w:p>
            <w:pPr>
              <w:ind w:left="20"/>
              <w:spacing w:after="0"/>
              <w:rPr>
                <w:sz w:val="20"/>
                <w:szCs w:val="20"/>
                <w:color w:val="auto"/>
              </w:rPr>
            </w:pPr>
            <w:r>
              <w:rPr>
                <w:rFonts w:ascii="Arial" w:cs="Arial" w:eastAsia="Arial" w:hAnsi="Arial"/>
                <w:sz w:val="14"/>
                <w:szCs w:val="14"/>
                <w:b w:val="1"/>
                <w:bCs w:val="1"/>
                <w:color w:val="auto"/>
                <w:w w:val="98"/>
              </w:rPr>
              <w:t>Three Months Ended September 30, 2022</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GMNA</w:t>
            </w:r>
          </w:p>
        </w:tc>
        <w:tc>
          <w:tcPr>
            <w:tcW w:w="120" w:type="dxa"/>
            <w:vAlign w:val="bottom"/>
            <w:gridSpan w:val="2"/>
            <w:vMerge w:val="restart"/>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GMI</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2"/>
              </w:rPr>
              <w:t>Corporate</w:t>
            </w:r>
          </w:p>
        </w:tc>
        <w:tc>
          <w:tcPr>
            <w:tcW w:w="12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ind w:left="220"/>
              <w:spacing w:after="0" w:line="13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Cruise</w:t>
            </w:r>
          </w:p>
        </w:tc>
        <w:tc>
          <w:tcPr>
            <w:tcW w:w="1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rPr>
              <w:t>GM</w:t>
            </w:r>
          </w:p>
        </w:tc>
        <w:tc>
          <w:tcPr>
            <w:tcW w:w="1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Eliminations/Reclassifications</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Automotive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Financial</w:t>
            </w: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37,363</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37,363</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1,185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34,691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38,703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38,703</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1,158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1,157</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Pr>
          <w:p>
            <w:pPr>
              <w:spacing w:after="0"/>
              <w:rPr>
                <w:sz w:val="17"/>
                <w:szCs w:val="17"/>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3,187</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3,185</w:t>
            </w:r>
          </w:p>
        </w:tc>
        <w:tc>
          <w:tcPr>
            <w:tcW w:w="0" w:type="dxa"/>
            <w:vAlign w:val="bottom"/>
          </w:tcPr>
          <w:p>
            <w:pPr>
              <w:spacing w:after="0"/>
              <w:rPr>
                <w:sz w:val="1"/>
                <w:szCs w:val="1"/>
                <w:color w:val="auto"/>
              </w:rPr>
            </w:pPr>
          </w:p>
        </w:tc>
      </w:tr>
      <w:tr>
        <w:trPr>
          <w:trHeight w:val="23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34,691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38,703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10"/>
          </w:tcPr>
          <w:p>
            <w:pPr>
              <w:ind w:left="60"/>
              <w:spacing w:after="0"/>
              <w:rPr>
                <w:sz w:val="20"/>
                <w:szCs w:val="20"/>
                <w:color w:val="auto"/>
              </w:rPr>
            </w:pPr>
            <w:r>
              <w:rPr>
                <w:rFonts w:ascii="Arial" w:cs="Arial" w:eastAsia="Arial" w:hAnsi="Arial"/>
                <w:sz w:val="14"/>
                <w:szCs w:val="14"/>
                <w:b w:val="1"/>
                <w:bCs w:val="1"/>
                <w:color w:val="auto"/>
                <w:w w:val="99"/>
              </w:rPr>
              <w:t>Nine Months Ended September 30, 2023</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GMNA</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GMI</w:t>
            </w:r>
          </w:p>
        </w:tc>
        <w:tc>
          <w:tcPr>
            <w:tcW w:w="8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ind w:left="240"/>
              <w:spacing w:after="0" w:line="128"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Cruise</w:t>
            </w:r>
          </w:p>
        </w:tc>
        <w:tc>
          <w:tcPr>
            <w:tcW w:w="1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Arial" w:cs="Arial" w:eastAsia="Arial" w:hAnsi="Arial"/>
                <w:sz w:val="14"/>
                <w:szCs w:val="14"/>
                <w:b w:val="1"/>
                <w:bCs w:val="1"/>
                <w:color w:val="auto"/>
              </w:rPr>
              <w:t>GM</w:t>
            </w:r>
          </w:p>
        </w:tc>
        <w:tc>
          <w:tcPr>
            <w:tcW w:w="1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Eliminations/Reclassifications</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Automotive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113,811</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113,805</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3,829</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106,214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12,011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118,403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118,398</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4,480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4,469</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10,482</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10,465</w:t>
            </w:r>
          </w:p>
        </w:tc>
        <w:tc>
          <w:tcPr>
            <w:tcW w:w="0" w:type="dxa"/>
            <w:vAlign w:val="bottom"/>
          </w:tcPr>
          <w:p>
            <w:pPr>
              <w:spacing w:after="0"/>
              <w:rPr>
                <w:sz w:val="1"/>
                <w:szCs w:val="1"/>
                <w:color w:val="auto"/>
              </w:rPr>
            </w:pPr>
          </w:p>
        </w:tc>
      </w:tr>
      <w:tr>
        <w:trPr>
          <w:trHeight w:val="231"/>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106,214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118,403</w:t>
            </w: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10,482</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128,863</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8"/>
          </w:tcPr>
          <w:p>
            <w:pPr>
              <w:ind w:left="80"/>
              <w:spacing w:after="0"/>
              <w:rPr>
                <w:sz w:val="20"/>
                <w:szCs w:val="20"/>
                <w:color w:val="auto"/>
              </w:rPr>
            </w:pPr>
            <w:r>
              <w:rPr>
                <w:rFonts w:ascii="Arial" w:cs="Arial" w:eastAsia="Arial" w:hAnsi="Arial"/>
                <w:sz w:val="14"/>
                <w:szCs w:val="14"/>
                <w:b w:val="1"/>
                <w:bCs w:val="1"/>
                <w:color w:val="auto"/>
                <w:w w:val="98"/>
              </w:rPr>
              <w:t>Nine Months Ended September 30, 2022</w:t>
            </w: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GMNA</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GMI</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ind w:left="240"/>
              <w:spacing w:after="0" w:line="13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Cruise</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180"/>
              <w:spacing w:after="0" w:line="132" w:lineRule="exact"/>
              <w:rPr>
                <w:sz w:val="20"/>
                <w:szCs w:val="20"/>
                <w:color w:val="auto"/>
              </w:rPr>
            </w:pPr>
            <w:r>
              <w:rPr>
                <w:rFonts w:ascii="Arial" w:cs="Arial" w:eastAsia="Arial" w:hAnsi="Arial"/>
                <w:sz w:val="14"/>
                <w:szCs w:val="14"/>
                <w:b w:val="1"/>
                <w:bCs w:val="1"/>
                <w:color w:val="auto"/>
              </w:rPr>
              <w:t>GM</w:t>
            </w:r>
          </w:p>
        </w:tc>
        <w:tc>
          <w:tcPr>
            <w:tcW w:w="1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Eliminations/Reclassifications</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6"/>
              </w:rPr>
              <w:t>Automotive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100,267</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3,495</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92,907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104,140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104,141</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5,967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5,967</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3,230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3,229</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9,489</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9,486</w:t>
            </w:r>
          </w:p>
        </w:tc>
        <w:tc>
          <w:tcPr>
            <w:tcW w:w="0" w:type="dxa"/>
            <w:vAlign w:val="bottom"/>
          </w:tcPr>
          <w:p>
            <w:pPr>
              <w:spacing w:after="0"/>
              <w:rPr>
                <w:sz w:val="1"/>
                <w:szCs w:val="1"/>
                <w:color w:val="auto"/>
              </w:rPr>
            </w:pPr>
          </w:p>
        </w:tc>
      </w:tr>
      <w:tr>
        <w:trPr>
          <w:trHeight w:val="23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9,489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113,627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Revenue is measured as the amount of consideration we expect to receive in exchange for transferring goods or providing services. Adjustments to sales incentives for previously recognized sales increased revenue by an insignificant amount in the three months ended September 30, 2023 and 2022.</w:t>
      </w:r>
    </w:p>
    <w:p>
      <w:pPr>
        <w:spacing w:after="0" w:line="45" w:lineRule="exact"/>
        <w:rPr>
          <w:sz w:val="20"/>
          <w:szCs w:val="20"/>
          <w:color w:val="auto"/>
        </w:rPr>
      </w:pPr>
    </w:p>
    <w:p>
      <w:pPr>
        <w:jc w:val="both"/>
        <w:ind w:firstLine="161"/>
        <w:spacing w:after="0" w:line="295" w:lineRule="auto"/>
        <w:rPr>
          <w:sz w:val="20"/>
          <w:szCs w:val="20"/>
          <w:color w:val="auto"/>
        </w:rPr>
      </w:pPr>
      <w:r>
        <w:rPr>
          <w:rFonts w:ascii="Arial" w:cs="Arial" w:eastAsia="Arial" w:hAnsi="Arial"/>
          <w:sz w:val="16"/>
          <w:szCs w:val="16"/>
          <w:color w:val="auto"/>
        </w:rPr>
        <w:t>Contract liabilities in our Automotive segments primarily consist of maintenance, extended warranty and other service contracts of $4.8 billion and $3.3 billion at September 30, 2023 and December 31, 2022, which are included in Accrued liabilities and Other liabilities. We recognized revenue of $284 million and $1.1 billion related to contract liabilities in the three and nine months ended September 30, 2023 and $256 million and $982 million in the three and nine months ended September 30, 2022. We expect to recognize revenue of $555 million in the three months ending December 31, 2023 and $1.5 billion, $1.2 billion and $1.6 billion in the years ending December 31, 2024, 2025 and thereafter related to contract liabilities at September 30,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and Other Securities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fair value of cash equivalents and marketable debt securities, which approximates cost:</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4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September 30, 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195"/>
        </w:trPr>
        <w:tc>
          <w:tcPr>
            <w:tcW w:w="67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time deposits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Arial" w:cs="Arial" w:eastAsia="Arial" w:hAnsi="Arial"/>
                <w:sz w:val="18"/>
                <w:szCs w:val="18"/>
                <w:color w:val="auto"/>
              </w:rPr>
              <w:t>Available-for-sale debt securities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and agencies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cash and cash equivalents(a)</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19,153</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Marketable debt securities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Arial" w:cs="Arial" w:eastAsia="Arial" w:hAnsi="Arial"/>
                <w:sz w:val="18"/>
                <w:szCs w:val="18"/>
                <w:color w:val="auto"/>
              </w:rPr>
              <w:t>U.S. government and agencies</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3,767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4,357</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Arial" w:cs="Arial" w:eastAsia="Arial" w:hAnsi="Arial"/>
                <w:sz w:val="18"/>
                <w:szCs w:val="18"/>
                <w:color w:val="auto"/>
              </w:rPr>
              <w:t>Mortgage and asset-backed</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marketable securities(b)</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Restricted cash</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restricted cash</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46"/>
        </w:trPr>
        <w:tc>
          <w:tcPr>
            <w:tcW w:w="678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7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w w:val="99"/>
              </w:rPr>
              <w:t>Available-for-sale debt securities included above with contractual maturities(c)</w:t>
            </w: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between one and five years</w:t>
            </w: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debt securities with contractual maturities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$1.5 billion in Cruise at September 30, 2023 and December 31, 2022.</w:t>
      </w:r>
    </w:p>
    <w:p>
      <w:pPr>
        <w:spacing w:after="0" w:line="14" w:lineRule="exact"/>
        <w:rPr>
          <w:rFonts w:ascii="Arial" w:cs="Arial" w:eastAsia="Arial" w:hAnsi="Arial"/>
          <w:sz w:val="16"/>
          <w:szCs w:val="16"/>
          <w:color w:val="auto"/>
        </w:rPr>
      </w:pPr>
    </w:p>
    <w:p>
      <w:pPr>
        <w:ind w:left="320" w:hanging="313"/>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$192 million and $1.4 billion in Cruise at September 30, 2023 and December 31, 2022.</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mortgage and asset-backed securities of $617 million at September 30, 2023 as these securities are not due at a single maturity date.</w:t>
      </w:r>
    </w:p>
    <w:p>
      <w:pPr>
        <w:spacing w:after="0" w:line="241"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Proceeds from the sale of available-for-sale debt securities sold prior to maturity were $454 million and $441 million in the three months ended September 30, 2023 and 2022 and $1.5 billion and $1.4 billion in the nine months ended September 30, 2023 and 2022. Net unrealized gains and losses on available-for-sale debt securities were insignificant in the three months ended September 30, 2023 and 2022. Net unrealized gains on available-for-sale debt securities were insignificant in the nine months ended September 30, 2023 and net unrealized losses on available-for-sale debt securities were $367 million in the nine months ended September 30, 2022. Cumulative unrealized losses on available-for-sale debt securities were $293 million and $344 million at September 30, 2023 and December 31, 2022.</w:t>
      </w:r>
    </w:p>
    <w:p>
      <w:pPr>
        <w:spacing w:after="0" w:line="217" w:lineRule="exact"/>
        <w:rPr>
          <w:sz w:val="20"/>
          <w:szCs w:val="20"/>
          <w:color w:val="auto"/>
        </w:rPr>
      </w:pPr>
    </w:p>
    <w:p>
      <w:pPr>
        <w:jc w:val="both"/>
        <w:ind w:right="20" w:firstLine="161"/>
        <w:spacing w:after="0" w:line="275"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to the total shown in the condensed consolidated statement of cash flows: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September 30, 2023</w:t>
            </w:r>
          </w:p>
        </w:tc>
        <w:tc>
          <w:tcPr>
            <w:tcW w:w="0" w:type="dxa"/>
            <w:vAlign w:val="bottom"/>
          </w:tcPr>
          <w:p>
            <w:pPr>
              <w:spacing w:after="0"/>
              <w:rPr>
                <w:sz w:val="1"/>
                <w:szCs w:val="1"/>
                <w:color w:val="auto"/>
              </w:rPr>
            </w:pPr>
          </w:p>
        </w:tc>
      </w:tr>
      <w:tr>
        <w:trPr>
          <w:trHeight w:val="25"/>
        </w:trPr>
        <w:tc>
          <w:tcPr>
            <w:tcW w:w="450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0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25,224</w:t>
            </w: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5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50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2"/>
        </w:trPr>
        <w:tc>
          <w:tcPr>
            <w:tcW w:w="4500" w:type="dxa"/>
            <w:vAlign w:val="bottom"/>
          </w:tcPr>
          <w:p>
            <w:pPr>
              <w:ind w:left="20"/>
              <w:spacing w:after="0"/>
              <w:rPr>
                <w:sz w:val="20"/>
                <w:szCs w:val="20"/>
                <w:color w:val="auto"/>
              </w:rPr>
            </w:pPr>
            <w:r>
              <w:rPr>
                <w:rFonts w:ascii="Arial" w:cs="Arial" w:eastAsia="Arial" w:hAnsi="Arial"/>
                <w:sz w:val="18"/>
                <w:szCs w:val="18"/>
                <w:color w:val="auto"/>
              </w:rPr>
              <w:t>Total</w:t>
            </w:r>
          </w:p>
        </w:tc>
        <w:tc>
          <w:tcPr>
            <w:tcW w:w="50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080" w:type="dxa"/>
            <w:vAlign w:val="bottom"/>
            <w:vMerge w:val="restart"/>
          </w:tcPr>
          <w:p>
            <w:pPr>
              <w:jc w:val="right"/>
              <w:ind w:right="383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3"/>
        </w:trPr>
        <w:tc>
          <w:tcPr>
            <w:tcW w:w="450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5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GM Financial Receivables and Transactions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9"/>
              </w:rPr>
              <w:t>September 30, 2023</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8"/>
        </w:trPr>
        <w:tc>
          <w:tcPr>
            <w:tcW w:w="4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Retail</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Commercial(a)</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Retail</w:t>
            </w: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Commercial(a)</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r>
      <w:tr>
        <w:trPr>
          <w:trHeight w:val="228"/>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 of fees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71,704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83,469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8"/>
              </w:rPr>
              <w:t>65,322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76,310</w:t>
            </w:r>
          </w:p>
        </w:tc>
      </w:tr>
      <w:tr>
        <w:trPr>
          <w:trHeight w:val="228"/>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loan losses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1"/>
              </w:rPr>
              <w:t>(2,224)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1"/>
              </w:rPr>
              <w:t>(2,258)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1"/>
              </w:rPr>
              <w:t>(2,062)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1"/>
              </w:rPr>
              <w:t>(2,096)</w:t>
            </w:r>
          </w:p>
        </w:tc>
      </w:tr>
      <w:tr>
        <w:trPr>
          <w:trHeight w:val="24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69,480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81,211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8"/>
              </w:rPr>
              <w:t>63,260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74,214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88"/>
        </w:trPr>
        <w:tc>
          <w:tcPr>
            <w:tcW w:w="428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w w:val="97"/>
              </w:rPr>
              <w:t>Fair value of GM Financial receivables utilizing Level 2</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2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inputs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11,731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10,954</w:t>
            </w:r>
          </w:p>
        </w:tc>
      </w:tr>
      <w:tr>
        <w:trPr>
          <w:trHeight w:val="187"/>
        </w:trPr>
        <w:tc>
          <w:tcPr>
            <w:tcW w:w="4280" w:type="dxa"/>
            <w:vAlign w:val="bottom"/>
          </w:tcPr>
          <w:p>
            <w:pPr>
              <w:ind w:left="20"/>
              <w:spacing w:after="0" w:line="188" w:lineRule="exact"/>
              <w:rPr>
                <w:sz w:val="20"/>
                <w:szCs w:val="20"/>
                <w:color w:val="auto"/>
              </w:rPr>
            </w:pPr>
            <w:r>
              <w:rPr>
                <w:rFonts w:ascii="Arial" w:cs="Arial" w:eastAsia="Arial" w:hAnsi="Arial"/>
                <w:sz w:val="18"/>
                <w:szCs w:val="18"/>
                <w:color w:val="auto"/>
                <w:w w:val="97"/>
              </w:rPr>
              <w:t>Fair value of GM Financial receivables utilizing Level 3</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inputs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160"/>
              <w:spacing w:after="0"/>
              <w:rPr>
                <w:sz w:val="20"/>
                <w:szCs w:val="20"/>
                <w:color w:val="auto"/>
              </w:rPr>
            </w:pPr>
            <w:r>
              <w:rPr>
                <w:rFonts w:ascii="Arial" w:cs="Arial" w:eastAsia="Arial" w:hAnsi="Arial"/>
                <w:sz w:val="18"/>
                <w:szCs w:val="18"/>
                <w:color w:val="auto"/>
                <w:w w:val="98"/>
              </w:rPr>
              <w:t>68,690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160"/>
              <w:spacing w:after="0"/>
              <w:rPr>
                <w:sz w:val="20"/>
                <w:szCs w:val="20"/>
                <w:color w:val="auto"/>
              </w:rPr>
            </w:pPr>
            <w:r>
              <w:rPr>
                <w:rFonts w:ascii="Arial" w:cs="Arial" w:eastAsia="Arial" w:hAnsi="Arial"/>
                <w:sz w:val="18"/>
                <w:szCs w:val="18"/>
                <w:color w:val="auto"/>
                <w:w w:val="98"/>
              </w:rPr>
              <w:t>62,150</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line="307" w:lineRule="auto"/>
        <w:tabs>
          <w:tab w:leader="none" w:pos="331"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of dealer cash management balances of $2.4 billion and $1.9 billion at September 30, 2023 and December 31, 2022. Under the cash management program, subject to certain conditions, a dealer may choose to reduce the amount of interest on its floorplan line by making principal payments to GM Financial in advance.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5"/>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3140" w:type="dxa"/>
            <w:vAlign w:val="bottom"/>
            <w:gridSpan w:val="4"/>
          </w:tcPr>
          <w:p>
            <w:pPr>
              <w:ind w:left="880"/>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8"/>
        </w:trPr>
        <w:tc>
          <w:tcPr>
            <w:tcW w:w="45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September 30, 2022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September 30, 2022</w:t>
            </w:r>
          </w:p>
        </w:tc>
      </w:tr>
      <w:tr>
        <w:trPr>
          <w:trHeight w:val="228"/>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loan losses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r>
      <w:tr>
        <w:trPr>
          <w:trHeight w:val="228"/>
        </w:trPr>
        <w:tc>
          <w:tcPr>
            <w:tcW w:w="4560" w:type="dxa"/>
            <w:vAlign w:val="bottom"/>
          </w:tcPr>
          <w:p>
            <w:pPr>
              <w:ind w:left="20"/>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8"/>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(1,012)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28"/>
        </w:trPr>
        <w:tc>
          <w:tcPr>
            <w:tcW w:w="456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28"/>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currency and other</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Allowance for loan losses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allowance for loan losses as a percentage of finance receivables, net was 2.7% at September 30, 2023 and December 31, 2022.</w:t>
      </w:r>
    </w:p>
    <w:p>
      <w:pPr>
        <w:spacing w:after="0" w:line="250"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b w:val="1"/>
          <w:bCs w:val="1"/>
          <w:i w:val="1"/>
          <w:iCs w:val="1"/>
          <w:color w:val="auto"/>
        </w:rPr>
        <w:t xml:space="preserve">Retail Finance Receivables </w:t>
      </w:r>
      <w:r>
        <w:rPr>
          <w:rFonts w:ascii="Arial" w:cs="Arial" w:eastAsia="Arial" w:hAnsi="Arial"/>
          <w:sz w:val="16"/>
          <w:szCs w:val="16"/>
          <w:color w:val="auto"/>
        </w:rPr>
        <w:t>GM Financial's retail finance receivable portfolio includes loans made to consumers and businesses to finance the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vehicles for personal and commercial use. The following tables are consolidated summaries of the retail finance receivables by FICO score or its equivalent, determined at origination, for each vintage of the retail finance receivables portfolio at September 30, 2023 and December 31,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Prime – FICO score 680 and greater</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Near-prime – FICO score 620 to 679</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Sub-prime – FICO score less than 620</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Retail finance receivables, net of fees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of Origination</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September 30, 2023</w:t>
            </w:r>
          </w:p>
        </w:tc>
      </w:tr>
      <w:tr>
        <w:trPr>
          <w:trHeight w:val="25"/>
        </w:trPr>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r>
      <w:tr>
        <w:trPr>
          <w:trHeight w:val="188"/>
        </w:trPr>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Percent</w:t>
            </w:r>
          </w:p>
        </w:tc>
      </w:tr>
      <w:tr>
        <w:trPr>
          <w:trHeight w:val="182"/>
        </w:trPr>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19,330</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17,114</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10,013</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5,602</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1,325</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53,851</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75.1 %</w:t>
            </w:r>
          </w:p>
        </w:tc>
      </w:tr>
      <w:tr>
        <w:trPr>
          <w:trHeight w:val="210"/>
        </w:trPr>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1,930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8,600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12.0 %</w:t>
            </w:r>
          </w:p>
        </w:tc>
      </w:tr>
      <w:tr>
        <w:trPr>
          <w:trHeight w:val="215"/>
        </w:trPr>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2,085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1,145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9,253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12.9 %</w:t>
            </w:r>
          </w:p>
        </w:tc>
      </w:tr>
      <w:tr>
        <w:trPr>
          <w:trHeight w:val="25"/>
        </w:trPr>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24,278</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22,207</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14,028</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7,777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2,421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71,704</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7"/>
        </w:trPr>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-579755</wp:posOffset>
            </wp:positionV>
            <wp:extent cx="7132955" cy="136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-306705</wp:posOffset>
            </wp:positionV>
            <wp:extent cx="7132955" cy="136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720"/>
            <w:col w:w="7500"/>
          </w:cols>
          <w:pgMar w:left="320" w:top="125" w:right="33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Prime – FICO score 680 and greater</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Near-prime – FICO score 620 to 679</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Sub-prime – FICO score less than 620</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Retail finance receivables, net of fees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of Origination</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r>
      <w:tr>
        <w:trPr>
          <w:trHeight w:val="188"/>
        </w:trPr>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Percent</w:t>
            </w:r>
          </w:p>
        </w:tc>
      </w:tr>
      <w:tr>
        <w:trPr>
          <w:trHeight w:val="182"/>
        </w:trPr>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22,677</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13,399</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7,991</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2,254</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1,019</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47,543</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72.8 %</w:t>
            </w:r>
          </w:p>
        </w:tc>
      </w:tr>
      <w:tr>
        <w:trPr>
          <w:trHeight w:val="210"/>
        </w:trPr>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1,487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8,392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12.8 %</w:t>
            </w:r>
          </w:p>
        </w:tc>
      </w:tr>
      <w:tr>
        <w:trPr>
          <w:trHeight w:val="215"/>
        </w:trPr>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1,604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9,388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14.4 %</w:t>
            </w:r>
          </w:p>
        </w:tc>
      </w:tr>
      <w:tr>
        <w:trPr>
          <w:trHeight w:val="25"/>
        </w:trPr>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29,090</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18,745</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11,081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3,992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65,322</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7"/>
        </w:trPr>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-579755</wp:posOffset>
            </wp:positionV>
            <wp:extent cx="7132955" cy="136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-306705</wp:posOffset>
            </wp:positionV>
            <wp:extent cx="7132955" cy="136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80"/>
          </w:cols>
          <w:pgMar w:left="320" w:top="125"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259715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$731 million and $685 million at September 30, 2023 and December 31, 2022. The following tables are consolidated summaries of the amortized cost of retail finance receivables by delinquency status, for each vintage of the portfolio at September 30, 2023 and December 31, 2022, as well as summary totals for September 30,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of Origination</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58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w w:val="97"/>
              </w:rPr>
              <w:t>September 30, 2022</w:t>
            </w:r>
          </w:p>
        </w:tc>
      </w:tr>
      <w:tr>
        <w:trPr>
          <w:trHeight w:val="25"/>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r>
      <w:tr>
        <w:trPr>
          <w:trHeight w:val="188"/>
        </w:trPr>
        <w:tc>
          <w:tcPr>
            <w:tcW w:w="2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Percent</w:t>
            </w:r>
          </w:p>
        </w:tc>
      </w:tr>
      <w:tr>
        <w:trPr>
          <w:trHeight w:val="215"/>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0-to-30 days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24,021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21,631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13,489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69,735</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61,836</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97.4 %</w:t>
            </w:r>
          </w:p>
        </w:tc>
      </w:tr>
      <w:tr>
        <w:trPr>
          <w:trHeight w:val="228"/>
        </w:trPr>
        <w:tc>
          <w:tcPr>
            <w:tcW w:w="2200" w:type="dxa"/>
            <w:vAlign w:val="bottom"/>
          </w:tcPr>
          <w:p>
            <w:pPr>
              <w:ind w:left="20"/>
              <w:spacing w:after="0"/>
              <w:rPr>
                <w:sz w:val="20"/>
                <w:szCs w:val="20"/>
                <w:color w:val="auto"/>
              </w:rPr>
            </w:pPr>
            <w:r>
              <w:rPr>
                <w:rFonts w:ascii="Arial" w:cs="Arial" w:eastAsia="Arial" w:hAnsi="Arial"/>
                <w:sz w:val="18"/>
                <w:szCs w:val="18"/>
                <w:color w:val="auto"/>
              </w:rPr>
              <w:t>31-to-60 days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1,424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228"/>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Greater-than-60 days</w:t>
            </w: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0.6 %</w:t>
            </w:r>
          </w:p>
        </w:tc>
      </w:tr>
      <w:tr>
        <w:trPr>
          <w:trHeight w:val="155"/>
        </w:trPr>
        <w:tc>
          <w:tcPr>
            <w:tcW w:w="2200" w:type="dxa"/>
            <w:vAlign w:val="bottom"/>
          </w:tcPr>
          <w:p>
            <w:pPr>
              <w:ind w:left="20"/>
              <w:spacing w:after="0" w:line="154" w:lineRule="exact"/>
              <w:rPr>
                <w:sz w:val="20"/>
                <w:szCs w:val="20"/>
                <w:color w:val="auto"/>
              </w:rPr>
            </w:pPr>
            <w:r>
              <w:rPr>
                <w:rFonts w:ascii="Arial" w:cs="Arial" w:eastAsia="Arial" w:hAnsi="Arial"/>
                <w:sz w:val="17"/>
                <w:szCs w:val="17"/>
                <w:color w:val="auto"/>
              </w:rPr>
              <w:t>Finance receivables more</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36"/>
        </w:trPr>
        <w:tc>
          <w:tcPr>
            <w:tcW w:w="2200" w:type="dxa"/>
            <w:vAlign w:val="bottom"/>
          </w:tcPr>
          <w:p>
            <w:pPr>
              <w:ind w:left="180"/>
              <w:spacing w:after="0"/>
              <w:rPr>
                <w:sz w:val="20"/>
                <w:szCs w:val="20"/>
                <w:color w:val="auto"/>
              </w:rPr>
            </w:pPr>
            <w:r>
              <w:rPr>
                <w:rFonts w:ascii="Arial" w:cs="Arial" w:eastAsia="Arial" w:hAnsi="Arial"/>
                <w:sz w:val="18"/>
                <w:szCs w:val="18"/>
                <w:color w:val="auto"/>
              </w:rPr>
              <w:t>than 30 days delinquent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1,911</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1,579</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2.5 %</w:t>
            </w:r>
          </w:p>
        </w:tc>
      </w:tr>
      <w:tr>
        <w:trPr>
          <w:trHeight w:val="23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repossession</w:t>
            </w: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r>
      <w:tr>
        <w:trPr>
          <w:trHeight w:val="155"/>
        </w:trPr>
        <w:tc>
          <w:tcPr>
            <w:tcW w:w="2200" w:type="dxa"/>
            <w:vAlign w:val="bottom"/>
          </w:tcPr>
          <w:p>
            <w:pPr>
              <w:ind w:left="20"/>
              <w:spacing w:after="0" w:line="154" w:lineRule="exact"/>
              <w:rPr>
                <w:sz w:val="20"/>
                <w:szCs w:val="20"/>
                <w:color w:val="auto"/>
              </w:rPr>
            </w:pPr>
            <w:r>
              <w:rPr>
                <w:rFonts w:ascii="Arial" w:cs="Arial" w:eastAsia="Arial" w:hAnsi="Arial"/>
                <w:sz w:val="17"/>
                <w:szCs w:val="17"/>
                <w:color w:val="auto"/>
              </w:rPr>
              <w:t>Finance receivables more</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2200" w:type="dxa"/>
            <w:vAlign w:val="bottom"/>
          </w:tcPr>
          <w:p>
            <w:pPr>
              <w:ind w:left="180"/>
              <w:spacing w:after="0" w:line="175" w:lineRule="exact"/>
              <w:rPr>
                <w:sz w:val="20"/>
                <w:szCs w:val="20"/>
                <w:color w:val="auto"/>
              </w:rPr>
            </w:pPr>
            <w:r>
              <w:rPr>
                <w:rFonts w:ascii="Arial" w:cs="Arial" w:eastAsia="Arial" w:hAnsi="Arial"/>
                <w:sz w:val="18"/>
                <w:szCs w:val="18"/>
                <w:color w:val="auto"/>
                <w:w w:val="94"/>
              </w:rPr>
              <w:t>than 30 days delinquent or</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6"/>
        </w:trPr>
        <w:tc>
          <w:tcPr>
            <w:tcW w:w="2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 repossession</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1,969</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2.7 %</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1,625</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2.6 %</w:t>
            </w:r>
          </w:p>
        </w:tc>
      </w:tr>
      <w:tr>
        <w:trPr>
          <w:trHeight w:val="161"/>
        </w:trPr>
        <w:tc>
          <w:tcPr>
            <w:tcW w:w="2200" w:type="dxa"/>
            <w:vAlign w:val="bottom"/>
            <w:shd w:val="clear" w:color="auto" w:fill="CCEEFF"/>
          </w:tcPr>
          <w:p>
            <w:pPr>
              <w:ind w:left="20"/>
              <w:spacing w:after="0" w:line="161" w:lineRule="exact"/>
              <w:rPr>
                <w:sz w:val="20"/>
                <w:szCs w:val="20"/>
                <w:color w:val="auto"/>
              </w:rPr>
            </w:pPr>
            <w:r>
              <w:rPr>
                <w:rFonts w:ascii="Arial" w:cs="Arial" w:eastAsia="Arial" w:hAnsi="Arial"/>
                <w:sz w:val="18"/>
                <w:szCs w:val="18"/>
                <w:color w:val="auto"/>
              </w:rPr>
              <w:t>Retail finance receivables,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40"/>
        </w:trPr>
        <w:tc>
          <w:tcPr>
            <w:tcW w:w="2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of fees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71,704</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63,461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of Origination</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1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5"/>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0-to-30 days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28,676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63,426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97.1 %</w:t>
            </w:r>
          </w:p>
        </w:tc>
        <w:tc>
          <w:tcPr>
            <w:tcW w:w="0" w:type="dxa"/>
            <w:vAlign w:val="bottom"/>
          </w:tcPr>
          <w:p>
            <w:pPr>
              <w:spacing w:after="0"/>
              <w:rPr>
                <w:sz w:val="1"/>
                <w:szCs w:val="1"/>
                <w:color w:val="auto"/>
              </w:rPr>
            </w:pPr>
          </w:p>
        </w:tc>
      </w:tr>
      <w:tr>
        <w:trPr>
          <w:trHeight w:val="228"/>
        </w:trPr>
        <w:tc>
          <w:tcPr>
            <w:tcW w:w="2300" w:type="dxa"/>
            <w:vAlign w:val="bottom"/>
          </w:tcPr>
          <w:p>
            <w:pPr>
              <w:ind w:left="20"/>
              <w:spacing w:after="0"/>
              <w:rPr>
                <w:sz w:val="20"/>
                <w:szCs w:val="20"/>
                <w:color w:val="auto"/>
              </w:rPr>
            </w:pPr>
            <w:r>
              <w:rPr>
                <w:rFonts w:ascii="Arial" w:cs="Arial" w:eastAsia="Arial" w:hAnsi="Arial"/>
                <w:sz w:val="18"/>
                <w:szCs w:val="18"/>
                <w:color w:val="auto"/>
              </w:rPr>
              <w:t>31-to-60 days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22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Greater-than-60 days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0" w:type="dxa"/>
            <w:vAlign w:val="bottom"/>
          </w:tcPr>
          <w:p>
            <w:pPr>
              <w:spacing w:after="0"/>
              <w:rPr>
                <w:sz w:val="1"/>
                <w:szCs w:val="1"/>
                <w:color w:val="auto"/>
              </w:rPr>
            </w:pPr>
          </w:p>
        </w:tc>
      </w:tr>
      <w:tr>
        <w:trPr>
          <w:trHeight w:val="167"/>
        </w:trPr>
        <w:tc>
          <w:tcPr>
            <w:tcW w:w="2300" w:type="dxa"/>
            <w:vAlign w:val="bottom"/>
          </w:tcPr>
          <w:p>
            <w:pPr>
              <w:ind w:left="20"/>
              <w:spacing w:after="0" w:line="167" w:lineRule="exact"/>
              <w:rPr>
                <w:sz w:val="20"/>
                <w:szCs w:val="20"/>
                <w:color w:val="auto"/>
              </w:rPr>
            </w:pPr>
            <w:r>
              <w:rPr>
                <w:rFonts w:ascii="Arial" w:cs="Arial" w:eastAsia="Arial" w:hAnsi="Arial"/>
                <w:sz w:val="18"/>
                <w:szCs w:val="18"/>
                <w:color w:val="auto"/>
                <w:w w:val="91"/>
              </w:rPr>
              <w:t>Finance receivables more than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300" w:type="dxa"/>
            <w:vAlign w:val="bottom"/>
          </w:tcPr>
          <w:p>
            <w:pPr>
              <w:ind w:left="180"/>
              <w:spacing w:after="0"/>
              <w:rPr>
                <w:sz w:val="20"/>
                <w:szCs w:val="20"/>
                <w:color w:val="auto"/>
              </w:rPr>
            </w:pPr>
            <w:r>
              <w:rPr>
                <w:rFonts w:ascii="Arial" w:cs="Arial" w:eastAsia="Arial" w:hAnsi="Arial"/>
                <w:sz w:val="18"/>
                <w:szCs w:val="18"/>
                <w:color w:val="auto"/>
              </w:rPr>
              <w:t>30 days delinquent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1,857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22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repossession</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67"/>
        </w:trPr>
        <w:tc>
          <w:tcPr>
            <w:tcW w:w="2300" w:type="dxa"/>
            <w:vAlign w:val="bottom"/>
          </w:tcPr>
          <w:p>
            <w:pPr>
              <w:ind w:left="20"/>
              <w:spacing w:after="0" w:line="167" w:lineRule="exact"/>
              <w:rPr>
                <w:sz w:val="20"/>
                <w:szCs w:val="20"/>
                <w:color w:val="auto"/>
              </w:rPr>
            </w:pPr>
            <w:r>
              <w:rPr>
                <w:rFonts w:ascii="Arial" w:cs="Arial" w:eastAsia="Arial" w:hAnsi="Arial"/>
                <w:sz w:val="18"/>
                <w:szCs w:val="18"/>
                <w:color w:val="auto"/>
                <w:w w:val="91"/>
              </w:rPr>
              <w:t>Finance receivables more than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00" w:type="dxa"/>
            <w:vAlign w:val="bottom"/>
          </w:tcPr>
          <w:p>
            <w:pPr>
              <w:ind w:left="180"/>
              <w:spacing w:after="0" w:line="176" w:lineRule="exact"/>
              <w:rPr>
                <w:sz w:val="20"/>
                <w:szCs w:val="20"/>
                <w:color w:val="auto"/>
              </w:rPr>
            </w:pPr>
            <w:r>
              <w:rPr>
                <w:rFonts w:ascii="Arial" w:cs="Arial" w:eastAsia="Arial" w:hAnsi="Arial"/>
                <w:sz w:val="18"/>
                <w:szCs w:val="18"/>
                <w:color w:val="auto"/>
              </w:rPr>
              <w:t>30 days delinquent or in</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repossession</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1,896</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167"/>
        </w:trPr>
        <w:tc>
          <w:tcPr>
            <w:tcW w:w="230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w w:val="94"/>
              </w:rPr>
              <w:t>Retail finance receivables, net</w:t>
            </w: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29,090</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18,745</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11,081</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3,992</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65,322</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22"/>
        </w:trPr>
        <w:tc>
          <w:tcPr>
            <w:tcW w:w="230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of fees</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b w:val="1"/>
          <w:bCs w:val="1"/>
          <w:i w:val="1"/>
          <w:iCs w:val="1"/>
          <w:color w:val="auto"/>
        </w:rPr>
        <w:t xml:space="preserve">Commercial Finance Receivables </w:t>
      </w:r>
      <w:r>
        <w:rPr>
          <w:rFonts w:ascii="Arial" w:cs="Arial" w:eastAsia="Arial" w:hAnsi="Arial"/>
          <w:sz w:val="17"/>
          <w:szCs w:val="17"/>
          <w:color w:val="auto"/>
        </w:rPr>
        <w:t>GM Financial's commercial finance receivables consist of dealer financings, primarily for inventory purchases.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models are used to assign a risk rating to each dealer. GM Financial performs periodic credit reviews of each dealership and adjusts the dealership's risk rating, if necessary. There were no commercial finance receivables on nonaccrual status at September 30, 2023.</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(Continued)</w:t>
      </w:r>
    </w:p>
    <w:p>
      <w:pPr>
        <w:spacing w:after="0" w:line="3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GM Financial's commercial risk model and risk rating categories are as follows:</w:t>
      </w:r>
    </w:p>
    <w:p>
      <w:pPr>
        <w:sectPr>
          <w:pgSz w:w="11900" w:h="16838" w:orient="portrait"/>
          <w:cols w:equalWidth="0" w:num="1">
            <w:col w:w="11240"/>
          </w:cols>
          <w:pgMar w:left="320" w:top="125"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Rating</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III</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16510</wp:posOffset>
            </wp:positionV>
            <wp:extent cx="7132955" cy="153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Performing accounts with strong to acceptable financial metrics with at least satisfactory capacity to meet financial commitments.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27940</wp:posOffset>
            </wp:positionV>
            <wp:extent cx="7132955" cy="2647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spacing w:after="0" w:line="24" w:lineRule="exact"/>
        <w:rPr>
          <w:sz w:val="20"/>
          <w:szCs w:val="20"/>
          <w:color w:val="auto"/>
        </w:rPr>
      </w:pPr>
    </w:p>
    <w:p>
      <w:pPr>
        <w:ind w:left="160" w:right="560" w:hanging="160"/>
        <w:spacing w:after="0" w:line="233" w:lineRule="auto"/>
        <w:rPr>
          <w:sz w:val="20"/>
          <w:szCs w:val="20"/>
          <w:color w:val="auto"/>
        </w:rPr>
      </w:pPr>
      <w:r>
        <w:rPr>
          <w:rFonts w:ascii="Arial" w:cs="Arial" w:eastAsia="Arial" w:hAnsi="Arial"/>
          <w:sz w:val="18"/>
          <w:szCs w:val="18"/>
          <w:color w:val="auto"/>
        </w:rPr>
        <w:t>Non-Performing accounts with inadequate paying capacity for current obligations and have the distinct possibility of creating a loss if deficiencies are not corrected.</w:t>
      </w:r>
    </w:p>
    <w:p>
      <w:pPr>
        <w:spacing w:after="0" w:line="13" w:lineRule="exact"/>
        <w:rPr>
          <w:sz w:val="20"/>
          <w:szCs w:val="20"/>
          <w:color w:val="auto"/>
        </w:rPr>
      </w:pPr>
    </w:p>
    <w:p>
      <w:pPr>
        <w:ind w:left="160" w:right="780" w:hanging="160"/>
        <w:spacing w:after="0" w:line="234" w:lineRule="auto"/>
        <w:rPr>
          <w:sz w:val="20"/>
          <w:szCs w:val="20"/>
          <w:color w:val="auto"/>
        </w:rPr>
      </w:pPr>
      <w:r>
        <w:rPr>
          <w:rFonts w:ascii="Arial" w:cs="Arial" w:eastAsia="Arial" w:hAnsi="Arial"/>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40"/>
            <w:col w:w="10160"/>
          </w:cols>
          <w:pgMar w:left="320" w:top="125" w:right="339" w:bottom="1440" w:gutter="0" w:footer="0" w:header="0"/>
          <w:type w:val="continuous"/>
        </w:sectPr>
      </w:pPr>
    </w:p>
    <w:p>
      <w:pPr>
        <w:spacing w:after="0" w:line="12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Dealers with III and IV risk ratings are subject to additional monitoring and restrictions on funding, including suspension of lines of credit and liquidation of assets. The following tables summarize the credit risk profile by dealer risk rating of commercial finance receivables at September 30, 2023 and December 31, 2022:</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5"/>
          </w:tcPr>
          <w:p>
            <w:pPr>
              <w:ind w:left="60"/>
              <w:spacing w:after="0"/>
              <w:rPr>
                <w:sz w:val="20"/>
                <w:szCs w:val="20"/>
                <w:color w:val="auto"/>
              </w:rPr>
            </w:pPr>
            <w:r>
              <w:rPr>
                <w:rFonts w:ascii="Arial" w:cs="Arial" w:eastAsia="Arial" w:hAnsi="Arial"/>
                <w:sz w:val="14"/>
                <w:szCs w:val="14"/>
                <w:b w:val="1"/>
                <w:bCs w:val="1"/>
                <w:color w:val="auto"/>
                <w:w w:val="96"/>
              </w:rPr>
              <w:t>Year of Origination(a)</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3"/>
          </w:tcPr>
          <w:p>
            <w:pPr>
              <w:jc w:val="right"/>
              <w:ind w:right="361"/>
              <w:spacing w:after="0"/>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25"/>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Revolving</w:t>
            </w: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14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5"/>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11,435</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97.2 %</w:t>
            </w: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II</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III</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IV</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6"/>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Commercial finance receivables, net of fees</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11,765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360" w:type="dxa"/>
            <w:vAlign w:val="bottom"/>
            <w:gridSpan w:val="19"/>
          </w:tcPr>
          <w:p>
            <w:pPr>
              <w:spacing w:after="0"/>
              <w:rPr>
                <w:sz w:val="20"/>
                <w:szCs w:val="20"/>
                <w:color w:val="auto"/>
              </w:rPr>
            </w:pPr>
            <w:r>
              <w:rPr>
                <w:rFonts w:ascii="Arial" w:cs="Arial" w:eastAsia="Arial" w:hAnsi="Arial"/>
                <w:sz w:val="16"/>
                <w:szCs w:val="16"/>
                <w:color w:val="auto"/>
                <w:w w:val="95"/>
              </w:rPr>
              <w:t>(a)  Floorplan advances comprise 95% of the total revolving balance. Dealer term loans are presented by year of origination.</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5"/>
          </w:tcPr>
          <w:p>
            <w:pPr>
              <w:ind w:left="60"/>
              <w:spacing w:after="0"/>
              <w:rPr>
                <w:sz w:val="20"/>
                <w:szCs w:val="20"/>
                <w:color w:val="auto"/>
              </w:rPr>
            </w:pPr>
            <w:r>
              <w:rPr>
                <w:rFonts w:ascii="Arial" w:cs="Arial" w:eastAsia="Arial" w:hAnsi="Arial"/>
                <w:sz w:val="14"/>
                <w:szCs w:val="14"/>
                <w:b w:val="1"/>
                <w:bCs w:val="1"/>
                <w:color w:val="auto"/>
                <w:w w:val="96"/>
              </w:rPr>
              <w:t>Year of Origination(a)</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Revolving</w:t>
            </w: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14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5"/>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10,794</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98.2 %</w:t>
            </w: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II</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III</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IV</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6"/>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Commercial finance receivables, net of fees</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10,988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Floorplan advances comprise 97% of the total revolving balance. Dealer term loans are presented by year of origination.</w:t>
      </w:r>
    </w:p>
    <w:p>
      <w:pPr>
        <w:spacing w:after="0" w:line="237"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b w:val="1"/>
          <w:bCs w:val="1"/>
          <w:i w:val="1"/>
          <w:iCs w:val="1"/>
          <w:color w:val="auto"/>
        </w:rPr>
        <w:t xml:space="preserve">Transactions with GM Financial </w:t>
      </w:r>
      <w:r>
        <w:rPr>
          <w:rFonts w:ascii="Arial" w:cs="Arial" w:eastAsia="Arial" w:hAnsi="Arial"/>
          <w:sz w:val="18"/>
          <w:szCs w:val="18"/>
          <w:color w:val="auto"/>
        </w:rPr>
        <w:t>The following table shows transactions between our Automotive segments and GM Financial. These amounts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in GM Financial's condensed consolidated balance sheets and statements of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Condensed Consolidated Balance Sheets(a)</w:t>
            </w:r>
          </w:p>
        </w:tc>
        <w:tc>
          <w:tcPr>
            <w:tcW w:w="2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vMerge w:val="continue"/>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Commercial finance receivables, net due from GM consolidated dealers</w:t>
            </w:r>
          </w:p>
        </w:tc>
        <w:tc>
          <w:tcPr>
            <w:tcW w:w="2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Receivables from Cruise</w:t>
            </w:r>
          </w:p>
        </w:tc>
        <w:tc>
          <w:tcPr>
            <w:tcW w:w="2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Subvention receivable(b)</w:t>
            </w:r>
          </w:p>
        </w:tc>
        <w:tc>
          <w:tcPr>
            <w:tcW w:w="2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Commercial loan funding payable</w:t>
            </w:r>
          </w:p>
        </w:tc>
        <w:tc>
          <w:tcPr>
            <w:tcW w:w="2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payable to GM</w:t>
            </w:r>
          </w:p>
        </w:tc>
        <w:tc>
          <w:tcPr>
            <w:tcW w:w="2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480" w:type="dxa"/>
            <w:vAlign w:val="bottom"/>
          </w:tcPr>
          <w:p>
            <w:pPr>
              <w:jc w:val="right"/>
              <w:ind w:right="203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96"/>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8"/>
        </w:trPr>
        <w:tc>
          <w:tcPr>
            <w:tcW w:w="5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0"/>
              </w:rPr>
              <w:t>September 30, 2022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0"/>
              </w:rPr>
              <w:t>September 30, 2022</w:t>
            </w:r>
          </w:p>
        </w:tc>
      </w:tr>
      <w:tr>
        <w:trPr>
          <w:trHeight w:val="215"/>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Statements of Income</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subvention earned on finance receivables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Leased vehicle subvention earned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1,503</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3"/>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balance sheet amounts are eliminated upon consolidation.</w:t>
      </w:r>
    </w:p>
    <w:p>
      <w:pPr>
        <w:spacing w:after="0" w:line="8" w:lineRule="exact"/>
        <w:rPr>
          <w:rFonts w:ascii="Arial" w:cs="Arial" w:eastAsia="Arial" w:hAnsi="Arial"/>
          <w:sz w:val="16"/>
          <w:szCs w:val="16"/>
          <w:color w:val="auto"/>
        </w:rPr>
      </w:pPr>
    </w:p>
    <w:p>
      <w:pPr>
        <w:ind w:left="340" w:right="20" w:hanging="333"/>
        <w:spacing w:after="0" w:line="255"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Automotive segments made cash payments to GM Financial for subvention of $629 million and $732 million in the three months ended September 30, 2023 and 2022 and $2.3 billion and $1.7 billion in the nine months ended September 30, 2023 and 2022.</w:t>
      </w:r>
    </w:p>
    <w:p>
      <w:pPr>
        <w:spacing w:after="0" w:line="222"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GM Financial's Board of Directors declared and paid dividends of $450 million and $275 million on its common stock in the three months ended September 30, 2023 and 2022 and $1.4 billion and $1.0 billion in the nine months ended September 30, 2023 and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productive material, supplies and work in process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product, including service parts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 Equipment on Operating Leases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7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7820" w:type="dxa"/>
            <w:vAlign w:val="bottom"/>
          </w:tcPr>
          <w:p>
            <w:pPr>
              <w:ind w:left="160"/>
              <w:spacing w:after="0"/>
              <w:rPr>
                <w:sz w:val="20"/>
                <w:szCs w:val="20"/>
                <w:color w:val="auto"/>
              </w:rPr>
            </w:pPr>
            <w:r>
              <w:rPr>
                <w:rFonts w:ascii="Arial" w:cs="Arial" w:eastAsia="Arial" w:hAnsi="Arial"/>
                <w:sz w:val="18"/>
                <w:szCs w:val="18"/>
                <w:color w:val="auto"/>
              </w:rPr>
              <w:t>Equipment on operating leases consists of leases to retail customers of GM Financial.</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24"/>
                <w:szCs w:val="24"/>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on operating leases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40,919</w:t>
            </w:r>
          </w:p>
        </w:tc>
        <w:tc>
          <w:tcPr>
            <w:tcW w:w="0" w:type="dxa"/>
            <w:vAlign w:val="bottom"/>
          </w:tcPr>
          <w:p>
            <w:pPr>
              <w:spacing w:after="0"/>
              <w:rPr>
                <w:sz w:val="1"/>
                <w:szCs w:val="1"/>
                <w:color w:val="auto"/>
              </w:rPr>
            </w:pP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(8,218)</w:t>
            </w:r>
          </w:p>
        </w:tc>
        <w:tc>
          <w:tcPr>
            <w:tcW w:w="0" w:type="dxa"/>
            <w:vAlign w:val="bottom"/>
          </w:tcPr>
          <w:p>
            <w:pPr>
              <w:spacing w:after="0"/>
              <w:rPr>
                <w:sz w:val="1"/>
                <w:szCs w:val="1"/>
                <w:color w:val="auto"/>
              </w:rPr>
            </w:pP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firstLine="161"/>
        <w:spacing w:after="0" w:line="259" w:lineRule="auto"/>
        <w:rPr>
          <w:sz w:val="20"/>
          <w:szCs w:val="20"/>
          <w:color w:val="auto"/>
        </w:rPr>
      </w:pPr>
      <w:r>
        <w:rPr>
          <w:rFonts w:ascii="Arial" w:cs="Arial" w:eastAsia="Arial" w:hAnsi="Arial"/>
          <w:sz w:val="18"/>
          <w:szCs w:val="18"/>
          <w:color w:val="auto"/>
        </w:rPr>
        <w:t>The estimated residual value of our leased assets at the end of the lease term was $23.2 billion and $24.7 billion at September 30, 2023 and December 31, 2022.</w:t>
      </w:r>
    </w:p>
    <w:p>
      <w:pPr>
        <w:spacing w:after="0" w:line="198"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Depreciation expense related to Equipment on operating leases, net was $1.2 billion in the three months ended September 30, 2023 and 2022 and $3.7 billion and $3.6 billion in the nine months ended September 30, 2023 and 2022.</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lease payments due to GM Financial on leases to retail customers: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8"/>
          </w:tcPr>
          <w:p>
            <w:pPr>
              <w:ind w:left="64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3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8"/>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28"/>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receipts under operating leases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2,554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9,172</w:t>
            </w:r>
          </w:p>
        </w:tc>
      </w:tr>
      <w:tr>
        <w:trPr>
          <w:trHeight w:val="887"/>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6"/>
        </w:trPr>
        <w:tc>
          <w:tcPr>
            <w:tcW w:w="3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in Net Assets of Nonconsolidated Affiliates</w:t>
      </w:r>
    </w:p>
    <w:p>
      <w:pPr>
        <w:spacing w:after="0" w:line="146"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 or Automotive and other cost of sales.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95"/>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0"/>
              </w:rPr>
              <w:t>September 30, 2022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0"/>
              </w:rPr>
              <w:t>September 30, 2022</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joint ventures equity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joint ventures equity income (loss)(a)</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jc w:val="both"/>
        <w:ind w:left="340" w:hanging="333"/>
        <w:spacing w:after="0" w:line="270"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Equity earnings related to Ultium Cells Holdings LLC are presented in Automotive and other cost of sales as this entity is integral to the operations of our business by providing battery cells for our electric vehicles (EVs). Equity earnings related to Ultium Cells Holdings LLC were $101 million and $191 million in the three and nine months ended September 30, 2023.</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There have been no significant ownership changes in our Automotive China joint ventures (Automotive China JVs) since December 31,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96"/>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0"/>
              </w:rPr>
              <w:t>September 30, 2022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0"/>
              </w:rPr>
              <w:t>September 30, 2022</w:t>
            </w:r>
          </w:p>
        </w:tc>
      </w:tr>
      <w:tr>
        <w:trPr>
          <w:trHeight w:val="215"/>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Summarized Operating Data of Automotive China JVs</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China JVs'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25,467</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Automotive China JVs' 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959</w:t>
            </w:r>
          </w:p>
        </w:tc>
      </w:tr>
    </w:tbl>
    <w:p>
      <w:pPr>
        <w:spacing w:after="0" w:line="173"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Dividends declared but not paid from our nonconsolidated affiliates were $260 million and an insignificant amount at September 30, 2023 and December 31, 2022. Dividends received from our nonconsolidated affiliates were $101 million and $514 million in the three and nine months ended September 30, 2023 and $435 million and $491 million in the three and nine months ended September 30, 2022. Undistributed earnings from our nonconsolidated affiliates were $2.0 billion and $1.9 billion at September 30, 2023 and December 31,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Variable Interest Entities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Automotive Financing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GM Financial</w:t>
      </w:r>
    </w:p>
    <w:p>
      <w:pPr>
        <w:spacing w:after="0" w:line="119" w:lineRule="exact"/>
        <w:rPr>
          <w:sz w:val="20"/>
          <w:szCs w:val="20"/>
          <w:color w:val="auto"/>
        </w:rPr>
      </w:pPr>
    </w:p>
    <w:p>
      <w:pPr>
        <w:jc w:val="both"/>
        <w:ind w:firstLine="161"/>
        <w:spacing w:after="0" w:line="287" w:lineRule="auto"/>
        <w:rPr>
          <w:sz w:val="20"/>
          <w:szCs w:val="20"/>
          <w:color w:val="auto"/>
        </w:rPr>
      </w:pPr>
      <w:r>
        <w:rPr>
          <w:rFonts w:ascii="Arial" w:cs="Arial" w:eastAsia="Arial" w:hAnsi="Arial"/>
          <w:sz w:val="16"/>
          <w:szCs w:val="16"/>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condensed consolidated financial statements, they are separate legal entities and the finance receivables, lease-related assets and cash held by them are legally owned by them and are not available to GM Financial's creditors or creditors of GM Financial's other subsidiaries.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2022</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 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Restricted cash – non-current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receivables, net of fees – 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19,896</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GM Financial receivables, net of fees – non-current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22,912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18,748</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18,456</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GM Financial short-term debt and current portion of long-term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22,895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21,643</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20,545</w:t>
            </w:r>
          </w:p>
        </w:tc>
      </w:tr>
    </w:tbl>
    <w:p>
      <w:pPr>
        <w:spacing w:after="0" w:line="308"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Automotive</w:t>
      </w:r>
    </w:p>
    <w:p>
      <w:pPr>
        <w:spacing w:after="0" w:line="119" w:lineRule="exact"/>
        <w:rPr>
          <w:sz w:val="20"/>
          <w:szCs w:val="20"/>
          <w:color w:val="auto"/>
        </w:rPr>
      </w:pPr>
    </w:p>
    <w:p>
      <w:pPr>
        <w:jc w:val="both"/>
        <w:ind w:firstLine="161"/>
        <w:spacing w:after="0" w:line="288" w:lineRule="auto"/>
        <w:rPr>
          <w:sz w:val="20"/>
          <w:szCs w:val="20"/>
          <w:color w:val="auto"/>
        </w:rPr>
      </w:pPr>
      <w:r>
        <w:rPr>
          <w:rFonts w:ascii="Arial" w:cs="Arial" w:eastAsia="Arial" w:hAnsi="Arial"/>
          <w:sz w:val="16"/>
          <w:szCs w:val="16"/>
          <w:color w:val="auto"/>
        </w:rPr>
        <w:t>Nonconsolidated VIEs principally include automotive related operating entities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were approximately $2.5 billion and $1.6 billion and liabilities were insignificant related to our nonconsolidated VIEs at September 30, 2023 and December 31, 2022. Our maximum exposure to loss as a result of our involvement with these VIEs was approximately $3.5 billion and $3.3 billion, inclusive of approximately $0.8 billion and $1.4 billion in committed capital contributions to Ultium Cells Holdings LLC, at September 30, 2023 and December 31, 2022. Our maximum exposure to loss, and required capital contributions, could vary depending on Ultium Cells Holdings LLC's requirements and access to capital. We currently lack the power through voting or similar rights to direct the activities of these entities that most significantly affect their economic performance.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5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debt in our automotive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80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6"/>
                <w:szCs w:val="16"/>
                <w:color w:val="auto"/>
              </w:rPr>
            </w:pPr>
          </w:p>
        </w:tc>
        <w:tc>
          <w:tcPr>
            <w:tcW w:w="2920" w:type="dxa"/>
            <w:vAlign w:val="bottom"/>
            <w:gridSpan w:val="4"/>
          </w:tcPr>
          <w:p>
            <w:pPr>
              <w:jc w:val="right"/>
              <w:ind w:right="852"/>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8"/>
        </w:trPr>
        <w:tc>
          <w:tcPr>
            <w:tcW w:w="50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Fair Value</w:t>
            </w:r>
          </w:p>
        </w:tc>
      </w:tr>
      <w:tr>
        <w:trPr>
          <w:trHeight w:val="228"/>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123</w:t>
            </w:r>
          </w:p>
        </w:tc>
      </w:tr>
      <w:tr>
        <w:trPr>
          <w:trHeight w:val="228"/>
        </w:trPr>
        <w:tc>
          <w:tcPr>
            <w:tcW w:w="5040" w:type="dxa"/>
            <w:vAlign w:val="bottom"/>
          </w:tcPr>
          <w:p>
            <w:pPr>
              <w:ind w:left="20"/>
              <w:spacing w:after="0"/>
              <w:rPr>
                <w:sz w:val="20"/>
                <w:szCs w:val="20"/>
                <w:color w:val="auto"/>
              </w:rPr>
            </w:pPr>
            <w:r>
              <w:rPr>
                <w:rFonts w:ascii="Arial" w:cs="Arial" w:eastAsia="Arial" w:hAnsi="Arial"/>
                <w:sz w:val="18"/>
                <w:szCs w:val="18"/>
                <w:color w:val="auto"/>
              </w:rPr>
              <w:t>Unsecured debt(a)</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14,527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16,323</w:t>
            </w: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381</w:t>
            </w:r>
          </w:p>
        </w:tc>
      </w:tr>
      <w:tr>
        <w:trPr>
          <w:trHeight w:val="222"/>
        </w:trPr>
        <w:tc>
          <w:tcPr>
            <w:tcW w:w="5040" w:type="dxa"/>
            <w:vAlign w:val="bottom"/>
          </w:tcPr>
          <w:p>
            <w:pPr>
              <w:ind w:left="20"/>
              <w:spacing w:after="0"/>
              <w:rPr>
                <w:sz w:val="20"/>
                <w:szCs w:val="20"/>
                <w:color w:val="auto"/>
              </w:rPr>
            </w:pPr>
            <w:r>
              <w:rPr>
                <w:rFonts w:ascii="Arial" w:cs="Arial" w:eastAsia="Arial" w:hAnsi="Arial"/>
                <w:sz w:val="18"/>
                <w:szCs w:val="18"/>
                <w:color w:val="auto"/>
              </w:rPr>
              <w:t>Total automotive debt(b)</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15,129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16,828</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8"/>
        </w:trPr>
        <w:tc>
          <w:tcPr>
            <w:tcW w:w="5040" w:type="dxa"/>
            <w:vAlign w:val="bottom"/>
          </w:tcPr>
          <w:p>
            <w:pPr>
              <w:ind w:left="20"/>
              <w:spacing w:after="0"/>
              <w:rPr>
                <w:sz w:val="20"/>
                <w:szCs w:val="20"/>
                <w:color w:val="auto"/>
              </w:rPr>
            </w:pPr>
            <w:r>
              <w:rPr>
                <w:rFonts w:ascii="Arial" w:cs="Arial" w:eastAsia="Arial" w:hAnsi="Arial"/>
                <w:sz w:val="18"/>
                <w:szCs w:val="18"/>
                <w:color w:val="auto"/>
              </w:rPr>
              <w:t>Fair value utilizing Level 1 inputs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14,118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15,971</w:t>
            </w: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857</w:t>
            </w:r>
          </w:p>
        </w:tc>
      </w:tr>
      <w:tr>
        <w:trPr>
          <w:trHeight w:val="269"/>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under credit facility agreements(c)</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13,472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15,095</w:t>
            </w:r>
          </w:p>
        </w:tc>
      </w:tr>
      <w:tr>
        <w:trPr>
          <w:trHeight w:val="228"/>
        </w:trPr>
        <w:tc>
          <w:tcPr>
            <w:tcW w:w="5040" w:type="dxa"/>
            <w:vAlign w:val="bottom"/>
          </w:tcPr>
          <w:p>
            <w:pPr>
              <w:ind w:left="20"/>
              <w:spacing w:after="0"/>
              <w:rPr>
                <w:sz w:val="20"/>
                <w:szCs w:val="20"/>
                <w:color w:val="auto"/>
              </w:rPr>
            </w:pPr>
            <w:r>
              <w:rPr>
                <w:rFonts w:ascii="Arial" w:cs="Arial" w:eastAsia="Arial" w:hAnsi="Arial"/>
                <w:sz w:val="18"/>
                <w:szCs w:val="18"/>
                <w:color w:val="auto"/>
                <w:w w:val="96"/>
              </w:rPr>
              <w:t>Weighted-average interest rate on outstanding short-term debt(d)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Weighted-average interest rate on outstanding long-term debt(d)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3"/>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Primarily consists of senior notes.</w:t>
      </w:r>
    </w:p>
    <w:p>
      <w:pPr>
        <w:spacing w:after="0" w:line="11" w:lineRule="exact"/>
        <w:rPr>
          <w:rFonts w:ascii="Arial" w:cs="Arial" w:eastAsia="Arial" w:hAnsi="Arial"/>
          <w:sz w:val="16"/>
          <w:szCs w:val="16"/>
          <w:color w:val="auto"/>
        </w:rPr>
      </w:pPr>
    </w:p>
    <w:p>
      <w:pPr>
        <w:ind w:left="320" w:hanging="313"/>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net discount and debt issuance costs of $522 million and $525 million at September 30, 2023 and December 31, 2022.</w:t>
      </w:r>
    </w:p>
    <w:p>
      <w:pPr>
        <w:spacing w:after="0" w:line="14" w:lineRule="exact"/>
        <w:rPr>
          <w:rFonts w:ascii="Arial" w:cs="Arial" w:eastAsia="Arial" w:hAnsi="Arial"/>
          <w:sz w:val="16"/>
          <w:szCs w:val="16"/>
          <w:color w:val="auto"/>
        </w:rPr>
      </w:pPr>
    </w:p>
    <w:p>
      <w:pPr>
        <w:ind w:left="320" w:hanging="313"/>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our 364-day, $2.0 billion facility allocated for exclusive use by GM Financial.</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coupon rates on debt denominated in various foreign currencies and interest free loans.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March 2023, we redeemed our $1.5 billion, 4.875% senior unsecured notes with a maturity date of October 2023 and recorded an insignificant loss.</w:t>
      </w:r>
    </w:p>
    <w:p>
      <w:pPr>
        <w:spacing w:after="0" w:line="273"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Also, in March 2023, we renewed and reduced the total borrowing capacity of our five-year, $11.2 billion facility to $10.0 billion, which now matures March 31, 2028. We also renewed and reduced the total borrowing capacity of our three-year, $4.3 billion facility to $4.1 billion, which now matures March 31, 2026, and renewed our 364-day, $2.0 billion revolving credit facility allocated for the exclusive use of GM Financial, which now matures March 30, 2024. The renewed credit facilities are based on Term Secured Overnight Financing Rate (Term SOFR) whereas the previous credit facilities were based on the London Interbank Offered Rate (LIBOR).</w:t>
      </w:r>
    </w:p>
    <w:p>
      <w:pPr>
        <w:spacing w:after="0" w:line="21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October 2023, we entered into a new 364-day unsecured revolving credit facility with a borrowing capacity of $6.0 billion, which matures on October 1, 2024. Interest rates on obligations under this facility are based on Term SOFR. This facility contains representations, warranties and covenants, that are typical for these types of facilities.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debt of GM Financial: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5"/>
          </w:tcPr>
          <w:p>
            <w:pPr>
              <w:ind w:left="76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6"/>
                <w:szCs w:val="16"/>
                <w:color w:val="auto"/>
              </w:rPr>
            </w:pPr>
          </w:p>
        </w:tc>
        <w:tc>
          <w:tcPr>
            <w:tcW w:w="284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Fair Value</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41,467</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Unsecured debt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55,338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52,270</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91,545</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Fair value utilizing Level 3 inputs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2,192</w:t>
            </w:r>
          </w:p>
        </w:tc>
      </w:tr>
    </w:tbl>
    <w:p>
      <w:pPr>
        <w:spacing w:after="0" w:line="30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Secured debt consists of revolving credit facilities and securitization notes payable. Most of the secured debt was issued by VIEs and is repayable only from proceeds related to the underlying pledged assets. Refer to Note 8 to our condensed consolidated financial statements for additional information on GM Financial's involvement with VIEs. In the nine months ended September 30, 2023, GM Financial renewed revolving credit facilities with total borrowing capacity of $17.7 billion and issued $18.1 billion in aggregate principal amount of securitization notes payable with an initial weighted-average interest rate of 5.5% and maturity dates ranging from 2023 to 2035.</w:t>
      </w:r>
    </w:p>
    <w:p>
      <w:pPr>
        <w:spacing w:after="0" w:line="21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Unsecured debt consists of senior notes, credit facilities and other unsecured debt. In the nine months ended September 30, 2023, GM Financial issued $8.3 billion in aggregate principal amount of senior notes with an initial weighted-average interest rate of 5.5% and maturity dates ranging from 2026 to 2033.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25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of derivative financial instruments in our automotive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Derivatives not designated as hedges(a)</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currency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Commodity</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derivative financial instruments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4"/>
                <w:szCs w:val="14"/>
                <w:color w:val="auto"/>
              </w:rPr>
            </w:pPr>
          </w:p>
        </w:tc>
        <w:tc>
          <w:tcPr>
            <w:tcW w:w="14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19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4,072</w:t>
            </w:r>
          </w:p>
        </w:tc>
        <w:tc>
          <w:tcPr>
            <w:tcW w:w="0" w:type="dxa"/>
            <w:vAlign w:val="bottom"/>
          </w:tcPr>
          <w:p>
            <w:pPr>
              <w:spacing w:after="0"/>
              <w:rPr>
                <w:sz w:val="1"/>
                <w:szCs w:val="1"/>
                <w:color w:val="auto"/>
              </w:rPr>
            </w:pPr>
          </w:p>
        </w:tc>
      </w:tr>
      <w:tr>
        <w:trPr>
          <w:trHeight w:val="229"/>
        </w:trPr>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-476885</wp:posOffset>
            </wp:positionV>
            <wp:extent cx="7115810" cy="1447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810" cy="144780"/>
                    </a:xfrm>
                    <a:prstGeom prst="rect">
                      <a:avLst/>
                    </a:prstGeom>
                    <a:noFill/>
                  </pic:spPr>
                </pic:pic>
              </a:graphicData>
            </a:graphic>
          </wp:anchor>
        </w:drawing>
        <w:drawing>
          <wp:anchor simplePos="0" relativeHeight="251657728" behindDoc="1" locked="0" layoutInCell="0" allowOverlap="1">
            <wp:simplePos x="0" y="0"/>
            <wp:positionH relativeFrom="column">
              <wp:posOffset>-4304030</wp:posOffset>
            </wp:positionH>
            <wp:positionV relativeFrom="paragraph">
              <wp:posOffset>-187325</wp:posOffset>
            </wp:positionV>
            <wp:extent cx="7115810" cy="1708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810" cy="170815"/>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2">
            <w:col w:w="6080" w:space="720"/>
            <w:col w:w="4440"/>
          </w:cols>
          <w:pgMar w:left="320" w:top="125" w:right="3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line="255" w:lineRule="auto"/>
        <w:tabs>
          <w:tab w:leader="none" w:pos="33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September 30, 2023 and December 31, 2022 and the gains/losses included in our condensed consolidated income statements for the three and nine months ended September 30, 2023 and 2022 were insignificant, unless otherwise noted.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ind w:right="20" w:firstLine="161"/>
        <w:spacing w:after="0" w:line="275" w:lineRule="auto"/>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the gross fair value amounts of GM Financial's derivative financial instruments and the associated notional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0"/>
              </w:rPr>
              <w:t>September 30, 2023</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Level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6"/>
              <w:spacing w:after="0" w:line="135" w:lineRule="exact"/>
              <w:rPr>
                <w:sz w:val="20"/>
                <w:szCs w:val="20"/>
                <w:color w:val="auto"/>
              </w:rPr>
            </w:pPr>
            <w:r>
              <w:rPr>
                <w:rFonts w:ascii="Arial" w:cs="Arial" w:eastAsia="Arial" w:hAnsi="Arial"/>
                <w:sz w:val="14"/>
                <w:szCs w:val="14"/>
                <w:b w:val="1"/>
                <w:bCs w:val="1"/>
                <w:color w:val="auto"/>
                <w:w w:val="92"/>
              </w:rPr>
              <w:t>Fair Value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w w:val="99"/>
              </w:rPr>
              <w:t>Notional</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6"/>
              <w:spacing w:after="0" w:line="135"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Liabilities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940" w:type="dxa"/>
            <w:vAlign w:val="bottom"/>
          </w:tcPr>
          <w:p>
            <w:pPr>
              <w:jc w:val="right"/>
              <w:ind w:right="136"/>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4"/>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hedges(a)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Fair value hedges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3740" w:type="dxa"/>
            <w:vAlign w:val="bottom"/>
          </w:tcPr>
          <w:p>
            <w:pPr>
              <w:ind w:left="140"/>
              <w:spacing w:after="0"/>
              <w:rPr>
                <w:sz w:val="20"/>
                <w:szCs w:val="20"/>
                <w:color w:val="auto"/>
              </w:rPr>
            </w:pPr>
            <w:r>
              <w:rPr>
                <w:rFonts w:ascii="Arial" w:cs="Arial" w:eastAsia="Arial" w:hAnsi="Arial"/>
                <w:sz w:val="18"/>
                <w:szCs w:val="18"/>
                <w:color w:val="auto"/>
              </w:rPr>
              <w:t>Foreign currency swaps(b)</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contracts</w:t>
            </w: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4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 financial instruments(c)</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jc w:val="both"/>
        <w:ind w:left="340" w:hanging="333"/>
        <w:spacing w:after="0" w:line="251" w:lineRule="auto"/>
        <w:tabs>
          <w:tab w:leader="none" w:pos="33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gains/losses included in our condensed consolidated income statements and statements of comprehensive income for the three and nine months ended September 30, 2023 and 2022 were insignificant, unless otherwise noted. Amounts accrued for interest payments in a net receivable position are included in Other assets. Amounts accrued for interest payments in a net payable position are included in Other liabilities.</w:t>
      </w:r>
    </w:p>
    <w:p>
      <w:pPr>
        <w:jc w:val="both"/>
        <w:ind w:left="340" w:hanging="333"/>
        <w:spacing w:after="0" w:line="269" w:lineRule="auto"/>
        <w:tabs>
          <w:tab w:leader="none" w:pos="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effect of foreign currency cash flow hedges recognized in Accumulated other comprehensive loss in the consolidated statements of comprehensive income includes losses of $154 million and $383 million for the three months ended September 30, 2023 and 2022, and losses of an insignificant amount and $832 million for the nine months ended September 30, 2023 and 2022. The effect of foreign currency cash flow hedges reclassified from Accumulated other comprehensive loss in the consolidated statements of comprehensive income into income includes losses of $226 million and $386 million for the three months ended September 30, 2023 and 2022 and losses of $129 million and $944 million for the nine months ended September 30, 2023 and 2022.</w:t>
      </w:r>
    </w:p>
    <w:p>
      <w:pPr>
        <w:ind w:left="340" w:hanging="333"/>
        <w:spacing w:after="0" w:line="302" w:lineRule="auto"/>
        <w:tabs>
          <w:tab w:leader="none" w:pos="331" w:val="left"/>
        </w:tabs>
        <w:numPr>
          <w:ilvl w:val="0"/>
          <w:numId w:val="9"/>
        </w:numPr>
        <w:rPr>
          <w:rFonts w:ascii="Arial" w:cs="Arial" w:eastAsia="Arial" w:hAnsi="Arial"/>
          <w:sz w:val="15"/>
          <w:szCs w:val="15"/>
          <w:color w:val="auto"/>
        </w:rPr>
      </w:pPr>
      <w:r>
        <w:rPr>
          <w:rFonts w:ascii="Arial" w:cs="Arial" w:eastAsia="Arial" w:hAnsi="Arial"/>
          <w:sz w:val="15"/>
          <w:szCs w:val="15"/>
          <w:color w:val="auto"/>
        </w:rPr>
        <w:t>GM Financial held $685 million and $553 million of collateral from counterparties available for netting against GM Financial's asset positions and posted $1.7 billion and $1.5 billion of collateral to counterparties available for netting against GM Financial's liability positions at September 30, 2023 and December 31, 2022.</w:t>
      </w:r>
    </w:p>
    <w:p>
      <w:pPr>
        <w:spacing w:after="0" w:line="189"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97"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The following amounts were recorded in the condensed consolidated balance sheets related to items designated and qualifying as hedged items in fair value hedging relationships: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20" w:type="dxa"/>
            <w:vAlign w:val="bottom"/>
            <w:gridSpan w:val="5"/>
          </w:tcPr>
          <w:p>
            <w:pPr>
              <w:ind w:left="1000"/>
              <w:spacing w:after="0"/>
              <w:rPr>
                <w:sz w:val="20"/>
                <w:szCs w:val="20"/>
                <w:color w:val="auto"/>
              </w:rPr>
            </w:pPr>
            <w:r>
              <w:rPr>
                <w:rFonts w:ascii="Arial" w:cs="Arial" w:eastAsia="Arial" w:hAnsi="Arial"/>
                <w:sz w:val="14"/>
                <w:szCs w:val="14"/>
                <w:b w:val="1"/>
                <w:bCs w:val="1"/>
                <w:color w:val="auto"/>
              </w:rPr>
              <w:t>September 30, 2023</w:t>
            </w:r>
          </w:p>
        </w:tc>
        <w:tc>
          <w:tcPr>
            <w:tcW w:w="420" w:type="dxa"/>
            <w:vAlign w:val="bottom"/>
          </w:tcPr>
          <w:p>
            <w:pPr>
              <w:spacing w:after="0"/>
              <w:rPr>
                <w:sz w:val="16"/>
                <w:szCs w:val="16"/>
                <w:color w:val="auto"/>
              </w:rPr>
            </w:pPr>
          </w:p>
        </w:tc>
        <w:tc>
          <w:tcPr>
            <w:tcW w:w="3620" w:type="dxa"/>
            <w:vAlign w:val="bottom"/>
            <w:gridSpan w:val="4"/>
          </w:tcPr>
          <w:p>
            <w:pPr>
              <w:jc w:val="right"/>
              <w:ind w:right="1361"/>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304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123"/>
        </w:trPr>
        <w:tc>
          <w:tcPr>
            <w:tcW w:w="304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3" w:lineRule="exact"/>
              <w:rPr>
                <w:sz w:val="20"/>
                <w:szCs w:val="20"/>
                <w:color w:val="auto"/>
              </w:rPr>
            </w:pPr>
            <w:r>
              <w:rPr>
                <w:rFonts w:ascii="Arial" w:cs="Arial" w:eastAsia="Arial" w:hAnsi="Arial"/>
                <w:sz w:val="13"/>
                <w:szCs w:val="13"/>
                <w:b w:val="1"/>
                <w:bCs w:val="1"/>
                <w:color w:val="auto"/>
                <w:w w:val="88"/>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center"/>
              <w:ind w:right="61"/>
              <w:spacing w:after="0" w:line="123" w:lineRule="exact"/>
              <w:rPr>
                <w:sz w:val="20"/>
                <w:szCs w:val="20"/>
                <w:color w:val="auto"/>
              </w:rPr>
            </w:pPr>
            <w:r>
              <w:rPr>
                <w:rFonts w:ascii="Arial" w:cs="Arial" w:eastAsia="Arial" w:hAnsi="Arial"/>
                <w:sz w:val="13"/>
                <w:szCs w:val="13"/>
                <w:b w:val="1"/>
                <w:bCs w:val="1"/>
                <w:color w:val="auto"/>
                <w:w w:val="89"/>
              </w:rPr>
              <w:t>Cumulative Amount of Fair Value</w:t>
            </w:r>
          </w:p>
        </w:tc>
        <w:tc>
          <w:tcPr>
            <w:tcW w:w="10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3" w:lineRule="exact"/>
              <w:rPr>
                <w:sz w:val="20"/>
                <w:szCs w:val="20"/>
                <w:color w:val="auto"/>
              </w:rPr>
            </w:pPr>
            <w:r>
              <w:rPr>
                <w:rFonts w:ascii="Arial" w:cs="Arial" w:eastAsia="Arial" w:hAnsi="Arial"/>
                <w:sz w:val="13"/>
                <w:szCs w:val="13"/>
                <w:b w:val="1"/>
                <w:bCs w:val="1"/>
                <w:color w:val="auto"/>
                <w:w w:val="88"/>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right"/>
              <w:ind w:right="101"/>
              <w:spacing w:after="0" w:line="123" w:lineRule="exact"/>
              <w:rPr>
                <w:sz w:val="20"/>
                <w:szCs w:val="20"/>
                <w:color w:val="auto"/>
              </w:rPr>
            </w:pPr>
            <w:r>
              <w:rPr>
                <w:rFonts w:ascii="Arial" w:cs="Arial" w:eastAsia="Arial" w:hAnsi="Arial"/>
                <w:sz w:val="13"/>
                <w:szCs w:val="13"/>
                <w:b w:val="1"/>
                <w:bCs w:val="1"/>
                <w:color w:val="auto"/>
                <w:w w:val="89"/>
              </w:rPr>
              <w:t>Cumulative Amount of Fair Value</w:t>
            </w:r>
          </w:p>
        </w:tc>
      </w:tr>
      <w:tr>
        <w:trPr>
          <w:trHeight w:val="173"/>
        </w:trPr>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8"/>
              </w:rPr>
              <w:t>Items</w:t>
            </w:r>
          </w:p>
        </w:tc>
        <w:tc>
          <w:tcPr>
            <w:tcW w:w="140" w:type="dxa"/>
            <w:vAlign w:val="bottom"/>
          </w:tcPr>
          <w:p>
            <w:pPr>
              <w:spacing w:after="0"/>
              <w:rPr>
                <w:sz w:val="15"/>
                <w:szCs w:val="15"/>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Hedging Adjustments(a)</w:t>
            </w: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8"/>
              </w:rPr>
              <w:t>Items</w:t>
            </w:r>
          </w:p>
        </w:tc>
        <w:tc>
          <w:tcPr>
            <w:tcW w:w="140" w:type="dxa"/>
            <w:vAlign w:val="bottom"/>
          </w:tcPr>
          <w:p>
            <w:pPr>
              <w:spacing w:after="0"/>
              <w:rPr>
                <w:sz w:val="15"/>
                <w:szCs w:val="15"/>
                <w:color w:val="auto"/>
              </w:rPr>
            </w:pPr>
          </w:p>
        </w:tc>
        <w:tc>
          <w:tcPr>
            <w:tcW w:w="2040" w:type="dxa"/>
            <w:vAlign w:val="bottom"/>
          </w:tcPr>
          <w:p>
            <w:pPr>
              <w:jc w:val="right"/>
              <w:ind w:right="361"/>
              <w:spacing w:after="0"/>
              <w:rPr>
                <w:sz w:val="20"/>
                <w:szCs w:val="20"/>
                <w:color w:val="auto"/>
              </w:rPr>
            </w:pPr>
            <w:r>
              <w:rPr>
                <w:rFonts w:ascii="Arial" w:cs="Arial" w:eastAsia="Arial" w:hAnsi="Arial"/>
                <w:sz w:val="13"/>
                <w:szCs w:val="13"/>
                <w:b w:val="1"/>
                <w:bCs w:val="1"/>
                <w:color w:val="auto"/>
              </w:rPr>
              <w:t>Hedging Adjustments(a)</w:t>
            </w:r>
          </w:p>
        </w:tc>
      </w:tr>
      <w:tr>
        <w:trPr>
          <w:trHeight w:val="228"/>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unsecured debt</w:t>
            </w: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w:t>
            </w:r>
          </w:p>
        </w:tc>
      </w:tr>
      <w:tr>
        <w:trPr>
          <w:trHeight w:val="228"/>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779</w:t>
            </w: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781</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line="272" w:lineRule="auto"/>
        <w:tabs>
          <w:tab w:leader="none" w:pos="33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$615 million and an insignificant amount of unamortized losses remaining on hedged items for which hedge accounting has been discontinued at September 30, 2023 and December 31,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238125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Product Warranty and Related Liabilities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40" w:type="dxa"/>
            <w:vAlign w:val="bottom"/>
            <w:gridSpan w:val="4"/>
          </w:tcPr>
          <w:p>
            <w:pPr>
              <w:ind w:left="36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September 30, 2023</w:t>
            </w:r>
          </w:p>
        </w:tc>
        <w:tc>
          <w:tcPr>
            <w:tcW w:w="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September 30, 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September 30, 2023</w:t>
            </w:r>
          </w:p>
        </w:tc>
        <w:tc>
          <w:tcPr>
            <w:tcW w:w="13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6"/>
              </w:rPr>
              <w:t>September 30, 2022</w:t>
            </w:r>
          </w:p>
        </w:tc>
        <w:tc>
          <w:tcPr>
            <w:tcW w:w="0" w:type="dxa"/>
            <w:vAlign w:val="bottom"/>
          </w:tcPr>
          <w:p>
            <w:pPr>
              <w:spacing w:after="0"/>
              <w:rPr>
                <w:sz w:val="1"/>
                <w:szCs w:val="1"/>
                <w:color w:val="auto"/>
              </w:rPr>
            </w:pPr>
          </w:p>
        </w:tc>
      </w:tr>
      <w:tr>
        <w:trPr>
          <w:trHeight w:val="215"/>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Product Warranty and Related Liabilities</w:t>
            </w: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balance at beginning of period</w:t>
            </w:r>
          </w:p>
        </w:tc>
        <w:tc>
          <w:tcPr>
            <w:tcW w:w="46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54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28"/>
        </w:trPr>
        <w:tc>
          <w:tcPr>
            <w:tcW w:w="5380" w:type="dxa"/>
            <w:vAlign w:val="bottom"/>
          </w:tcPr>
          <w:p>
            <w:pPr>
              <w:ind w:left="20"/>
              <w:spacing w:after="0"/>
              <w:rPr>
                <w:sz w:val="20"/>
                <w:szCs w:val="20"/>
                <w:color w:val="auto"/>
              </w:rPr>
            </w:pPr>
            <w:r>
              <w:rPr>
                <w:rFonts w:ascii="Arial" w:cs="Arial" w:eastAsia="Arial" w:hAnsi="Arial"/>
                <w:sz w:val="18"/>
                <w:szCs w:val="18"/>
                <w:color w:val="auto"/>
              </w:rPr>
              <w:t>Warranties issued and assumed in period – recall campaigns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 issued and assumed in period – product warranty</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28"/>
        </w:trPr>
        <w:tc>
          <w:tcPr>
            <w:tcW w:w="5380" w:type="dxa"/>
            <w:vAlign w:val="bottom"/>
          </w:tcPr>
          <w:p>
            <w:pPr>
              <w:ind w:left="20"/>
              <w:spacing w:after="0"/>
              <w:rPr>
                <w:sz w:val="20"/>
                <w:szCs w:val="20"/>
                <w:color w:val="auto"/>
              </w:rPr>
            </w:pPr>
            <w:r>
              <w:rPr>
                <w:rFonts w:ascii="Arial" w:cs="Arial" w:eastAsia="Arial" w:hAnsi="Arial"/>
                <w:sz w:val="18"/>
                <w:szCs w:val="18"/>
                <w:color w:val="auto"/>
              </w:rPr>
              <w:t>Payments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ind w:left="360"/>
              <w:spacing w:after="0"/>
              <w:rPr>
                <w:sz w:val="20"/>
                <w:szCs w:val="20"/>
                <w:color w:val="auto"/>
              </w:rPr>
            </w:pPr>
            <w:r>
              <w:rPr>
                <w:rFonts w:ascii="Arial" w:cs="Arial" w:eastAsia="Arial" w:hAnsi="Arial"/>
                <w:sz w:val="18"/>
                <w:szCs w:val="18"/>
                <w:color w:val="auto"/>
                <w:w w:val="91"/>
              </w:rPr>
              <w:t>(3,044)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(3,090)</w:t>
            </w:r>
          </w:p>
        </w:tc>
        <w:tc>
          <w:tcPr>
            <w:tcW w:w="0" w:type="dxa"/>
            <w:vAlign w:val="bottom"/>
          </w:tcPr>
          <w:p>
            <w:pPr>
              <w:spacing w:after="0"/>
              <w:rPr>
                <w:sz w:val="1"/>
                <w:szCs w:val="1"/>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pre-existing warranties</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8"/>
        </w:trPr>
        <w:tc>
          <w:tcPr>
            <w:tcW w:w="5380" w:type="dxa"/>
            <w:vAlign w:val="bottom"/>
          </w:tcPr>
          <w:p>
            <w:pPr>
              <w:ind w:left="20"/>
              <w:spacing w:after="0"/>
              <w:rPr>
                <w:sz w:val="20"/>
                <w:szCs w:val="20"/>
                <w:color w:val="auto"/>
              </w:rPr>
            </w:pPr>
            <w:r>
              <w:rPr>
                <w:rFonts w:ascii="Arial" w:cs="Arial" w:eastAsia="Arial" w:hAnsi="Arial"/>
                <w:sz w:val="18"/>
                <w:szCs w:val="18"/>
                <w:color w:val="auto"/>
              </w:rPr>
              <w:t>Effect of foreign currency and other</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ind w:left="600"/>
              <w:spacing w:after="0"/>
              <w:rPr>
                <w:sz w:val="20"/>
                <w:szCs w:val="20"/>
                <w:color w:val="auto"/>
              </w:rPr>
            </w:pPr>
            <w:r>
              <w:rPr>
                <w:rFonts w:ascii="Arial" w:cs="Arial" w:eastAsia="Arial" w:hAnsi="Arial"/>
                <w:sz w:val="18"/>
                <w:szCs w:val="18"/>
                <w:color w:val="auto"/>
                <w:w w:val="93"/>
              </w:rPr>
              <w:t>(22)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2"/>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balance at end of period</w:t>
            </w:r>
          </w:p>
        </w:tc>
        <w:tc>
          <w:tcPr>
            <w:tcW w:w="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0" w:type="dxa"/>
            <w:vAlign w:val="bottom"/>
          </w:tcPr>
          <w:p>
            <w:pPr>
              <w:spacing w:after="0"/>
              <w:rPr>
                <w:sz w:val="1"/>
                <w:szCs w:val="1"/>
                <w:color w:val="auto"/>
              </w:rPr>
            </w:pPr>
          </w:p>
        </w:tc>
      </w:tr>
      <w:tr>
        <w:trPr>
          <w:trHeight w:val="228"/>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Supplier recoveries balance at end of period(a)</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4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balance, net of supplier recoveries at end of period</w:t>
            </w:r>
          </w:p>
        </w:tc>
        <w:tc>
          <w:tcPr>
            <w:tcW w:w="460" w:type="dxa"/>
            <w:vAlign w:val="bottom"/>
            <w:tcBorders>
              <w:bottom w:val="single" w:sz="8" w:color="auto"/>
            </w:tcBorders>
            <w:gridSpan w:val="2"/>
            <w:shd w:val="clear" w:color="auto" w:fill="CCEEFF"/>
          </w:tcPr>
          <w:p>
            <w:pPr>
              <w:jc w:val="right"/>
              <w:ind w:right="28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ind w:right="54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gridSpan w:val="2"/>
            <w:shd w:val="clear" w:color="auto" w:fill="CCEEFF"/>
          </w:tcPr>
          <w:p>
            <w:pPr>
              <w:jc w:val="right"/>
              <w:ind w:right="28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3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680" w:type="dxa"/>
            <w:vAlign w:val="bottom"/>
            <w:gridSpan w:val="17"/>
          </w:tcPr>
          <w:p>
            <w:pPr>
              <w:spacing w:after="0"/>
              <w:rPr>
                <w:sz w:val="20"/>
                <w:szCs w:val="20"/>
                <w:color w:val="auto"/>
              </w:rPr>
            </w:pPr>
            <w:r>
              <w:rPr>
                <w:rFonts w:ascii="Arial" w:cs="Arial" w:eastAsia="Arial" w:hAnsi="Arial"/>
                <w:sz w:val="16"/>
                <w:szCs w:val="16"/>
                <w:color w:val="auto"/>
                <w:w w:val="91"/>
              </w:rPr>
              <w:t>(a)  The current portion of supplier recoveries is recorded in Accounts and notes receivable, net of allowance and the non-current portion is recorded in Other assets.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gridSpan w:val="4"/>
          </w:tcPr>
          <w:p>
            <w:pPr>
              <w:ind w:left="36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gridSpan w:val="4"/>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Borders>
              <w:top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September 30, 2023</w:t>
            </w:r>
          </w:p>
        </w:tc>
        <w:tc>
          <w:tcPr>
            <w:tcW w:w="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7"/>
              </w:rPr>
              <w:t>September 30, 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Borders>
              <w:top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September 30, 2023</w:t>
            </w:r>
          </w:p>
        </w:tc>
        <w:tc>
          <w:tcPr>
            <w:tcW w:w="13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6"/>
              </w:rPr>
              <w:t>September 30, 2022</w:t>
            </w:r>
          </w:p>
        </w:tc>
        <w:tc>
          <w:tcPr>
            <w:tcW w:w="0" w:type="dxa"/>
            <w:vAlign w:val="bottom"/>
          </w:tcPr>
          <w:p>
            <w:pPr>
              <w:spacing w:after="0"/>
              <w:rPr>
                <w:sz w:val="1"/>
                <w:szCs w:val="1"/>
                <w:color w:val="auto"/>
              </w:rPr>
            </w:pPr>
          </w:p>
        </w:tc>
      </w:tr>
      <w:tr>
        <w:trPr>
          <w:trHeight w:val="215"/>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Product Warranty Expense, Net of Recoveries</w:t>
            </w: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 issued and assumed in period</w:t>
            </w:r>
          </w:p>
        </w:tc>
        <w:tc>
          <w:tcPr>
            <w:tcW w:w="46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850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52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55"/>
        </w:trPr>
        <w:tc>
          <w:tcPr>
            <w:tcW w:w="5380" w:type="dxa"/>
            <w:vAlign w:val="bottom"/>
          </w:tcPr>
          <w:p>
            <w:pPr>
              <w:ind w:left="20"/>
              <w:spacing w:after="0"/>
              <w:rPr>
                <w:sz w:val="20"/>
                <w:szCs w:val="20"/>
                <w:color w:val="auto"/>
              </w:rPr>
            </w:pPr>
            <w:r>
              <w:rPr>
                <w:rFonts w:ascii="Arial" w:cs="Arial" w:eastAsia="Arial" w:hAnsi="Arial"/>
                <w:sz w:val="18"/>
                <w:szCs w:val="18"/>
                <w:color w:val="auto"/>
              </w:rPr>
              <w:t>Supplier recoveries accrued in period</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and other</w:t>
            </w: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9"/>
              </w:rPr>
              <w:t>125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Arial" w:cs="Arial" w:eastAsia="Arial" w:hAnsi="Arial"/>
                <w:sz w:val="18"/>
                <w:szCs w:val="18"/>
                <w:color w:val="auto"/>
              </w:rPr>
              <w:t>Warranty expense, net of supplier recoveries</w:t>
            </w: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9"/>
              </w:rPr>
              <w:t>922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auto"/>
            </w:tcBorders>
          </w:tcPr>
          <w:p>
            <w:pPr>
              <w:jc w:val="right"/>
              <w:ind w:right="52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In the nine months ended September 30, 2023, we recorded a charge to supplier recoveries of $792 million related to a settlement for Chevrolet Bolt recall costs. Refer to Note 13 to our condensed consolidated financial statements for more details on the Chevrolet Bolt recall and the associated supplier recovery. For losses that can be estimated, we estimate our reasonably possible loss in excess of amounts accrued for recall campaigns to be insignificant at September 30, 2023.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Pensions and Other Postretirement Benefits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10"/>
          </w:tcPr>
          <w:p>
            <w:pPr>
              <w:jc w:val="center"/>
              <w:ind w:left="16"/>
              <w:spacing w:after="0"/>
              <w:rPr>
                <w:sz w:val="20"/>
                <w:szCs w:val="20"/>
                <w:color w:val="auto"/>
              </w:rPr>
            </w:pPr>
            <w:r>
              <w:rPr>
                <w:rFonts w:ascii="Arial" w:cs="Arial" w:eastAsia="Arial" w:hAnsi="Arial"/>
                <w:sz w:val="14"/>
                <w:szCs w:val="14"/>
                <w:b w:val="1"/>
                <w:bCs w:val="1"/>
                <w:color w:val="auto"/>
                <w:w w:val="92"/>
              </w:rPr>
              <w:t>Three Months Ended September 30, 2023</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8"/>
          </w:tcPr>
          <w:p>
            <w:pPr>
              <w:ind w:left="340"/>
              <w:spacing w:after="0"/>
              <w:rPr>
                <w:sz w:val="20"/>
                <w:szCs w:val="20"/>
                <w:color w:val="auto"/>
              </w:rPr>
            </w:pPr>
            <w:r>
              <w:rPr>
                <w:rFonts w:ascii="Arial" w:cs="Arial" w:eastAsia="Arial" w:hAnsi="Arial"/>
                <w:sz w:val="14"/>
                <w:szCs w:val="14"/>
                <w:b w:val="1"/>
                <w:bCs w:val="1"/>
                <w:color w:val="auto"/>
              </w:rPr>
              <w:t>Pension Benefits</w:t>
            </w:r>
          </w:p>
        </w:tc>
        <w:tc>
          <w:tcPr>
            <w:tcW w:w="20" w:type="dxa"/>
            <w:vAlign w:val="bottom"/>
          </w:tcPr>
          <w:p>
            <w:pPr>
              <w:spacing w:after="0"/>
              <w:rPr>
                <w:sz w:val="19"/>
                <w:szCs w:val="19"/>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Global OPEB</w:t>
            </w:r>
          </w:p>
        </w:tc>
        <w:tc>
          <w:tcPr>
            <w:tcW w:w="260" w:type="dxa"/>
            <w:vAlign w:val="bottom"/>
          </w:tcPr>
          <w:p>
            <w:pPr>
              <w:spacing w:after="0"/>
              <w:rPr>
                <w:sz w:val="19"/>
                <w:szCs w:val="19"/>
                <w:color w:val="auto"/>
              </w:rPr>
            </w:pPr>
          </w:p>
        </w:tc>
        <w:tc>
          <w:tcPr>
            <w:tcW w:w="2020" w:type="dxa"/>
            <w:vAlign w:val="bottom"/>
            <w:gridSpan w:val="5"/>
          </w:tcPr>
          <w:p>
            <w:pPr>
              <w:ind w:left="320"/>
              <w:spacing w:after="0"/>
              <w:rPr>
                <w:sz w:val="20"/>
                <w:szCs w:val="20"/>
                <w:color w:val="auto"/>
              </w:rPr>
            </w:pPr>
            <w:r>
              <w:rPr>
                <w:rFonts w:ascii="Arial" w:cs="Arial" w:eastAsia="Arial" w:hAnsi="Arial"/>
                <w:sz w:val="14"/>
                <w:szCs w:val="14"/>
                <w:b w:val="1"/>
                <w:bCs w:val="1"/>
                <w:color w:val="auto"/>
              </w:rPr>
              <w:t>Pension Benefits</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1"/>
        </w:trPr>
        <w:tc>
          <w:tcPr>
            <w:tcW w:w="4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20" w:type="dxa"/>
            <w:vAlign w:val="bottom"/>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4"/>
                <w:szCs w:val="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center"/>
              <w:ind w:left="222"/>
              <w:spacing w:after="0"/>
              <w:rPr>
                <w:sz w:val="20"/>
                <w:szCs w:val="20"/>
                <w:color w:val="auto"/>
              </w:rPr>
            </w:pPr>
            <w:r>
              <w:rPr>
                <w:rFonts w:ascii="Arial" w:cs="Arial" w:eastAsia="Arial" w:hAnsi="Arial"/>
                <w:sz w:val="14"/>
                <w:szCs w:val="14"/>
                <w:b w:val="1"/>
                <w:bCs w:val="1"/>
                <w:color w:val="auto"/>
                <w:w w:val="90"/>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79"/>
              <w:spacing w:after="0"/>
              <w:rPr>
                <w:sz w:val="20"/>
                <w:szCs w:val="20"/>
                <w:color w:val="auto"/>
              </w:rPr>
            </w:pPr>
            <w:r>
              <w:rPr>
                <w:rFonts w:ascii="Arial" w:cs="Arial" w:eastAsia="Arial" w:hAnsi="Arial"/>
                <w:sz w:val="14"/>
                <w:szCs w:val="14"/>
                <w:b w:val="1"/>
                <w:bCs w:val="1"/>
                <w:color w:val="auto"/>
                <w:w w:val="90"/>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gridSpan w:val="2"/>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(gains) losses</w:t>
            </w:r>
          </w:p>
        </w:tc>
        <w:tc>
          <w:tcPr>
            <w:tcW w:w="2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4520" w:type="dxa"/>
            <w:vAlign w:val="bottom"/>
          </w:tcPr>
          <w:p>
            <w:pPr>
              <w:ind w:left="2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52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10"/>
          </w:tcPr>
          <w:p>
            <w:pPr>
              <w:jc w:val="center"/>
              <w:ind w:left="16"/>
              <w:spacing w:after="0"/>
              <w:rPr>
                <w:sz w:val="20"/>
                <w:szCs w:val="20"/>
                <w:color w:val="auto"/>
              </w:rPr>
            </w:pPr>
            <w:r>
              <w:rPr>
                <w:rFonts w:ascii="Arial" w:cs="Arial" w:eastAsia="Arial" w:hAnsi="Arial"/>
                <w:sz w:val="14"/>
                <w:szCs w:val="14"/>
                <w:b w:val="1"/>
                <w:bCs w:val="1"/>
                <w:color w:val="auto"/>
                <w:w w:val="92"/>
              </w:rPr>
              <w:t>Nine Months Ended September 30, 2023</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center"/>
              <w:ind w:left="16"/>
              <w:spacing w:after="0"/>
              <w:rPr>
                <w:sz w:val="20"/>
                <w:szCs w:val="20"/>
                <w:color w:val="auto"/>
              </w:rPr>
            </w:pPr>
            <w:r>
              <w:rPr>
                <w:rFonts w:ascii="Arial" w:cs="Arial" w:eastAsia="Arial" w:hAnsi="Arial"/>
                <w:sz w:val="14"/>
                <w:szCs w:val="14"/>
                <w:b w:val="1"/>
                <w:bCs w:val="1"/>
                <w:color w:val="auto"/>
                <w:w w:val="92"/>
              </w:rPr>
              <w:t>Nine Months Ended September 30, 2022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8"/>
          </w:tcPr>
          <w:p>
            <w:pPr>
              <w:ind w:left="340"/>
              <w:spacing w:after="0"/>
              <w:rPr>
                <w:sz w:val="20"/>
                <w:szCs w:val="20"/>
                <w:color w:val="auto"/>
              </w:rPr>
            </w:pPr>
            <w:r>
              <w:rPr>
                <w:rFonts w:ascii="Arial" w:cs="Arial" w:eastAsia="Arial" w:hAnsi="Arial"/>
                <w:sz w:val="14"/>
                <w:szCs w:val="14"/>
                <w:b w:val="1"/>
                <w:bCs w:val="1"/>
                <w:color w:val="auto"/>
              </w:rPr>
              <w:t>Pension Benefits</w:t>
            </w:r>
          </w:p>
        </w:tc>
        <w:tc>
          <w:tcPr>
            <w:tcW w:w="20" w:type="dxa"/>
            <w:vAlign w:val="bottom"/>
          </w:tcPr>
          <w:p>
            <w:pPr>
              <w:spacing w:after="0"/>
              <w:rPr>
                <w:sz w:val="19"/>
                <w:szCs w:val="19"/>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Global OPEB</w:t>
            </w:r>
          </w:p>
        </w:tc>
        <w:tc>
          <w:tcPr>
            <w:tcW w:w="260" w:type="dxa"/>
            <w:vAlign w:val="bottom"/>
          </w:tcPr>
          <w:p>
            <w:pPr>
              <w:spacing w:after="0"/>
              <w:rPr>
                <w:sz w:val="19"/>
                <w:szCs w:val="19"/>
                <w:color w:val="auto"/>
              </w:rPr>
            </w:pPr>
          </w:p>
        </w:tc>
        <w:tc>
          <w:tcPr>
            <w:tcW w:w="2020" w:type="dxa"/>
            <w:vAlign w:val="bottom"/>
            <w:gridSpan w:val="5"/>
          </w:tcPr>
          <w:p>
            <w:pPr>
              <w:ind w:left="320"/>
              <w:spacing w:after="0"/>
              <w:rPr>
                <w:sz w:val="20"/>
                <w:szCs w:val="20"/>
                <w:color w:val="auto"/>
              </w:rPr>
            </w:pPr>
            <w:r>
              <w:rPr>
                <w:rFonts w:ascii="Arial" w:cs="Arial" w:eastAsia="Arial" w:hAnsi="Arial"/>
                <w:sz w:val="14"/>
                <w:szCs w:val="14"/>
                <w:b w:val="1"/>
                <w:bCs w:val="1"/>
                <w:color w:val="auto"/>
              </w:rPr>
              <w:t>Pension Benefits</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4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Non-U.S.</w:t>
            </w:r>
          </w:p>
        </w:tc>
        <w:tc>
          <w:tcPr>
            <w:tcW w:w="2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4"/>
                <w:szCs w:val="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center"/>
              <w:ind w:left="262"/>
              <w:spacing w:after="0"/>
              <w:rPr>
                <w:sz w:val="20"/>
                <w:szCs w:val="20"/>
                <w:color w:val="auto"/>
              </w:rPr>
            </w:pPr>
            <w:r>
              <w:rPr>
                <w:rFonts w:ascii="Arial" w:cs="Arial" w:eastAsia="Arial" w:hAnsi="Arial"/>
                <w:sz w:val="14"/>
                <w:szCs w:val="14"/>
                <w:b w:val="1"/>
                <w:bCs w:val="1"/>
                <w:color w:val="auto"/>
                <w:w w:val="90"/>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79"/>
              <w:spacing w:after="0"/>
              <w:rPr>
                <w:sz w:val="20"/>
                <w:szCs w:val="20"/>
                <w:color w:val="auto"/>
              </w:rPr>
            </w:pPr>
            <w:r>
              <w:rPr>
                <w:rFonts w:ascii="Arial" w:cs="Arial" w:eastAsia="Arial" w:hAnsi="Arial"/>
                <w:sz w:val="14"/>
                <w:szCs w:val="14"/>
                <w:b w:val="1"/>
                <w:bCs w:val="1"/>
                <w:color w:val="auto"/>
                <w:w w:val="90"/>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50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111</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(gains) losses</w:t>
            </w:r>
          </w:p>
        </w:tc>
        <w:tc>
          <w:tcPr>
            <w:tcW w:w="2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4520" w:type="dxa"/>
            <w:vAlign w:val="bottom"/>
          </w:tcPr>
          <w:p>
            <w:pPr>
              <w:ind w:left="2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166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170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The non-service cost components of net periodic pension and other postretirement benefits (OPEB) income of $86 million and $376 million in the three months ended September 30, 2023 and 2022 and $258 million and $1.1 billion in the nine months ended September 30, 2023 and 2022 are presented in Interest income and other non-operating income, net.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Litigation-Related Liability and Tax Administrative Matters </w:t>
      </w:r>
      <w:r>
        <w:rPr>
          <w:rFonts w:ascii="Arial" w:cs="Arial" w:eastAsia="Arial" w:hAnsi="Arial"/>
          <w:sz w:val="16"/>
          <w:szCs w:val="16"/>
          <w:color w:val="auto"/>
        </w:rPr>
        <w:t>In the normal course of our business, we are named from time to time as a defendant in</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September 30, 2023 and December 31, 2022, we had accruals of $1.2 billion and $1.1 billion in Accrued liabilities and Other liabilities. In many matters, it is inherently difficult to determine whether a loss is probable or reasonably possible or to estimate the size or range of the potential loss. Some matters may involve compensatory, punitive or other treble damage claims, environmental remediation programs or sanctions that, if granted, could require us to pay damages or make other expenditures in amounts that cannot be reasonably estimated. 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spacing w:after="0" w:line="194" w:lineRule="exact"/>
        <w:rPr>
          <w:sz w:val="20"/>
          <w:szCs w:val="20"/>
          <w:color w:val="auto"/>
        </w:rPr>
      </w:pPr>
    </w:p>
    <w:p>
      <w:pPr>
        <w:jc w:val="both"/>
        <w:ind w:firstLine="161"/>
        <w:spacing w:after="0" w:line="268" w:lineRule="auto"/>
        <w:rPr>
          <w:sz w:val="20"/>
          <w:szCs w:val="20"/>
          <w:color w:val="auto"/>
        </w:rPr>
      </w:pPr>
      <w:r>
        <w:rPr>
          <w:rFonts w:ascii="Arial" w:cs="Arial" w:eastAsia="Arial" w:hAnsi="Arial"/>
          <w:sz w:val="17"/>
          <w:szCs w:val="17"/>
          <w:b w:val="1"/>
          <w:bCs w:val="1"/>
          <w:i w:val="1"/>
          <w:iCs w:val="1"/>
          <w:color w:val="auto"/>
        </w:rPr>
        <w:t xml:space="preserve">GM Korea Subcontract Workers Litigation </w:t>
      </w:r>
      <w:r>
        <w:rPr>
          <w:rFonts w:ascii="Arial" w:cs="Arial" w:eastAsia="Arial" w:hAnsi="Arial"/>
          <w:sz w:val="17"/>
          <w:szCs w:val="17"/>
          <w:color w:val="auto"/>
        </w:rPr>
        <w:t>GM Korea Company (GM Korea) is party to litigation with current and former subcontract workers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allegations that they are entitled to the same wages and benefits provided to full-time employees, and to be hired as full-time employees. In May 2018 and September 2020, the Korean labor authorities issued adverse administrative orders finding that GM Korea must hire certain current subcontract workers as full-time employees. GM Korea appealed the May 2018 and September 2020 orders. Since June 2020, the Seoul High Court (an intermediate-level appellate court) ruled against GM Korea in eight subcontract worker cases. Although GM Korea has appealed these decisions to the Supreme Court of the Republic of Korea, GM Korea has since hired certain of its subcontract workers as full-time employees. At September 30, 2023, our accrual covering certain asserted claims and claims that we believe are probable of assertion and for which liability is probable was approximately $198 million. We estimate the reasonably possible loss in excess of amounts accrued for other current subcontract workers who may assert similar claims to be approximately $88 million at September 30, 2023. We are currently unable to estimate any reasonably possible material loss or range of loss that may result from additional claims that may be asserted by former subcontract workers.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76"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b w:val="1"/>
          <w:bCs w:val="1"/>
          <w:i w:val="1"/>
          <w:iCs w:val="1"/>
          <w:color w:val="auto"/>
        </w:rPr>
        <w:t xml:space="preserve">Other Litigation-Related Liability and Tax Administrative Matters </w:t>
      </w:r>
      <w:r>
        <w:rPr>
          <w:rFonts w:ascii="Arial" w:cs="Arial" w:eastAsia="Arial" w:hAnsi="Arial"/>
          <w:sz w:val="17"/>
          <w:szCs w:val="17"/>
          <w:color w:val="auto"/>
        </w:rPr>
        <w:t>Various other legal actions, including class actions, governmental investigations,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claims and proceedings are pending against us or our related companies or joint ventures, including, but not limited to, matters arising out of alleged product defects; employment-related matters; product and workplace safety, vehicle emissions and fuel economy regulations; product warranties; financial services; dealer, supplier and other contractual relationships; government regulations relating to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spacing w:after="0" w:line="209" w:lineRule="exact"/>
        <w:rPr>
          <w:sz w:val="20"/>
          <w:szCs w:val="20"/>
          <w:color w:val="auto"/>
        </w:rPr>
      </w:pPr>
    </w:p>
    <w:p>
      <w:pPr>
        <w:jc w:val="both"/>
        <w:ind w:firstLine="161"/>
        <w:spacing w:after="0" w:line="274" w:lineRule="auto"/>
        <w:rPr>
          <w:sz w:val="20"/>
          <w:szCs w:val="20"/>
          <w:color w:val="auto"/>
        </w:rPr>
      </w:pPr>
      <w:r>
        <w:rPr>
          <w:rFonts w:ascii="Arial" w:cs="Arial" w:eastAsia="Arial" w:hAnsi="Arial"/>
          <w:sz w:val="17"/>
          <w:szCs w:val="17"/>
          <w:color w:val="auto"/>
        </w:rPr>
        <w:t>There are several putative class actions pending against GM in the U.S. and Canada alleging that various vehicles sold, including model year 2011-2016 Duramax Diesel Chevrolet Silverado and GMC Sierra vehicles, violate federal, state and foreign emission standards. In July 2023, the putative class actions pending in the U.S. were dismissed with prejudice and judgment entered in favor of GM, and plaintiffs appealed the dismissal. We are currently unable to estimate any reasonably possible material loss or range of loss that may result from these actions. GM has also faced a series of additional lawsuits in the U.S. based on these allegations, including a shareholder demand lawsuit that remains pending.</w:t>
      </w:r>
    </w:p>
    <w:p>
      <w:pPr>
        <w:spacing w:after="0" w:line="201"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There are several putative class actions and two certified class actions pending against GM in the U.S. alleging that various 2011-2014 model year vehicles are defective because they excessively consume oil. While many of these proceedings have been dismissed or have been settled for insignificant amounts, several remain outstanding, and in October 2022, we received an adverse jury verdict in the certified class action proceeding involving three states. We do not believe that the verdict is supported by the evidence and plan to appeal, if necessary. We are currently unable to estimate any reasonably possible material loss or range of loss that may result from the putative class action proceedings and have previously accrued an immaterial amount related to one of the certified class action proceedings.</w:t>
      </w:r>
    </w:p>
    <w:p>
      <w:pPr>
        <w:spacing w:after="0" w:line="217" w:lineRule="exact"/>
        <w:rPr>
          <w:sz w:val="20"/>
          <w:szCs w:val="20"/>
          <w:color w:val="auto"/>
        </w:rPr>
      </w:pPr>
    </w:p>
    <w:p>
      <w:pPr>
        <w:jc w:val="both"/>
        <w:ind w:firstLine="161"/>
        <w:spacing w:after="0" w:line="272" w:lineRule="auto"/>
        <w:rPr>
          <w:sz w:val="20"/>
          <w:szCs w:val="20"/>
          <w:color w:val="auto"/>
        </w:rPr>
      </w:pPr>
      <w:r>
        <w:rPr>
          <w:rFonts w:ascii="Arial" w:cs="Arial" w:eastAsia="Arial" w:hAnsi="Arial"/>
          <w:sz w:val="17"/>
          <w:szCs w:val="17"/>
          <w:color w:val="auto"/>
        </w:rPr>
        <w:t>There is one putative class action and one certified class action pending against GM in the U.S. alleging that various 2015-2022 model year vehicles are defective because they are equipped with faulty 8-speed transmissions. In March 2023, the judge overseeing the class action concerning 2015-2019 model year vehicles certified 26 state subclasses. The putative class action concerning 2020-2022 model year vehicles is pending in front of a different judge that has not yet addressed class certification. We have similar cases pending in Canada concerning these vehicles. In the three months ended September 30, 2023, we accrued an insignificant amount in connection with these matters. We are currently unable to estimate any reasonably possible or probable material loss or range of loss that may result from these proceedings in excess of amounts accrued.</w:t>
      </w:r>
    </w:p>
    <w:p>
      <w:pPr>
        <w:spacing w:after="0" w:line="203"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color w:val="auto"/>
        </w:rPr>
        <w:t>There is a class action pending against GM in the U.S., and a putative class action in Canada, alleging that 2011-2016 model year Duramax Diesel Chevrolet Silverado and GMC Sierra vehicles are equipped with defective fuel pumps that are prone to failure. In March 2023, the U.S. court certified seven state subclasses. In the three months ended September 30, 2023, we accrued an insignificant amount in connection with these matters. We are currently unable to estimate any reasonably possible or probable material loss or range of loss that may result from these proceedings in excess of amounts accrued.</w:t>
      </w:r>
    </w:p>
    <w:p>
      <w:pPr>
        <w:spacing w:after="0" w:line="18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spacing w:after="0" w:line="209"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We are currently in discussions with the Environmental Protection Agency (EPA) and other regulators regarding potential adjustments to our balance of greenhouse gas (GHG) credits. Based on progress made in these discussions, in the three months ended September 30, 2023, we accrued $139 million. Through September 30, 2023, the total costs expensed in connection with these matters were $450 million, which represents our current best estimate of the probable loss related to these matters. We are currently unable to provide an estimate of any loss in excess of amounts incurred, but such loss may be material.</w:t>
      </w:r>
    </w:p>
    <w:p>
      <w:pPr>
        <w:spacing w:after="0" w:line="217"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Indirect tax-related matters are being evaluated globally pertaining to value added taxes, customs, duties, sales tax, property taxes and other non-income tax-related tax exposures. Certain administrative proceedings are indirect tax-related and may require that we deposit funds in escrow or provide an alternative form of security. For indirect tax-related matters, we estimate our reasonably possible loss in excess of amounts accrued to be up to approximately $1.8 billion at September 30, 2023.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Takata Matters </w:t>
      </w:r>
      <w:r>
        <w:rPr>
          <w:rFonts w:ascii="Arial" w:cs="Arial" w:eastAsia="Arial" w:hAnsi="Arial"/>
          <w:sz w:val="16"/>
          <w:szCs w:val="16"/>
          <w:color w:val="auto"/>
        </w:rPr>
        <w:t>In November 2020, the National Highway Traffic Safety Administration (NHTSA) directed that we replace the Takata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(Takata) airbag inflators in our GMT900 vehicles, which are full-size pickup trucks and sport utility vehicles (SUVs), and we did not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In the three months ended September 30, 2023, we reduced our accrual by an insignificant amount based on the actual costs incurred to-date. At September 30, 2023, our remaining accrual for these matters was $624 million, and we believe the currently accrued amount remains reasonable.</w:t>
      </w:r>
    </w:p>
    <w:p>
      <w:pPr>
        <w:spacing w:after="0" w:line="188"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174" w:lineRule="exact"/>
        <w:rPr>
          <w:sz w:val="20"/>
          <w:szCs w:val="20"/>
          <w:color w:val="auto"/>
        </w:rPr>
      </w:pPr>
    </w:p>
    <w:p>
      <w:pPr>
        <w:jc w:val="both"/>
        <w:ind w:firstLine="161"/>
        <w:spacing w:after="0" w:line="274" w:lineRule="auto"/>
        <w:rPr>
          <w:sz w:val="20"/>
          <w:szCs w:val="20"/>
          <w:color w:val="auto"/>
        </w:rPr>
      </w:pPr>
      <w:r>
        <w:rPr>
          <w:rFonts w:ascii="Arial" w:cs="Arial" w:eastAsia="Arial" w:hAnsi="Arial"/>
          <w:sz w:val="17"/>
          <w:szCs w:val="17"/>
          <w:color w:val="auto"/>
        </w:rPr>
        <w:t>There are several putative class actions that have been filed against GM, including in the U.S., Canada, and Mexico, arising out of allegations that airbag inflators manufactured by Takata are defective. In March 2023, a U.S. court overseeing one of the putative class actions issued a final judgment in favor of GM on all claims in eight states at issue in that proceeding. In August 2023, the U.S. court granted class certification as to a Louisiana claim, but denied certification as to seven other states. Both GM and plaintiffs are pursuing an appeal of the U.S. court’s rulings. At this stage of these proceedings, we are unable to provide an estimate of the amounts or range of reasonably possible material loss.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ARC Matters </w:t>
      </w:r>
      <w:r>
        <w:rPr>
          <w:rFonts w:ascii="Arial" w:cs="Arial" w:eastAsia="Arial" w:hAnsi="Arial"/>
          <w:sz w:val="16"/>
          <w:szCs w:val="16"/>
          <w:color w:val="auto"/>
        </w:rPr>
        <w:t>In May 2023, we initiated a voluntary recall covering nearly one million 2014-2017 model year Buick Enclave, Chevrolet Traverse and</w:t>
      </w:r>
      <w:r>
        <w:rPr>
          <w:rFonts w:ascii="Arial" w:cs="Arial" w:eastAsia="Arial" w:hAnsi="Arial"/>
          <w:sz w:val="16"/>
          <w:szCs w:val="16"/>
          <w:b w:val="1"/>
          <w:bCs w:val="1"/>
          <w:color w:val="auto"/>
        </w:rPr>
        <w:t xml:space="preserve"> </w:t>
      </w:r>
      <w:r>
        <w:rPr>
          <w:rFonts w:ascii="Arial" w:cs="Arial" w:eastAsia="Arial" w:hAnsi="Arial"/>
          <w:sz w:val="16"/>
          <w:szCs w:val="16"/>
          <w:color w:val="auto"/>
        </w:rPr>
        <w:t>GMC Acadia SUVs equipped with driver front airbag inflators manufactured by ARC Automotive, Inc. (ARC), and accrued an insignificant amount for the expected costs of the recall. As part of its ongoing investigation into ARC airbag inflators, on September 5, 2023, NHTSA issued an initial decision that approximately 52 million frontal driver and passenger airbag inflators manufactured by ARC and Delphi Automotive Systems LLC over a roughly 20-year period contain a safety-related defect and must be recalled. NHTSA’s initial decision is based on the occurrence of seven field ruptures involving ARC-manufactured frontal airbag inflators. We are continuing to investigate the cause of the ruptures in GM vehicles in connection with our existing recalls. We expect NHTSA to issue its final decision sometime after the administrative record for NHTSA’s investigation closes on December 4, 2023. We do not believe further GM vehicle recalls are necessary or appropriate at this time and we expect to submit appropriate comments to NHTSA to explain this position before the close of the administrative record. However, depending on the outcome of the dispute between NHTSA and ARC, and the possibility of additional recalls, the cost of which may not be fully recoverable, it is reasonably possible that the costs associated with these matters in excess of amounts accrued could be material, but we are unable to provide an estimate of the amounts or range of reasonably possible material loss at this time.</w:t>
      </w:r>
    </w:p>
    <w:p>
      <w:pPr>
        <w:spacing w:after="0" w:line="19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There are several putative class actions that have been filed against GM, including in the U.S., Canada and Israel, arising out of allegations that airbag inflators manufactured by ARC are defective. At this stage of these proceedings, we are unable to provide an estimate of the amounts or range of reasonably possible material loss.</w:t>
      </w:r>
    </w:p>
    <w:p>
      <w:pPr>
        <w:spacing w:after="0" w:line="20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Chevrolet Bolt Recall </w:t>
      </w:r>
      <w:r>
        <w:rPr>
          <w:rFonts w:ascii="Arial" w:cs="Arial" w:eastAsia="Arial" w:hAnsi="Arial"/>
          <w:sz w:val="17"/>
          <w:szCs w:val="17"/>
          <w:color w:val="auto"/>
        </w:rPr>
        <w:t>In July 2021, we initiated a voluntary recall for certain 2017-2019 model year Chevrolet Bolt EVs due to the risk that two</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manufacturing defects present in the same battery cell could cause a high voltage battery fire in certain of these vehicles. Accordingly, in the three months ended June 30, 2021, we recorded a warranty accrual of $812 million. After further investigation into the manufacturing processes at our battery supplier, LG Energy Solution (LGES), and disassembling battery packs, we determined that the risk of battery cell defects was not confined to the initial recall population. As a result, in August 2021, we expanded the recall to include all 2017-2022 model year Chevrolet Bolt EV and Electric Utility Vehicles (EUVs) and recorded an additional warranty accrual of $1.2 billion in the three months ended September 30, 2021. In October 2021, we reached an agreement with LG Electronics, Inc. (LGE), under which LGE agreed to reimburse GM for costs and expenses associated with the recall. As a result, in the three months ended September 30, 2021, we recognized a receivable of $1.9 billion, which substantially offset the warranty charges we recognized in connection with the recall. In the three months ended June 30, 2023, we recorded a charge of $792 million to reflect a settlement agreement with LGES and LGE (collectively, LG) whereby the parties agreed to reduce the amount of recall costs and expenses for which LG would reimburse GM. The commercial negotiations with LG also resolved other commercial matters associated with our Ultium Cells Holdings LLC joint venture with LGES. These charges reflect our current best estimate for the cost of the recall remedy, which includes non-traditional recall remedies provided by GM to enhance customer satisfaction. The actual costs of the recall could be materially higher or lower. For 2017-2019 model year vehicles, the recall remedy will be to replace the high voltage battery modules in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these vehicles with new modules. For approximately half of the 2020-2022 model year vehicles, recently developed battery diagnostic software will be the recall remedy, with the remainder receiving new high voltage battery modules.</w:t>
      </w:r>
    </w:p>
    <w:p>
      <w:pPr>
        <w:spacing w:after="0" w:line="197" w:lineRule="exact"/>
        <w:rPr>
          <w:sz w:val="20"/>
          <w:szCs w:val="20"/>
          <w:color w:val="auto"/>
        </w:rPr>
      </w:pPr>
    </w:p>
    <w:p>
      <w:pPr>
        <w:jc w:val="both"/>
        <w:ind w:right="20" w:firstLine="161"/>
        <w:spacing w:after="0" w:line="339" w:lineRule="auto"/>
        <w:rPr>
          <w:sz w:val="20"/>
          <w:szCs w:val="20"/>
          <w:color w:val="auto"/>
        </w:rPr>
      </w:pPr>
      <w:r>
        <w:rPr>
          <w:rFonts w:ascii="Arial" w:cs="Arial" w:eastAsia="Arial" w:hAnsi="Arial"/>
          <w:sz w:val="16"/>
          <w:szCs w:val="16"/>
          <w:color w:val="auto"/>
        </w:rPr>
        <w:t>In addition, putative class actions have been filed against GM in the U.S. and Canada alleging that the batteries contained in the Bolt EVs and EUVs included in the recall population are defective. GM has reached an agreement in principle to settle the U.S. class actions for an immaterial amount.</w:t>
      </w:r>
    </w:p>
    <w:p>
      <w:pPr>
        <w:spacing w:after="0" w:line="1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Opel/Vauxhall Sale </w:t>
      </w:r>
      <w:r>
        <w:rPr>
          <w:rFonts w:ascii="Arial" w:cs="Arial" w:eastAsia="Arial" w:hAnsi="Arial"/>
          <w:sz w:val="16"/>
          <w:szCs w:val="16"/>
          <w:color w:val="auto"/>
        </w:rPr>
        <w:t>In 2017, we sold the Opel and Vauxhall businesses and certain other assets in Europe (the Opel/Vauxhall Business) to PSA Group, now</w:t>
      </w:r>
      <w:r>
        <w:rPr>
          <w:rFonts w:ascii="Arial" w:cs="Arial" w:eastAsia="Arial" w:hAnsi="Arial"/>
          <w:sz w:val="16"/>
          <w:szCs w:val="16"/>
          <w:b w:val="1"/>
          <w:bCs w:val="1"/>
          <w:color w:val="auto"/>
        </w:rPr>
        <w:t xml:space="preserve"> </w:t>
      </w:r>
      <w:r>
        <w:rPr>
          <w:rFonts w:ascii="Arial" w:cs="Arial" w:eastAsia="Arial" w:hAnsi="Arial"/>
          <w:sz w:val="16"/>
          <w:szCs w:val="16"/>
          <w:color w:val="auto"/>
        </w:rPr>
        <w:t>Stellantis N.V. (Stellantis), under a Master Agreement (the Agreement). We also sold the European financing subsidiaries and branches to Banque PSA Finance S.A. and BNP Paribas Personal Finance S.A. Although the sale reduced our new vehicle presence in Europe, we may still be impacted by actions taken by regulators related to vehicles sold before the sale. General Motors Holdings LLC agreed, on behalf of our wholly owned subsidiary (the Seller),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spacing w:after="0" w:line="193"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Currently, various consumer lawsuits have been filed against the Seller and Stellantis in Germany, the United Kingdom and the Netherlands alleging that Opel and Vauxhall vehicles sold by the Seller violated applicable emissions standards. In addition, we indemnified Stellantis for an immaterial amount for certain recalls that Stellantis has conducted or will conduct, including recalls in certain geographic locations that Stellantis intends to conduct related to Takata inflators in legacy Opel vehicles. We may in the future be required to further indemnify Stellantis relating to its Takata recalls, but we believe such further indemnification to be remote at this time.</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Product Liability </w:t>
      </w:r>
      <w:r>
        <w:rPr>
          <w:rFonts w:ascii="Arial" w:cs="Arial" w:eastAsia="Arial" w:hAnsi="Arial"/>
          <w:sz w:val="18"/>
          <w:szCs w:val="18"/>
          <w:color w:val="auto"/>
        </w:rPr>
        <w:t>We recorded liabilities of $596 million and $561 million in Accrued liabilities and Other liabilities at September 30, 2023 and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2022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We enter into indemnification agreements for liability claims involving products manufactured primarily by certain joint ventures.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terminate in years ranging from 2023 to 2028, or upon the occurrence of specific events or are ongoing. We believe that the related potential costs incurred are adequately covered by our recorded accruals, which are insignificant. The maximum future undiscounted payments mainly based on royalties received associated with vehicles sold to date were $3.6 billion and $3.1 billion for these guarantees at September 30, 2023 and December 31, 2022, the majority of which relates to the indemnification agreements.</w:t>
      </w:r>
    </w:p>
    <w:p>
      <w:pPr>
        <w:spacing w:after="0" w:line="21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09"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Supplier Finance Programs </w:t>
      </w:r>
      <w:r>
        <w:rPr>
          <w:rFonts w:ascii="Arial" w:cs="Arial" w:eastAsia="Arial" w:hAnsi="Arial"/>
          <w:sz w:val="18"/>
          <w:szCs w:val="18"/>
          <w:color w:val="auto"/>
        </w:rPr>
        <w:t>Third-party finance providers offer certain suppliers the option for payment in advance of their invoice due date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programs that we established. We retain our obligation to the participating suppliers, and we make payments directly to the third-party finance providers on the original invoice due date pursuant to the original invoice terms. There are no assets pledged as security or other forms of guarantees provided for committed payments. Our outstanding eligible balances under our supplier finance programs were $1.1 billion and $852 million at September 30, 2023 and December 31, 2022, which are recorded in Accounts payable (principally trade).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19"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In the three months ended September 30, 2023, Income tax expense of $470 million was lower than the statutory tax rate primarily due to jurisdictional mix of earnings and tax expense attributable to entities included in our effective tax rate calculation. In the three months ended September 30, 2022, Income tax expense of $845 million was primarily due to tax expense attributable to entities included in our effective tax rate calculation.</w:t>
      </w:r>
    </w:p>
    <w:p>
      <w:pPr>
        <w:spacing w:after="0" w:line="174"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color w:val="auto"/>
        </w:rPr>
        <w:t>In the nine months ended September 30, 2023, Income tax expense of $1.4 billion was lower than the statutory tax rate primarily due to jurisdictional mix of earnings and tax expense attributable to entities included in our effective tax rate calculation. In the nine months ended September 30, 2022, Income tax expense of $1.3 billion was primarily due to tax expense attributable to entities included in our effective tax rate calculation, partially offset by the release of a valuation allowance against certain Cruise deferred tax assets that were considered realizable due to the reconsolidation of Cruise for U.S. tax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Restructuring and Other Initiatives</w:t>
      </w:r>
    </w:p>
    <w:p>
      <w:pPr>
        <w:spacing w:after="0" w:line="119"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17" w:lineRule="exact"/>
        <w:rPr>
          <w:sz w:val="20"/>
          <w:szCs w:val="20"/>
          <w:color w:val="auto"/>
        </w:rPr>
      </w:pPr>
    </w:p>
    <w:p>
      <w:pPr>
        <w:jc w:val="both"/>
        <w:ind w:right="20" w:firstLine="161"/>
        <w:spacing w:after="0" w:line="275" w:lineRule="auto"/>
        <w:rPr>
          <w:sz w:val="20"/>
          <w:szCs w:val="20"/>
          <w:color w:val="auto"/>
        </w:rPr>
      </w:pPr>
      <w:r>
        <w:rPr>
          <w:rFonts w:ascii="Arial" w:cs="Arial" w:eastAsia="Arial" w:hAnsi="Arial"/>
          <w:sz w:val="18"/>
          <w:szCs w:val="18"/>
          <w:color w:val="auto"/>
        </w:rPr>
        <w:t>The following table summarizes the reserves and charges related to restructuring and other initiatives, including postemployment benefit reserves and charges: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6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September 30, 2022</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September 30, 2022</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Additions, interest accretion and other</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Revisions to estimates and effect of foreign currency</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7"/>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In the three and nine months ended September 30, 2023, restructuring and other initiatives included strategic activities in GMNA related to Buick dealerships. We recorded charges of $93 million and $438 million in the three and nine months ended September 30, 2023, which are included in the table above, and incurred $461 million in net cash outflows resulting from these dealer restructurings in the nine months ended September 30, 2023, in addition to the charges of $511 million and net cash outflows of $120 million in the year ended December 31, 2022. The remaining $368 million is expected to be substantially paid by the end of 2023.</w:t>
      </w:r>
    </w:p>
    <w:p>
      <w:pPr>
        <w:spacing w:after="0" w:line="21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Additionally, on March 9, 2023, we announced a voluntary separation program (VSP) to accelerate attrition related to the cost reduction program announced in January 2023. We recorded charges in GMNA of $30 million and $905 million in the three and nine months ended September 30, 2023, primarily related to employee separation charges, which are reflected in the table above. We incurred $767 million of cash outflows resulting from the VSP in the nine months ended September 30, 2023. We expect remaining cash outflows related to these activities of approximately $138 million to be substantially complete by the end of 2023.</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 and Noncontrolling Interests</w:t>
      </w:r>
    </w:p>
    <w:p>
      <w:pPr>
        <w:spacing w:after="0" w:line="11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no shares of preferred stock issued and outstanding at September 30, 2023 and December 31, 2022. We had 1.4 billion shares of common stock issued and outstanding at September 30, 2023 and December 31,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Holders of our common stock are entitled to dividends at the sole discretion of our Board of Directors. Our total dividends paid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were $123 million and $373 million for the three and nine months ended September 30, 2023 and $130 million for the three and nine months ended September 30, 2022.</w:t>
      </w:r>
    </w:p>
    <w:p>
      <w:pPr>
        <w:spacing w:after="0" w:line="203"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In August 2022, our Board of Directors increased the capacity under our previously announced common stock repurchase program to $5.0 billion from the $3.3 billion that remained under the program as of June 30, 2022. In the nine months ended September 30, 2023 and 2022, we purchased 30 million and 38 million shares of our outstanding common stock for $1.1 billion and $1.5 billion as part of the program.</w:t>
      </w:r>
    </w:p>
    <w:p>
      <w:pPr>
        <w:spacing w:after="0" w:line="203"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b w:val="1"/>
          <w:bCs w:val="1"/>
          <w:i w:val="1"/>
          <w:iCs w:val="1"/>
          <w:color w:val="auto"/>
        </w:rPr>
        <w:t xml:space="preserve">Cruise Preferred Shares </w:t>
      </w:r>
      <w:r>
        <w:rPr>
          <w:rFonts w:ascii="Arial" w:cs="Arial" w:eastAsia="Arial" w:hAnsi="Arial"/>
          <w:sz w:val="18"/>
          <w:szCs w:val="18"/>
          <w:color w:val="auto"/>
        </w:rPr>
        <w:t>In March 2022, under the Share Purchase Agreement, we acquired SoftBank Vision Fund (AIV M2) L.P.'s (together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SoftBank) Cruise Class A-1, Class F and Class G Preferred Shares for $2.1 billion and made an additional $1.35 billion investment in Cruise in place of SoftBank. SoftBank no longer has an ownership interest in or has any rights with respect to Cruise.</w:t>
      </w:r>
    </w:p>
    <w:p>
      <w:pPr>
        <w:spacing w:after="0" w:line="203" w:lineRule="exact"/>
        <w:rPr>
          <w:sz w:val="20"/>
          <w:szCs w:val="20"/>
          <w:color w:val="auto"/>
        </w:rPr>
      </w:pPr>
    </w:p>
    <w:p>
      <w:pPr>
        <w:jc w:val="both"/>
        <w:ind w:firstLine="161"/>
        <w:spacing w:after="0" w:line="270" w:lineRule="auto"/>
        <w:rPr>
          <w:sz w:val="20"/>
          <w:szCs w:val="20"/>
          <w:color w:val="auto"/>
        </w:rPr>
      </w:pPr>
      <w:r>
        <w:rPr>
          <w:rFonts w:ascii="Arial" w:cs="Arial" w:eastAsia="Arial" w:hAnsi="Arial"/>
          <w:sz w:val="17"/>
          <w:szCs w:val="17"/>
          <w:b w:val="1"/>
          <w:bCs w:val="1"/>
          <w:i w:val="1"/>
          <w:iCs w:val="1"/>
          <w:color w:val="auto"/>
        </w:rPr>
        <w:t xml:space="preserve">Cruise Common Shares </w:t>
      </w:r>
      <w:r>
        <w:rPr>
          <w:rFonts w:ascii="Arial" w:cs="Arial" w:eastAsia="Arial" w:hAnsi="Arial"/>
          <w:sz w:val="17"/>
          <w:szCs w:val="17"/>
          <w:color w:val="auto"/>
        </w:rPr>
        <w:t>During the three and nine months ended September 30, 2023, GM Cruise Holdings LLC (Cruise Holdings) issued $104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$278 million of Class B Common Shares to net settle vested awards under Cruise's 2018 Employee Incentive Plan and issued $57 million and $156 million of Class B Common Shares to fund the payment of statutory tax withholding obligations resulting from the settlement or exercise of vested awards. Also, GM conducted quarterly tender offers and paid $70 million and $206 million in cash to purchase tendered Cruise Class B Common Shares during the three and nine months ended September 30, 2023. The Class B Common Shares are classified as noncontrolling interests in our condensed consolidated financial statements except for certain shares that are liability classified that have a recorded value of $93 million and $60 million at September 30, 2023 and December 31, 2022. Refer to Note 18 for additional information on Cruise stock incentive awards.</w:t>
      </w:r>
    </w:p>
    <w:p>
      <w:pPr>
        <w:spacing w:after="0" w:line="207"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During the three months ended September 30, 2023 and 2022, the effect on the equity attributable to us for changes in our ownership interest in Cruise was insignificant. For the nine months ended September 30, 2023 and 2022, net income attributable to shareholders and transfers to the noncontrolling interest in Cruise and other subsidiaries was $8.0 billion and $7.1 billion, which for the nine months ended September 30, 2022, included a $820 million decrease in retained earnings primarily due to the redemption of Cruise preferred shares.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6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September 30, 2022</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September 30, 2022</w:t>
            </w:r>
          </w:p>
        </w:tc>
        <w:tc>
          <w:tcPr>
            <w:tcW w:w="0" w:type="dxa"/>
            <w:vAlign w:val="bottom"/>
          </w:tcPr>
          <w:p>
            <w:pPr>
              <w:spacing w:after="0"/>
              <w:rPr>
                <w:sz w:val="1"/>
                <w:szCs w:val="1"/>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line="175" w:lineRule="exact"/>
              <w:rPr>
                <w:sz w:val="20"/>
                <w:szCs w:val="20"/>
                <w:color w:val="auto"/>
              </w:rPr>
            </w:pPr>
            <w:r>
              <w:rPr>
                <w:rFonts w:ascii="Arial" w:cs="Arial" w:eastAsia="Arial" w:hAnsi="Arial"/>
                <w:sz w:val="18"/>
                <w:szCs w:val="18"/>
                <w:color w:val="auto"/>
                <w:w w:val="91"/>
              </w:rPr>
              <w:t>Other comprehensive income (loss) and noncontrolling interests, net of</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reclassification adjustment and tax(a)(b)</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line="175" w:lineRule="exact"/>
              <w:rPr>
                <w:sz w:val="20"/>
                <w:szCs w:val="20"/>
                <w:color w:val="auto"/>
              </w:rPr>
            </w:pPr>
            <w:r>
              <w:rPr>
                <w:rFonts w:ascii="Arial" w:cs="Arial" w:eastAsia="Arial" w:hAnsi="Arial"/>
                <w:sz w:val="18"/>
                <w:szCs w:val="18"/>
                <w:color w:val="auto"/>
                <w:w w:val="91"/>
              </w:rPr>
              <w:t>Other comprehensive income (loss) before reclassification adjustment,</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200" w:type="dxa"/>
            <w:vAlign w:val="bottom"/>
          </w:tcPr>
          <w:p>
            <w:pPr>
              <w:ind w:left="180"/>
              <w:spacing w:after="0"/>
              <w:rPr>
                <w:sz w:val="20"/>
                <w:szCs w:val="20"/>
                <w:color w:val="auto"/>
              </w:rPr>
            </w:pPr>
            <w:r>
              <w:rPr>
                <w:rFonts w:ascii="Arial" w:cs="Arial" w:eastAsia="Arial" w:hAnsi="Arial"/>
                <w:sz w:val="18"/>
                <w:szCs w:val="18"/>
                <w:color w:val="auto"/>
              </w:rPr>
              <w:t>net of tax(b)</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 net of tax(b)</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tax(b)</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noncontrolling interests and reclassification adjustments were insignificant in the three and nine months ended September 30, 2023 and 2022.</w:t>
      </w:r>
    </w:p>
    <w:p>
      <w:pPr>
        <w:spacing w:after="0" w:line="14" w:lineRule="exact"/>
        <w:rPr>
          <w:rFonts w:ascii="Arial" w:cs="Arial" w:eastAsia="Arial" w:hAnsi="Arial"/>
          <w:sz w:val="16"/>
          <w:szCs w:val="16"/>
          <w:color w:val="auto"/>
        </w:rPr>
      </w:pPr>
    </w:p>
    <w:p>
      <w:pPr>
        <w:ind w:left="320" w:hanging="313"/>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and nine months ended September 30, 2023 and 2022.</w:t>
      </w:r>
    </w:p>
    <w:p>
      <w:pPr>
        <w:spacing w:after="0" w:line="4" w:lineRule="exact"/>
        <w:rPr>
          <w:rFonts w:ascii="Arial" w:cs="Arial" w:eastAsia="Arial" w:hAnsi="Arial"/>
          <w:sz w:val="16"/>
          <w:szCs w:val="16"/>
          <w:color w:val="auto"/>
        </w:rPr>
      </w:pPr>
    </w:p>
    <w:p>
      <w:pPr>
        <w:ind w:left="340" w:hanging="333"/>
        <w:spacing w:after="0" w:line="272" w:lineRule="auto"/>
        <w:tabs>
          <w:tab w:leader="none" w:pos="331"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Primarily consists of unamortized actuarial loss on our defined benefit plans. Refer to Note 2. Significant Accounting Policies of our 2022 Form 10-K for additional information.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gridSpan w:val="3"/>
          </w:tcPr>
          <w:p>
            <w:pPr>
              <w:ind w:left="300"/>
              <w:spacing w:after="0"/>
              <w:rPr>
                <w:sz w:val="20"/>
                <w:szCs w:val="20"/>
                <w:color w:val="auto"/>
              </w:rPr>
            </w:pPr>
            <w:r>
              <w:rPr>
                <w:rFonts w:ascii="Arial" w:cs="Arial" w:eastAsia="Arial" w:hAnsi="Arial"/>
                <w:sz w:val="14"/>
                <w:szCs w:val="14"/>
                <w:b w:val="1"/>
                <w:bCs w:val="1"/>
                <w:color w:val="auto"/>
                <w:w w:val="97"/>
              </w:rPr>
              <w:t>Nine Months Ended</w:t>
            </w:r>
          </w:p>
        </w:tc>
        <w:tc>
          <w:tcPr>
            <w:tcW w:w="620" w:type="dxa"/>
            <w:vAlign w:val="bottom"/>
          </w:tcPr>
          <w:p>
            <w:pPr>
              <w:spacing w:after="0"/>
              <w:rPr>
                <w:sz w:val="16"/>
                <w:szCs w:val="16"/>
                <w:color w:val="auto"/>
              </w:rPr>
            </w:pPr>
          </w:p>
        </w:tc>
      </w:tr>
      <w:tr>
        <w:trPr>
          <w:trHeight w:val="25"/>
        </w:trPr>
        <w:tc>
          <w:tcPr>
            <w:tcW w:w="586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360" w:type="dxa"/>
            <w:vAlign w:val="bottom"/>
            <w:gridSpan w:val="3"/>
          </w:tcPr>
          <w:p>
            <w:pPr>
              <w:spacing w:after="0"/>
              <w:rPr>
                <w:sz w:val="2"/>
                <w:szCs w:val="2"/>
                <w:color w:val="auto"/>
              </w:rPr>
            </w:pPr>
          </w:p>
        </w:tc>
        <w:tc>
          <w:tcPr>
            <w:tcW w:w="1380" w:type="dxa"/>
            <w:vAlign w:val="bottom"/>
            <w:gridSpan w:val="3"/>
          </w:tcPr>
          <w:p>
            <w:pPr>
              <w:spacing w:after="0"/>
              <w:rPr>
                <w:sz w:val="2"/>
                <w:szCs w:val="2"/>
                <w:color w:val="auto"/>
              </w:rPr>
            </w:pPr>
          </w:p>
        </w:tc>
        <w:tc>
          <w:tcPr>
            <w:tcW w:w="1260" w:type="dxa"/>
            <w:vAlign w:val="bottom"/>
            <w:gridSpan w:val="2"/>
          </w:tcPr>
          <w:p>
            <w:pPr>
              <w:spacing w:after="0"/>
              <w:rPr>
                <w:sz w:val="2"/>
                <w:szCs w:val="2"/>
                <w:color w:val="auto"/>
              </w:rPr>
            </w:pPr>
          </w:p>
        </w:tc>
      </w:tr>
      <w:tr>
        <w:trPr>
          <w:trHeight w:val="188"/>
        </w:trPr>
        <w:tc>
          <w:tcPr>
            <w:tcW w:w="5860" w:type="dxa"/>
            <w:vAlign w:val="bottom"/>
          </w:tcPr>
          <w:p>
            <w:pPr>
              <w:spacing w:after="0"/>
              <w:rPr>
                <w:sz w:val="16"/>
                <w:szCs w:val="16"/>
                <w:color w:val="auto"/>
              </w:rPr>
            </w:pPr>
          </w:p>
        </w:tc>
        <w:tc>
          <w:tcPr>
            <w:tcW w:w="13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2023</w:t>
            </w:r>
          </w:p>
        </w:tc>
        <w:tc>
          <w:tcPr>
            <w:tcW w:w="12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2022</w:t>
            </w:r>
          </w:p>
        </w:tc>
        <w:tc>
          <w:tcPr>
            <w:tcW w:w="100" w:type="dxa"/>
            <w:vAlign w:val="bottom"/>
          </w:tcPr>
          <w:p>
            <w:pPr>
              <w:spacing w:after="0"/>
              <w:rPr>
                <w:sz w:val="16"/>
                <w:szCs w:val="16"/>
                <w:color w:val="auto"/>
              </w:rPr>
            </w:pPr>
          </w:p>
        </w:tc>
        <w:tc>
          <w:tcPr>
            <w:tcW w:w="13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2023</w:t>
            </w:r>
          </w:p>
        </w:tc>
        <w:tc>
          <w:tcPr>
            <w:tcW w:w="12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2022</w:t>
            </w:r>
          </w:p>
        </w:tc>
      </w:tr>
      <w:tr>
        <w:trPr>
          <w:trHeight w:val="215"/>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r>
      <w:tr>
        <w:trPr>
          <w:trHeight w:val="228"/>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w:t>
            </w:r>
          </w:p>
        </w:tc>
      </w:tr>
      <w:tr>
        <w:trPr>
          <w:trHeight w:val="228"/>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cumulative dividends on subsidiary preferred stock(a)</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r>
      <w:tr>
        <w:trPr>
          <w:trHeight w:val="24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5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28"/>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r>
      <w:tr>
        <w:trPr>
          <w:trHeight w:val="107"/>
        </w:trPr>
        <w:tc>
          <w:tcPr>
            <w:tcW w:w="5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228"/>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28"/>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8"/>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 – diluted</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w:t>
            </w:r>
          </w:p>
        </w:tc>
      </w:tr>
      <w:tr>
        <w:trPr>
          <w:trHeight w:val="107"/>
        </w:trPr>
        <w:tc>
          <w:tcPr>
            <w:tcW w:w="5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228"/>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r>
      <w:tr>
        <w:trPr>
          <w:trHeight w:val="228"/>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awards under stock incentive plans</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5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28"/>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Potentially dilutive securities(b)</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Includes a $909 million deemed dividend related to the redemption of Cruise preferred shares from SoftBank in the nine months ended September 30, 2022.</w:t>
      </w:r>
    </w:p>
    <w:p>
      <w:pPr>
        <w:spacing w:after="0" w:line="25" w:lineRule="exact"/>
        <w:rPr>
          <w:rFonts w:ascii="Arial" w:cs="Arial" w:eastAsia="Arial" w:hAnsi="Arial"/>
          <w:sz w:val="15"/>
          <w:szCs w:val="15"/>
          <w:color w:val="auto"/>
        </w:rPr>
      </w:pPr>
    </w:p>
    <w:p>
      <w:pPr>
        <w:ind w:left="340" w:hanging="333"/>
        <w:spacing w:after="0" w:line="255"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stock options and Restricted Stock Units (RSUs) at September 30, 2023 and 2022 were excluded from the computation of diluted earnings per share (EPS) because the securities would have had an antidilutive effect.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Stock Incentive Plans</w:t>
      </w:r>
    </w:p>
    <w:p>
      <w:pPr>
        <w:spacing w:after="0" w:line="254"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b w:val="1"/>
          <w:bCs w:val="1"/>
          <w:i w:val="1"/>
          <w:iCs w:val="1"/>
          <w:color w:val="auto"/>
        </w:rPr>
        <w:t xml:space="preserve">Cruise Stock Incentive Awards </w:t>
      </w:r>
      <w:r>
        <w:rPr>
          <w:rFonts w:ascii="Arial" w:cs="Arial" w:eastAsia="Arial" w:hAnsi="Arial"/>
          <w:sz w:val="18"/>
          <w:szCs w:val="18"/>
          <w:color w:val="auto"/>
        </w:rPr>
        <w:t>In March 2022, Cruise modified its RSUs that settle in Cruise common stock to remove the liquidity vesting condition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that all granted RSU awards vest solely upon satisfactions of a service condition. Total compensation expense related to Cruise Holdings' share-based awards was $199 million and $150 million in the three months ended September 30, 2023 and 2022 and $476 million and $1.5 billion in the nine months ended September 30, 2023 and 2022. Compensation expense for the nine months ended September 30, 2022, when excluding the compensation expense in the period April 1, 2022 through September 30, 2022, primarily represents the impact of the modification to outstanding awards. GM conducted quarterly tender offers and paid $206 million and $327 million in cash to purchase tendered Cruise Class B Common Shares during the nine months ended September 30, 2023 and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Reporting</w:t>
      </w:r>
    </w:p>
    <w:p>
      <w:pPr>
        <w:spacing w:after="0" w:line="254"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color w:val="auto"/>
        </w:rPr>
        <w:t>We analyze the results of our business through the following reportable segments: GMNA, GMI, Cruise and GM Financial. The chief operating decision-maker evaluates the operating results and performance of our automotive segments and Cruise through earnings before interest and income taxes (EBIT)-adjusted, which is presented net of noncontrolling interests. The chief operating decision-maker evaluates GM Financial through earnings before income taxes (EBT)-adjusted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209" w:lineRule="exact"/>
        <w:rPr>
          <w:sz w:val="20"/>
          <w:szCs w:val="20"/>
          <w:color w:val="auto"/>
        </w:rPr>
      </w:pPr>
    </w:p>
    <w:p>
      <w:pPr>
        <w:jc w:val="both"/>
        <w:ind w:right="20" w:firstLine="161"/>
        <w:spacing w:after="0" w:line="262" w:lineRule="auto"/>
        <w:rPr>
          <w:sz w:val="20"/>
          <w:szCs w:val="20"/>
          <w:color w:val="auto"/>
        </w:rPr>
      </w:pPr>
      <w:r>
        <w:rPr>
          <w:rFonts w:ascii="Arial" w:cs="Arial" w:eastAsia="Arial" w:hAnsi="Arial"/>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74" w:lineRule="exact"/>
        <w:rPr>
          <w:sz w:val="20"/>
          <w:szCs w:val="20"/>
          <w:color w:val="auto"/>
        </w:rPr>
      </w:pPr>
    </w:p>
    <w:p>
      <w:pPr>
        <w:jc w:val="both"/>
        <w:ind w:firstLine="161"/>
        <w:spacing w:after="0" w:line="274" w:lineRule="auto"/>
        <w:rPr>
          <w:sz w:val="20"/>
          <w:szCs w:val="20"/>
          <w:color w:val="auto"/>
        </w:rPr>
      </w:pPr>
      <w:r>
        <w:rPr>
          <w:rFonts w:ascii="Arial" w:cs="Arial" w:eastAsia="Arial" w:hAnsi="Arial"/>
          <w:sz w:val="17"/>
          <w:szCs w:val="17"/>
          <w:color w:val="auto"/>
        </w:rPr>
        <w:t>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Cruise is our global segment responsible for the development and commercialization of AV technology, and includes AV-related engineering and other costs. We provide automotive financing services through our GM Financial segment.</w:t>
      </w:r>
    </w:p>
    <w:p>
      <w:pPr>
        <w:spacing w:after="0" w:line="201"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Our automotive interest income and interest expense, legacy costs from the Opel/Vauxhall Business (primarily pension costs), corporate expenditures and certain revenues and expenses that are not part of a reportable segment are recorded centrally in Corporate. Corporate assets primarily consist of cash and cash equivalents, marketable debt securities and intersegment balances. All intersegment balances and transactions have been eliminated in consolidation.</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320"/>
              <w:spacing w:after="0"/>
              <w:rPr>
                <w:sz w:val="20"/>
                <w:szCs w:val="20"/>
                <w:color w:val="auto"/>
              </w:rPr>
            </w:pPr>
            <w:r>
              <w:rPr>
                <w:rFonts w:ascii="Arial" w:cs="Arial" w:eastAsia="Arial" w:hAnsi="Arial"/>
                <w:sz w:val="13"/>
                <w:szCs w:val="13"/>
                <w:b w:val="1"/>
                <w:bCs w:val="1"/>
                <w:color w:val="auto"/>
                <w:w w:val="99"/>
              </w:rPr>
              <w:t>At and For the Three Months Ended September 30, 2023</w:t>
            </w: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21"/>
        </w:trPr>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rPr>
              <w:t>GM</w:t>
            </w: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82"/>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60" w:type="dxa"/>
            <w:vAlign w:val="bottom"/>
            <w:gridSpan w:val="3"/>
          </w:tcPr>
          <w:p>
            <w:pPr>
              <w:ind w:left="20"/>
              <w:spacing w:after="0"/>
              <w:rPr>
                <w:sz w:val="20"/>
                <w:szCs w:val="20"/>
                <w:color w:val="auto"/>
              </w:rPr>
            </w:pPr>
            <w:r>
              <w:rPr>
                <w:rFonts w:ascii="Arial" w:cs="Arial" w:eastAsia="Arial" w:hAnsi="Arial"/>
                <w:sz w:val="13"/>
                <w:szCs w:val="13"/>
                <w:b w:val="1"/>
                <w:bCs w:val="1"/>
                <w:color w:val="auto"/>
                <w:w w:val="91"/>
              </w:rPr>
              <w:t>Eliminations/Reclassifications</w:t>
            </w:r>
          </w:p>
        </w:tc>
        <w:tc>
          <w:tcPr>
            <w:tcW w:w="140" w:type="dxa"/>
            <w:vAlign w:val="bottom"/>
          </w:tcPr>
          <w:p>
            <w:pPr>
              <w:spacing w:after="0"/>
              <w:rPr>
                <w:sz w:val="15"/>
                <w:szCs w:val="15"/>
                <w:color w:val="auto"/>
              </w:rPr>
            </w:pPr>
          </w:p>
        </w:tc>
        <w:tc>
          <w:tcPr>
            <w:tcW w:w="58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r>
      <w:tr>
        <w:trPr>
          <w:trHeight w:val="175"/>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36,106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4,330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40,503</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3,641</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44,131</w:t>
            </w:r>
          </w:p>
        </w:tc>
      </w:tr>
      <w:tr>
        <w:trPr>
          <w:trHeight w:val="121"/>
        </w:trPr>
        <w:tc>
          <w:tcPr>
            <w:tcW w:w="2420" w:type="dxa"/>
            <w:vAlign w:val="bottom"/>
          </w:tcPr>
          <w:p>
            <w:pPr>
              <w:ind w:left="20"/>
              <w:spacing w:after="0" w:line="121" w:lineRule="exact"/>
              <w:rPr>
                <w:sz w:val="20"/>
                <w:szCs w:val="20"/>
                <w:color w:val="auto"/>
              </w:rPr>
            </w:pPr>
            <w:r>
              <w:rPr>
                <w:rFonts w:ascii="Arial" w:cs="Arial" w:eastAsia="Arial" w:hAnsi="Arial"/>
                <w:sz w:val="13"/>
                <w:szCs w:val="13"/>
                <w:color w:val="auto"/>
              </w:rPr>
              <w:t>Earnings (loss) before interest and taxes-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79"/>
        </w:trPr>
        <w:tc>
          <w:tcPr>
            <w:tcW w:w="242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3,526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357</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3,561</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(732)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741</w:t>
            </w: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3,564</w:t>
            </w: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r>
      <w:tr>
        <w:trPr>
          <w:trHeight w:val="166"/>
        </w:trPr>
        <w:tc>
          <w:tcPr>
            <w:tcW w:w="242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322</w:t>
            </w: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r>
      <w:tr>
        <w:trPr>
          <w:trHeight w:val="121"/>
        </w:trPr>
        <w:tc>
          <w:tcPr>
            <w:tcW w:w="2420" w:type="dxa"/>
            <w:vAlign w:val="bottom"/>
          </w:tcPr>
          <w:p>
            <w:pPr>
              <w:ind w:left="20"/>
              <w:spacing w:after="0" w:line="121" w:lineRule="exact"/>
              <w:rPr>
                <w:sz w:val="20"/>
                <w:szCs w:val="20"/>
                <w:color w:val="auto"/>
              </w:rPr>
            </w:pPr>
            <w:r>
              <w:rPr>
                <w:rFonts w:ascii="Arial" w:cs="Arial" w:eastAsia="Arial" w:hAnsi="Arial"/>
                <w:sz w:val="13"/>
                <w:szCs w:val="13"/>
                <w:color w:val="auto"/>
              </w:rPr>
              <w:t>Net income (loss) attributable to</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82"/>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r>
      <w:tr>
        <w:trPr>
          <w:trHeight w:val="175"/>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3,464</w:t>
            </w:r>
          </w:p>
        </w:tc>
      </w:tr>
      <w:tr>
        <w:trPr>
          <w:trHeight w:val="168"/>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w:t>
            </w:r>
          </w:p>
        </w:tc>
      </w:tr>
      <w:tr>
        <w:trPr>
          <w:trHeight w:val="175"/>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2,994</w:t>
            </w:r>
          </w:p>
        </w:tc>
      </w:tr>
      <w:tr>
        <w:trPr>
          <w:trHeight w:val="121"/>
        </w:trPr>
        <w:tc>
          <w:tcPr>
            <w:tcW w:w="2420" w:type="dxa"/>
            <w:vAlign w:val="bottom"/>
          </w:tcPr>
          <w:p>
            <w:pPr>
              <w:ind w:left="20"/>
              <w:spacing w:after="0" w:line="121" w:lineRule="exact"/>
              <w:rPr>
                <w:sz w:val="20"/>
                <w:szCs w:val="20"/>
                <w:color w:val="auto"/>
              </w:rPr>
            </w:pPr>
            <w:r>
              <w:rPr>
                <w:rFonts w:ascii="Arial" w:cs="Arial" w:eastAsia="Arial" w:hAnsi="Arial"/>
                <w:sz w:val="13"/>
                <w:szCs w:val="13"/>
                <w:color w:val="auto"/>
              </w:rPr>
              <w:t>Net loss (income) attributable to</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82"/>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r>
      <w:tr>
        <w:trPr>
          <w:trHeight w:val="20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1"/>
              </w:rPr>
              <w:t>Net income (loss) attributable to stockholders</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3,064</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21"/>
        </w:trPr>
        <w:tc>
          <w:tcPr>
            <w:tcW w:w="24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88"/>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10,549</w:t>
            </w:r>
          </w:p>
        </w:tc>
      </w:tr>
      <w:tr>
        <w:trPr>
          <w:trHeight w:val="166"/>
        </w:trPr>
        <w:tc>
          <w:tcPr>
            <w:tcW w:w="2420" w:type="dxa"/>
            <w:vAlign w:val="bottom"/>
          </w:tcPr>
          <w:p>
            <w:pPr>
              <w:ind w:left="20"/>
              <w:spacing w:after="0"/>
              <w:rPr>
                <w:sz w:val="20"/>
                <w:szCs w:val="20"/>
                <w:color w:val="auto"/>
              </w:rPr>
            </w:pPr>
            <w:r>
              <w:rPr>
                <w:rFonts w:ascii="Arial" w:cs="Arial" w:eastAsia="Arial" w:hAnsi="Arial"/>
                <w:sz w:val="13"/>
                <w:szCs w:val="13"/>
                <w:color w:val="auto"/>
              </w:rPr>
              <w:t>Goodwill and intangibles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2,112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716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2,832</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723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1,352</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4,907</w:t>
            </w: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155,556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24,444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0"/>
              </w:rPr>
              <w:t>(77,461)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150,504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128,962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281,705</w:t>
            </w:r>
          </w:p>
        </w:tc>
      </w:tr>
      <w:tr>
        <w:trPr>
          <w:trHeight w:val="166"/>
        </w:trPr>
        <w:tc>
          <w:tcPr>
            <w:tcW w:w="242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1,585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1,749</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1,231</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2,992</w:t>
            </w: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2420" w:type="dxa"/>
            <w:vAlign w:val="bottom"/>
          </w:tcPr>
          <w:p>
            <w:pPr>
              <w:ind w:left="20"/>
              <w:spacing w:after="0"/>
              <w:rPr>
                <w:sz w:val="20"/>
                <w:szCs w:val="20"/>
                <w:color w:val="auto"/>
              </w:rPr>
            </w:pPr>
            <w:r>
              <w:rPr>
                <w:rFonts w:ascii="Arial" w:cs="Arial" w:eastAsia="Arial" w:hAnsi="Arial"/>
                <w:sz w:val="13"/>
                <w:szCs w:val="13"/>
                <w:color w:val="auto"/>
              </w:rPr>
              <w:t>Equity income (loss)(b)</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190</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295</w:t>
            </w:r>
          </w:p>
        </w:tc>
        <w:tc>
          <w:tcPr>
            <w:tcW w:w="1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328</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7" w:lineRule="exact"/>
        <w:rPr>
          <w:sz w:val="20"/>
          <w:szCs w:val="20"/>
          <w:color w:val="auto"/>
        </w:rPr>
      </w:pPr>
    </w:p>
    <w:p>
      <w:pPr>
        <w:ind w:left="280" w:hanging="273"/>
        <w:spacing w:after="0"/>
        <w:tabs>
          <w:tab w:leader="none" w:pos="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Consists of charges for strategic activities related to Buick dealerships and charges related to the VSP in GMNA.</w:t>
      </w:r>
    </w:p>
    <w:p>
      <w:pPr>
        <w:ind w:left="340" w:right="20" w:hanging="333"/>
        <w:spacing w:after="0" w:line="237" w:lineRule="auto"/>
        <w:tabs>
          <w:tab w:leader="none" w:pos="309" w:val="left"/>
        </w:tabs>
        <w:numPr>
          <w:ilvl w:val="0"/>
          <w:numId w:val="13"/>
        </w:numPr>
        <w:rPr>
          <w:rFonts w:ascii="Arial" w:cs="Arial" w:eastAsia="Arial" w:hAnsi="Arial"/>
          <w:sz w:val="13"/>
          <w:szCs w:val="13"/>
          <w:color w:val="auto"/>
        </w:rPr>
      </w:pPr>
      <w:r>
        <w:rPr>
          <w:rFonts w:ascii="Arial" w:cs="Arial" w:eastAsia="Arial" w:hAnsi="Arial"/>
          <w:sz w:val="13"/>
          <w:szCs w:val="13"/>
          <w:color w:val="auto"/>
        </w:rPr>
        <w:t>Equity earnings related to Ultium Cells Holdings LLC are presented in Automotive and other cost of sales as this entity is integral to the operations of our business by providing battery cells for our EVs. In the three months ended September 30, 2023, equity earnings related to Ultium Cells Holdings LLC were $101 million.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300"/>
              <w:spacing w:after="0"/>
              <w:rPr>
                <w:sz w:val="20"/>
                <w:szCs w:val="20"/>
                <w:color w:val="auto"/>
              </w:rPr>
            </w:pPr>
            <w:r>
              <w:rPr>
                <w:rFonts w:ascii="Arial" w:cs="Arial" w:eastAsia="Arial" w:hAnsi="Arial"/>
                <w:sz w:val="13"/>
                <w:szCs w:val="13"/>
                <w:b w:val="1"/>
                <w:bCs w:val="1"/>
                <w:color w:val="auto"/>
                <w:w w:val="99"/>
              </w:rPr>
              <w:t>At and For the Three Months Ended September 30, 2022</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21"/>
        </w:trPr>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rPr>
              <w:t>GM</w:t>
            </w: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2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GMI</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Cruise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40" w:type="dxa"/>
            <w:vAlign w:val="bottom"/>
            <w:gridSpan w:val="3"/>
          </w:tcPr>
          <w:p>
            <w:pPr>
              <w:ind w:left="20"/>
              <w:spacing w:after="0"/>
              <w:rPr>
                <w:sz w:val="20"/>
                <w:szCs w:val="20"/>
                <w:color w:val="auto"/>
              </w:rPr>
            </w:pPr>
            <w:r>
              <w:rPr>
                <w:rFonts w:ascii="Arial" w:cs="Arial" w:eastAsia="Arial" w:hAnsi="Arial"/>
                <w:sz w:val="13"/>
                <w:szCs w:val="13"/>
                <w:b w:val="1"/>
                <w:bCs w:val="1"/>
                <w:color w:val="auto"/>
                <w:w w:val="90"/>
              </w:rPr>
              <w:t>Eliminations/Reclassifications</w:t>
            </w:r>
          </w:p>
        </w:tc>
        <w:tc>
          <w:tcPr>
            <w:tcW w:w="160" w:type="dxa"/>
            <w:vAlign w:val="bottom"/>
          </w:tcPr>
          <w:p>
            <w:pPr>
              <w:spacing w:after="0"/>
              <w:rPr>
                <w:sz w:val="15"/>
                <w:szCs w:val="15"/>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34,691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38,703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3,187</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41,889</w:t>
            </w: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w w:val="99"/>
              </w:rPr>
              <w:t>Earnings (loss) before interest and taxes-</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9"/>
        </w:trPr>
        <w:tc>
          <w:tcPr>
            <w:tcW w:w="240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3,894</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334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(352)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3,876</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911</w:t>
            </w:r>
          </w:p>
        </w:tc>
        <w:tc>
          <w:tcPr>
            <w:tcW w:w="10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4,287</w:t>
            </w:r>
          </w:p>
        </w:tc>
      </w:tr>
      <w:tr>
        <w:trPr>
          <w:trHeight w:val="184"/>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122</w:t>
            </w: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rPr>
              <w:t>Net income (loss) attributable to</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4,097</w:t>
            </w:r>
          </w:p>
        </w:tc>
      </w:tr>
      <w:tr>
        <w:trPr>
          <w:trHeight w:val="168"/>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(845)</w:t>
            </w: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3,252</w:t>
            </w: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rPr>
              <w:t>Net loss (income) attributable to</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r>
      <w:tr>
        <w:trPr>
          <w:trHeight w:val="20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0"/>
              </w:rPr>
              <w:t>Net income (loss) attributable to stockholders</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3,305</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21"/>
        </w:trPr>
        <w:tc>
          <w:tcPr>
            <w:tcW w:w="24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8"/>
        </w:trPr>
        <w:tc>
          <w:tcPr>
            <w:tcW w:w="2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1,705</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9,910</w:t>
            </w: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Goodwill and intangibles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2,160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744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2,908</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721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1,339</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4,968</w:t>
            </w: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134,823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38,693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86"/>
              </w:rPr>
              <w:t>(59,941)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118,917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260,529</w:t>
            </w: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1,419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1,548</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1,212</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2,774</w:t>
            </w: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2400" w:type="dxa"/>
            <w:vAlign w:val="bottom"/>
          </w:tcPr>
          <w:p>
            <w:pPr>
              <w:ind w:left="20"/>
              <w:spacing w:after="0"/>
              <w:rPr>
                <w:sz w:val="20"/>
                <w:szCs w:val="20"/>
                <w:color w:val="auto"/>
              </w:rPr>
            </w:pPr>
            <w:r>
              <w:rPr>
                <w:rFonts w:ascii="Arial" w:cs="Arial" w:eastAsia="Arial" w:hAnsi="Arial"/>
                <w:sz w:val="13"/>
                <w:szCs w:val="13"/>
                <w:color w:val="auto"/>
              </w:rPr>
              <w:t>Equity income (loss)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329</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323</w:t>
            </w:r>
          </w:p>
        </w:tc>
        <w:tc>
          <w:tcPr>
            <w:tcW w:w="1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367</w:t>
            </w:r>
          </w:p>
        </w:tc>
      </w:tr>
    </w:tbl>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11"/>
          </w:tcPr>
          <w:p>
            <w:pPr>
              <w:ind w:left="280"/>
              <w:spacing w:after="0"/>
              <w:rPr>
                <w:sz w:val="20"/>
                <w:szCs w:val="20"/>
                <w:color w:val="auto"/>
              </w:rPr>
            </w:pPr>
            <w:r>
              <w:rPr>
                <w:rFonts w:ascii="Arial" w:cs="Arial" w:eastAsia="Arial" w:hAnsi="Arial"/>
                <w:sz w:val="13"/>
                <w:szCs w:val="13"/>
                <w:b w:val="1"/>
                <w:bCs w:val="1"/>
                <w:color w:val="auto"/>
              </w:rPr>
              <w:t>At and For the Nine Months Ended September 30, 2023</w:t>
            </w: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21"/>
        </w:trPr>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rPr>
              <w:t>GM</w:t>
            </w: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3"/>
                <w:szCs w:val="13"/>
                <w:b w:val="1"/>
                <w:bCs w:val="1"/>
                <w:color w:val="auto"/>
              </w:rPr>
              <w:t>GMI</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Automotive</w:t>
            </w:r>
          </w:p>
        </w:tc>
        <w:tc>
          <w:tcPr>
            <w:tcW w:w="1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Cruise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40" w:type="dxa"/>
            <w:vAlign w:val="bottom"/>
            <w:gridSpan w:val="3"/>
          </w:tcPr>
          <w:p>
            <w:pPr>
              <w:ind w:left="20"/>
              <w:spacing w:after="0"/>
              <w:rPr>
                <w:sz w:val="20"/>
                <w:szCs w:val="20"/>
                <w:color w:val="auto"/>
              </w:rPr>
            </w:pPr>
            <w:r>
              <w:rPr>
                <w:rFonts w:ascii="Arial" w:cs="Arial" w:eastAsia="Arial" w:hAnsi="Arial"/>
                <w:sz w:val="13"/>
                <w:szCs w:val="13"/>
                <w:b w:val="1"/>
                <w:bCs w:val="1"/>
                <w:color w:val="auto"/>
                <w:w w:val="90"/>
              </w:rPr>
              <w:t>Eliminations/Reclassifications</w:t>
            </w:r>
          </w:p>
        </w:tc>
        <w:tc>
          <w:tcPr>
            <w:tcW w:w="160" w:type="dxa"/>
            <w:vAlign w:val="bottom"/>
          </w:tcPr>
          <w:p>
            <w:pPr>
              <w:spacing w:after="0"/>
              <w:rPr>
                <w:sz w:val="15"/>
                <w:szCs w:val="15"/>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106,214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12,011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118,403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10,482</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center"/>
              <w:ind w:left="577"/>
              <w:spacing w:after="0"/>
              <w:rPr>
                <w:sz w:val="20"/>
                <w:szCs w:val="20"/>
                <w:color w:val="auto"/>
              </w:rPr>
            </w:pPr>
            <w:r>
              <w:rPr>
                <w:rFonts w:ascii="Arial" w:cs="Arial" w:eastAsia="Arial" w:hAnsi="Arial"/>
                <w:sz w:val="13"/>
                <w:szCs w:val="13"/>
                <w:color w:val="auto"/>
                <w:w w:val="94"/>
              </w:rPr>
              <w:t>(98)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128,863</w:t>
            </w: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w w:val="99"/>
              </w:rPr>
              <w:t>Earnings (loss) before interest and taxes-</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9"/>
        </w:trPr>
        <w:tc>
          <w:tcPr>
            <w:tcW w:w="240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10,295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940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(996)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10,240</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(1,904)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2,278</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auto"/>
              </w:rPr>
              <w:t>$</w:t>
            </w:r>
          </w:p>
        </w:tc>
        <w:tc>
          <w:tcPr>
            <w:tcW w:w="900" w:type="dxa"/>
            <w:vAlign w:val="bottom"/>
          </w:tcPr>
          <w:p>
            <w:pPr>
              <w:jc w:val="center"/>
              <w:ind w:left="577"/>
              <w:spacing w:after="0"/>
              <w:rPr>
                <w:sz w:val="20"/>
                <w:szCs w:val="20"/>
                <w:color w:val="auto"/>
              </w:rPr>
            </w:pPr>
            <w:r>
              <w:rPr>
                <w:rFonts w:ascii="Arial" w:cs="Arial" w:eastAsia="Arial" w:hAnsi="Arial"/>
                <w:sz w:val="13"/>
                <w:szCs w:val="13"/>
                <w:color w:val="auto"/>
                <w:w w:val="94"/>
              </w:rPr>
              <w:t>(13)</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10,601</w:t>
            </w:r>
          </w:p>
        </w:tc>
      </w:tr>
      <w:tr>
        <w:trPr>
          <w:trHeight w:val="184"/>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center"/>
              <w:ind w:left="497"/>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(1,267)</w:t>
            </w: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801</w:t>
            </w: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w:t>
            </w: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rPr>
              <w:t>Net income (loss) attributable to</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w:t>
            </w: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9,267</w:t>
            </w:r>
          </w:p>
        </w:tc>
      </w:tr>
      <w:tr>
        <w:trPr>
          <w:trHeight w:val="168"/>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(1,421)</w:t>
            </w: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7,846</w:t>
            </w: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rPr>
              <w:t>Net loss (income) attributable to</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w:t>
            </w:r>
          </w:p>
        </w:tc>
      </w:tr>
      <w:tr>
        <w:trPr>
          <w:trHeight w:val="173"/>
        </w:trPr>
        <w:tc>
          <w:tcPr>
            <w:tcW w:w="240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w w:val="90"/>
              </w:rPr>
              <w:t>Net income (loss) attributable to stockholders</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8,026</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center"/>
              <w:ind w:left="497"/>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8,738</w:t>
            </w: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center"/>
              <w:ind w:left="497"/>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(loss)(b)</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center"/>
              <w:ind w:left="497"/>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12" w:lineRule="exact"/>
        <w:rPr>
          <w:sz w:val="20"/>
          <w:szCs w:val="20"/>
          <w:color w:val="auto"/>
        </w:rPr>
      </w:pPr>
    </w:p>
    <w:p>
      <w:pPr>
        <w:ind w:left="280" w:hanging="273"/>
        <w:spacing w:after="0"/>
        <w:tabs>
          <w:tab w:leader="none" w:pos="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Consists of charges for strategic activities related to Buick dealerships and charges related to the VSP in GMNA and the partial resolution of Korean subcontractor matters in GMI.</w:t>
      </w:r>
    </w:p>
    <w:p>
      <w:pPr>
        <w:spacing w:after="0" w:line="8" w:lineRule="exact"/>
        <w:rPr>
          <w:rFonts w:ascii="Arial" w:cs="Arial" w:eastAsia="Arial" w:hAnsi="Arial"/>
          <w:sz w:val="13"/>
          <w:szCs w:val="13"/>
          <w:color w:val="auto"/>
        </w:rPr>
      </w:pPr>
    </w:p>
    <w:p>
      <w:pPr>
        <w:ind w:left="340" w:hanging="333"/>
        <w:spacing w:after="0" w:line="237" w:lineRule="auto"/>
        <w:tabs>
          <w:tab w:leader="none" w:pos="313" w:val="left"/>
        </w:tabs>
        <w:numPr>
          <w:ilvl w:val="0"/>
          <w:numId w:val="14"/>
        </w:numPr>
        <w:rPr>
          <w:rFonts w:ascii="Arial" w:cs="Arial" w:eastAsia="Arial" w:hAnsi="Arial"/>
          <w:sz w:val="13"/>
          <w:szCs w:val="13"/>
          <w:color w:val="auto"/>
        </w:rPr>
      </w:pPr>
      <w:r>
        <w:rPr>
          <w:rFonts w:ascii="Arial" w:cs="Arial" w:eastAsia="Arial" w:hAnsi="Arial"/>
          <w:sz w:val="13"/>
          <w:szCs w:val="13"/>
          <w:color w:val="auto"/>
        </w:rPr>
        <w:t>Equity earnings related to Ultium Cells Holdings LLC are presented in Automotive and other cost of sales as this entity is integral to the operations of our business by providing battery cells for our EVs. In the nine months ended September 30, 2023, equity earnings related to Ultium Cells Holdings LLC were $191 million.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11"/>
          </w:tcPr>
          <w:p>
            <w:pPr>
              <w:ind w:left="300"/>
              <w:spacing w:after="0"/>
              <w:rPr>
                <w:sz w:val="20"/>
                <w:szCs w:val="20"/>
                <w:color w:val="auto"/>
              </w:rPr>
            </w:pPr>
            <w:r>
              <w:rPr>
                <w:rFonts w:ascii="Arial" w:cs="Arial" w:eastAsia="Arial" w:hAnsi="Arial"/>
                <w:sz w:val="13"/>
                <w:szCs w:val="13"/>
                <w:b w:val="1"/>
                <w:bCs w:val="1"/>
                <w:color w:val="auto"/>
              </w:rPr>
              <w:t>At and For the Nine Months Ended September 30, 2022</w:t>
            </w:r>
          </w:p>
        </w:tc>
        <w:tc>
          <w:tcPr>
            <w:tcW w:w="7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21"/>
        </w:trPr>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rPr>
              <w:t>GM</w:t>
            </w: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82"/>
        </w:trPr>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2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Automotive</w:t>
            </w:r>
          </w:p>
        </w:tc>
        <w:tc>
          <w:tcPr>
            <w:tcW w:w="14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60" w:type="dxa"/>
            <w:vAlign w:val="bottom"/>
            <w:gridSpan w:val="3"/>
          </w:tcPr>
          <w:p>
            <w:pPr>
              <w:ind w:left="20"/>
              <w:spacing w:after="0"/>
              <w:rPr>
                <w:sz w:val="20"/>
                <w:szCs w:val="20"/>
                <w:color w:val="auto"/>
              </w:rPr>
            </w:pPr>
            <w:r>
              <w:rPr>
                <w:rFonts w:ascii="Arial" w:cs="Arial" w:eastAsia="Arial" w:hAnsi="Arial"/>
                <w:sz w:val="13"/>
                <w:szCs w:val="13"/>
                <w:b w:val="1"/>
                <w:bCs w:val="1"/>
                <w:color w:val="auto"/>
                <w:w w:val="91"/>
              </w:rPr>
              <w:t>Eliminations/Reclassifications</w:t>
            </w:r>
          </w:p>
        </w:tc>
        <w:tc>
          <w:tcPr>
            <w:tcW w:w="140" w:type="dxa"/>
            <w:vAlign w:val="bottom"/>
          </w:tcPr>
          <w:p>
            <w:pPr>
              <w:spacing w:after="0"/>
              <w:rPr>
                <w:sz w:val="15"/>
                <w:szCs w:val="15"/>
                <w:color w:val="auto"/>
              </w:rPr>
            </w:pPr>
          </w:p>
        </w:tc>
        <w:tc>
          <w:tcPr>
            <w:tcW w:w="58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r>
      <w:tr>
        <w:trPr>
          <w:trHeight w:val="175"/>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92,907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11,100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104,140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9,489</w:t>
            </w: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113,627</w:t>
            </w:r>
          </w:p>
        </w:tc>
      </w:tr>
      <w:tr>
        <w:trPr>
          <w:trHeight w:val="121"/>
        </w:trPr>
        <w:tc>
          <w:tcPr>
            <w:tcW w:w="2420" w:type="dxa"/>
            <w:vAlign w:val="bottom"/>
          </w:tcPr>
          <w:p>
            <w:pPr>
              <w:ind w:left="20"/>
              <w:spacing w:after="0" w:line="121" w:lineRule="exact"/>
              <w:rPr>
                <w:sz w:val="20"/>
                <w:szCs w:val="20"/>
                <w:color w:val="auto"/>
              </w:rPr>
            </w:pPr>
            <w:r>
              <w:rPr>
                <w:rFonts w:ascii="Arial" w:cs="Arial" w:eastAsia="Arial" w:hAnsi="Arial"/>
                <w:sz w:val="13"/>
                <w:szCs w:val="13"/>
                <w:color w:val="auto"/>
              </w:rPr>
              <w:t>Earnings (loss) before interest and taxes-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79"/>
        </w:trPr>
        <w:tc>
          <w:tcPr>
            <w:tcW w:w="242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9,334</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871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8,735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(1,365)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3,301</w:t>
            </w:r>
          </w:p>
        </w:tc>
        <w:tc>
          <w:tcPr>
            <w:tcW w:w="10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10,675</w:t>
            </w: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w:t>
            </w:r>
          </w:p>
        </w:tc>
      </w:tr>
      <w:tr>
        <w:trPr>
          <w:trHeight w:val="166"/>
        </w:trPr>
        <w:tc>
          <w:tcPr>
            <w:tcW w:w="242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245</w:t>
            </w: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w:t>
            </w:r>
          </w:p>
        </w:tc>
      </w:tr>
      <w:tr>
        <w:trPr>
          <w:trHeight w:val="121"/>
        </w:trPr>
        <w:tc>
          <w:tcPr>
            <w:tcW w:w="2420" w:type="dxa"/>
            <w:vAlign w:val="bottom"/>
          </w:tcPr>
          <w:p>
            <w:pPr>
              <w:ind w:left="20"/>
              <w:spacing w:after="0" w:line="121" w:lineRule="exact"/>
              <w:rPr>
                <w:sz w:val="20"/>
                <w:szCs w:val="20"/>
                <w:color w:val="auto"/>
              </w:rPr>
            </w:pPr>
            <w:r>
              <w:rPr>
                <w:rFonts w:ascii="Arial" w:cs="Arial" w:eastAsia="Arial" w:hAnsi="Arial"/>
                <w:sz w:val="13"/>
                <w:szCs w:val="13"/>
                <w:color w:val="auto"/>
              </w:rPr>
              <w:t>Net income (loss) attributable to</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82"/>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w:t>
            </w:r>
          </w:p>
        </w:tc>
      </w:tr>
      <w:tr>
        <w:trPr>
          <w:trHeight w:val="175"/>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9,009</w:t>
            </w:r>
          </w:p>
        </w:tc>
      </w:tr>
      <w:tr>
        <w:trPr>
          <w:trHeight w:val="168"/>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benefit (expense)</w:t>
            </w: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(1,308)</w:t>
            </w:r>
          </w:p>
        </w:tc>
      </w:tr>
      <w:tr>
        <w:trPr>
          <w:trHeight w:val="175"/>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7,701</w:t>
            </w:r>
          </w:p>
        </w:tc>
      </w:tr>
      <w:tr>
        <w:trPr>
          <w:trHeight w:val="121"/>
        </w:trPr>
        <w:tc>
          <w:tcPr>
            <w:tcW w:w="2420" w:type="dxa"/>
            <w:vAlign w:val="bottom"/>
          </w:tcPr>
          <w:p>
            <w:pPr>
              <w:ind w:left="20"/>
              <w:spacing w:after="0" w:line="121" w:lineRule="exact"/>
              <w:rPr>
                <w:sz w:val="20"/>
                <w:szCs w:val="20"/>
                <w:color w:val="auto"/>
              </w:rPr>
            </w:pPr>
            <w:r>
              <w:rPr>
                <w:rFonts w:ascii="Arial" w:cs="Arial" w:eastAsia="Arial" w:hAnsi="Arial"/>
                <w:sz w:val="13"/>
                <w:szCs w:val="13"/>
                <w:color w:val="auto"/>
              </w:rPr>
              <w:t>Net loss (income) attributable to</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82"/>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w:t>
            </w:r>
          </w:p>
        </w:tc>
      </w:tr>
      <w:tr>
        <w:trPr>
          <w:trHeight w:val="20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1"/>
              </w:rPr>
              <w:t>Net income (loss) attributable to stockholders</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7,935</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8,509</w:t>
            </w:r>
          </w:p>
        </w:tc>
      </w:tr>
      <w:tr>
        <w:trPr>
          <w:trHeight w:val="166"/>
        </w:trPr>
        <w:tc>
          <w:tcPr>
            <w:tcW w:w="242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8" w:lineRule="exact"/>
        <w:rPr>
          <w:sz w:val="20"/>
          <w:szCs w:val="20"/>
          <w:color w:val="auto"/>
        </w:rPr>
      </w:pPr>
    </w:p>
    <w:p>
      <w:pPr>
        <w:ind w:left="280" w:hanging="273"/>
        <w:spacing w:after="0"/>
        <w:tabs>
          <w:tab w:leader="none" w:pos="2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Consists of the resolution of substantially all royalty matters accrued with respect to past-year vehicle sales in GMNA; and charges related to the one-time modification of Cruise stock incentive awards.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This Management's Discussion and Analysis of Financial Condition and Results of Operations (MD&amp;A) should be read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accompanying condensed consolidated financial statements and the notes thereto, and the audited consolidated financial statements and notes thereto included in our 2022 Form 10-K.</w:t>
      </w:r>
    </w:p>
    <w:p>
      <w:pPr>
        <w:spacing w:after="0" w:line="208"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Part 1, Item 1A. Risk Factors of our 2022 Form 10-K for a discussion of these risks and uncertainties. Except for per share amounts or as otherwise specified, dollar amounts presented within tables are stated in millions. Certain columns and rows may not add due to rounding.</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Non-GAAP Measures </w:t>
      </w:r>
      <w:r>
        <w:rPr>
          <w:rFonts w:ascii="Arial" w:cs="Arial" w:eastAsia="Arial" w:hAnsi="Arial"/>
          <w:sz w:val="18"/>
          <w:szCs w:val="18"/>
          <w:color w:val="auto"/>
        </w:rPr>
        <w:t>Our non-GAAP measures include: EBIT-adjusted, presented net of noncontrolling interests; EBT-adjusted for our GM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7" w:lineRule="exact"/>
        <w:rPr>
          <w:sz w:val="20"/>
          <w:szCs w:val="20"/>
          <w:color w:val="auto"/>
        </w:rPr>
      </w:pPr>
    </w:p>
    <w:p>
      <w:pPr>
        <w:jc w:val="both"/>
        <w:ind w:firstLine="161"/>
        <w:spacing w:after="0" w:line="290"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91"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b w:val="1"/>
          <w:bCs w:val="1"/>
          <w:i w:val="1"/>
          <w:iCs w:val="1"/>
          <w:color w:val="auto"/>
        </w:rPr>
        <w:t xml:space="preserve">EBIT-adjusted </w:t>
      </w:r>
      <w:r>
        <w:rPr>
          <w:rFonts w:ascii="Arial" w:cs="Arial" w:eastAsia="Arial" w:hAnsi="Arial"/>
          <w:sz w:val="18"/>
          <w:szCs w:val="18"/>
          <w:color w:val="auto"/>
        </w:rPr>
        <w:t>EBIT-adjusted is presented net of noncontrolling interests and is used by management and can be used by investors to review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216"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EPS-diluted-adjusted </w:t>
      </w:r>
      <w:r>
        <w:rPr>
          <w:rFonts w:ascii="Arial" w:cs="Arial" w:eastAsia="Arial" w:hAnsi="Arial"/>
          <w:sz w:val="18"/>
          <w:szCs w:val="18"/>
          <w:color w:val="auto"/>
        </w:rPr>
        <w:t>EPS-diluted-adjusted is used by management and can be used by investors to review our consolidated diluted EPS results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21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b w:val="1"/>
          <w:bCs w:val="1"/>
          <w:i w:val="1"/>
          <w:iCs w:val="1"/>
          <w:color w:val="auto"/>
        </w:rPr>
        <w:t xml:space="preserve">ETR-adjusted </w:t>
      </w:r>
      <w:r>
        <w:rPr>
          <w:rFonts w:ascii="Arial" w:cs="Arial" w:eastAsia="Arial" w:hAnsi="Arial"/>
          <w:sz w:val="18"/>
          <w:szCs w:val="18"/>
          <w:color w:val="auto"/>
        </w:rPr>
        <w:t>ETR-adjusted is used by management and can be used by investors to review the consolidated effective tax rate for our core operations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17"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ROIC-adjusted </w:t>
      </w:r>
      <w:r>
        <w:rPr>
          <w:rFonts w:ascii="Arial" w:cs="Arial" w:eastAsia="Arial" w:hAnsi="Arial"/>
          <w:sz w:val="18"/>
          <w:szCs w:val="18"/>
          <w:color w:val="auto"/>
        </w:rPr>
        <w:t>ROIC-adjusted is used by management and can be used by investors to review our investment and capital allocation decisions. We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72" w:lineRule="auto"/>
        <w:rPr>
          <w:sz w:val="20"/>
          <w:szCs w:val="20"/>
          <w:color w:val="auto"/>
        </w:rPr>
      </w:pPr>
      <w:r>
        <w:rPr>
          <w:rFonts w:ascii="Arial" w:cs="Arial" w:eastAsia="Arial" w:hAnsi="Arial"/>
          <w:sz w:val="17"/>
          <w:szCs w:val="17"/>
          <w:b w:val="1"/>
          <w:bCs w:val="1"/>
          <w:i w:val="1"/>
          <w:iCs w:val="1"/>
          <w:color w:val="auto"/>
        </w:rPr>
        <w:t xml:space="preserve">Adjusted automotive free cash flow </w:t>
      </w:r>
      <w:r>
        <w:rPr>
          <w:rFonts w:ascii="Arial" w:cs="Arial" w:eastAsia="Arial" w:hAnsi="Arial"/>
          <w:sz w:val="17"/>
          <w:szCs w:val="17"/>
          <w:color w:val="auto"/>
        </w:rPr>
        <w:t>Adjusted automotive free cash flow is used by management and can be used by investors to review the liquidity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reconciles Net income attributable to stockholders under U.S. GAAP to EBIT-adjusted:</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5"/>
        </w:trPr>
        <w:tc>
          <w:tcPr>
            <w:tcW w:w="3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r>
      <w:tr>
        <w:trPr>
          <w:trHeight w:val="188"/>
        </w:trPr>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39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83"/>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r>
      <w:tr>
        <w:trPr>
          <w:trHeight w:val="228"/>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r>
      <w:tr>
        <w:trPr>
          <w:trHeight w:val="228"/>
        </w:trPr>
        <w:tc>
          <w:tcPr>
            <w:tcW w:w="39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28"/>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expense</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28"/>
        </w:trPr>
        <w:tc>
          <w:tcPr>
            <w:tcW w:w="3980" w:type="dxa"/>
            <w:vAlign w:val="bottom"/>
          </w:tcPr>
          <w:p>
            <w:pPr>
              <w:ind w:left="20"/>
              <w:spacing w:after="0"/>
              <w:rPr>
                <w:sz w:val="20"/>
                <w:szCs w:val="20"/>
                <w:color w:val="auto"/>
              </w:rPr>
            </w:pPr>
            <w:r>
              <w:rPr>
                <w:rFonts w:ascii="Arial" w:cs="Arial" w:eastAsia="Arial" w:hAnsi="Arial"/>
                <w:sz w:val="18"/>
                <w:szCs w:val="18"/>
                <w:color w:val="auto"/>
              </w:rPr>
              <w:t>Automotive interest income</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8"/>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Buick dealer strategy(a)</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Voluntary separation program(b)</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GM Korea wage litigation(c)</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Russia exit(d)</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Cruise compensation modifications(e)</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Patent royalty matters(f)</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GM Brazil indirect tax matters(g)</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22"/>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adjustments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22"/>
        </w:trPr>
        <w:tc>
          <w:tcPr>
            <w:tcW w:w="398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w:t>
            </w:r>
          </w:p>
        </w:tc>
      </w:tr>
      <w:tr>
        <w:trPr>
          <w:trHeight w:val="20"/>
        </w:trPr>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3" w:lineRule="exact"/>
        <w:rPr>
          <w:sz w:val="20"/>
          <w:szCs w:val="20"/>
          <w:color w:val="auto"/>
        </w:rPr>
      </w:pPr>
    </w:p>
    <w:p>
      <w:pPr>
        <w:ind w:left="320" w:hanging="313"/>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strategic activities to transition certain Buick dealers out of our dealer network as part of Buick’s EV strategy.</w:t>
      </w:r>
    </w:p>
    <w:p>
      <w:pPr>
        <w:spacing w:after="0" w:line="34" w:lineRule="exact"/>
        <w:rPr>
          <w:rFonts w:ascii="Arial" w:cs="Arial" w:eastAsia="Arial" w:hAnsi="Arial"/>
          <w:sz w:val="14"/>
          <w:szCs w:val="14"/>
          <w:color w:val="auto"/>
        </w:rPr>
      </w:pPr>
    </w:p>
    <w:p>
      <w:pPr>
        <w:ind w:left="340" w:hanging="333"/>
        <w:spacing w:after="0" w:line="251"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These adjustments were excluded because they relate to the acceleration of attrition as part of the cost reduction program announced in January 2023, primarily in the United States.</w:t>
      </w:r>
    </w:p>
    <w:p>
      <w:pPr>
        <w:spacing w:after="0" w:line="1" w:lineRule="exact"/>
        <w:rPr>
          <w:rFonts w:ascii="Arial" w:cs="Arial" w:eastAsia="Arial" w:hAnsi="Arial"/>
          <w:sz w:val="16"/>
          <w:szCs w:val="16"/>
          <w:color w:val="auto"/>
        </w:rPr>
      </w:pPr>
    </w:p>
    <w:p>
      <w:pPr>
        <w:ind w:left="320" w:hanging="313"/>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adjustment was excluded because it relates to the partial resolution of subcontractor matters in Korea.</w:t>
      </w:r>
    </w:p>
    <w:p>
      <w:pPr>
        <w:spacing w:after="0" w:line="7" w:lineRule="exact"/>
        <w:rPr>
          <w:rFonts w:ascii="Arial" w:cs="Arial" w:eastAsia="Arial" w:hAnsi="Arial"/>
          <w:sz w:val="16"/>
          <w:szCs w:val="16"/>
          <w:color w:val="auto"/>
        </w:rPr>
      </w:pPr>
    </w:p>
    <w:p>
      <w:pPr>
        <w:ind w:left="340" w:hanging="333"/>
        <w:spacing w:after="0" w:line="254"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adjustment was excluded because it relates to the shutdown of our Russia business including the write off of our net investment and release of accumulated translation losses into earnings.</w:t>
      </w:r>
    </w:p>
    <w:p>
      <w:pPr>
        <w:ind w:left="320" w:hanging="313"/>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adjustment was excluded because it relates to the one-time modification of Cruise stock incentive awards.</w:t>
      </w:r>
    </w:p>
    <w:p>
      <w:pPr>
        <w:spacing w:after="0" w:line="14" w:lineRule="exact"/>
        <w:rPr>
          <w:rFonts w:ascii="Arial" w:cs="Arial" w:eastAsia="Arial" w:hAnsi="Arial"/>
          <w:sz w:val="16"/>
          <w:szCs w:val="16"/>
          <w:color w:val="auto"/>
        </w:rPr>
      </w:pPr>
    </w:p>
    <w:p>
      <w:pPr>
        <w:ind w:left="340" w:hanging="333"/>
        <w:spacing w:after="0" w:line="247"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These adjustments were excluded because they relate to certain royalties accrued with respect to past-year vehicle sales in the three months ended December 31, 2021, and the resolution of substantially all of these matters in the three months ended March 31, 2022.</w:t>
      </w:r>
    </w:p>
    <w:p>
      <w:pPr>
        <w:spacing w:after="0" w:line="1" w:lineRule="exact"/>
        <w:rPr>
          <w:rFonts w:ascii="Arial" w:cs="Arial" w:eastAsia="Arial" w:hAnsi="Arial"/>
          <w:sz w:val="16"/>
          <w:szCs w:val="16"/>
          <w:color w:val="auto"/>
        </w:rPr>
      </w:pPr>
    </w:p>
    <w:p>
      <w:pPr>
        <w:ind w:left="340" w:hanging="333"/>
        <w:spacing w:after="0" w:line="268"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adjustment was excluded because it relates to a settlement with third parties in the three months ended December 31, 2021, relating to retrospective recoveries of indirect taxes in Brazil realized in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diluted earnings per common share under U.S. GAAP to EPS-diluted-adjusted: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
        </w:trPr>
        <w:tc>
          <w:tcPr>
            <w:tcW w:w="3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4"/>
          </w:tcPr>
          <w:p>
            <w:pPr>
              <w:spacing w:after="0"/>
              <w:rPr>
                <w:sz w:val="2"/>
                <w:szCs w:val="2"/>
                <w:color w:val="auto"/>
              </w:rPr>
            </w:pPr>
          </w:p>
        </w:tc>
      </w:tr>
      <w:tr>
        <w:trPr>
          <w:trHeight w:val="188"/>
        </w:trPr>
        <w:tc>
          <w:tcPr>
            <w:tcW w:w="36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September 30, 2022</w:t>
            </w:r>
          </w:p>
        </w:tc>
      </w:tr>
      <w:tr>
        <w:trPr>
          <w:trHeight w:val="195"/>
        </w:trPr>
        <w:tc>
          <w:tcPr>
            <w:tcW w:w="36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8"/>
              </w:rPr>
              <w:t>Per Share</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Per Share</w:t>
            </w:r>
          </w:p>
        </w:tc>
      </w:tr>
      <w:tr>
        <w:trPr>
          <w:trHeight w:val="228"/>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85"/>
              </w:rPr>
              <w:t>4.73</w:t>
            </w:r>
          </w:p>
        </w:tc>
      </w:tr>
      <w:tr>
        <w:trPr>
          <w:trHeight w:val="228"/>
        </w:trPr>
        <w:tc>
          <w:tcPr>
            <w:tcW w:w="3680" w:type="dxa"/>
            <w:vAlign w:val="bottom"/>
          </w:tcPr>
          <w:p>
            <w:pPr>
              <w:ind w:left="20"/>
              <w:spacing w:after="0"/>
              <w:rPr>
                <w:sz w:val="20"/>
                <w:szCs w:val="20"/>
                <w:color w:val="auto"/>
              </w:rPr>
            </w:pPr>
            <w:r>
              <w:rPr>
                <w:rFonts w:ascii="Arial" w:cs="Arial" w:eastAsia="Arial" w:hAnsi="Arial"/>
                <w:sz w:val="18"/>
                <w:szCs w:val="18"/>
                <w:color w:val="auto"/>
              </w:rPr>
              <w:t>Adjustments(a)</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left="193"/>
              <w:spacing w:after="0"/>
              <w:rPr>
                <w:sz w:val="20"/>
                <w:szCs w:val="20"/>
                <w:color w:val="auto"/>
              </w:rPr>
            </w:pPr>
            <w:r>
              <w:rPr>
                <w:rFonts w:ascii="Arial" w:cs="Arial" w:eastAsia="Arial" w:hAnsi="Arial"/>
                <w:sz w:val="18"/>
                <w:szCs w:val="18"/>
                <w:color w:val="auto"/>
                <w:w w:val="85"/>
              </w:rPr>
              <w:t>0.65</w:t>
            </w:r>
          </w:p>
        </w:tc>
      </w:tr>
      <w:tr>
        <w:trPr>
          <w:trHeight w:val="228"/>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effect on adjustments(b)</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3"/>
              </w:rPr>
              <w:t>(0.20)</w:t>
            </w:r>
          </w:p>
        </w:tc>
      </w:tr>
      <w:tr>
        <w:trPr>
          <w:trHeight w:val="228"/>
        </w:trPr>
        <w:tc>
          <w:tcPr>
            <w:tcW w:w="3680" w:type="dxa"/>
            <w:vAlign w:val="bottom"/>
          </w:tcPr>
          <w:p>
            <w:pPr>
              <w:ind w:left="20"/>
              <w:spacing w:after="0"/>
              <w:rPr>
                <w:sz w:val="20"/>
                <w:szCs w:val="20"/>
                <w:color w:val="auto"/>
              </w:rPr>
            </w:pPr>
            <w:r>
              <w:rPr>
                <w:rFonts w:ascii="Arial" w:cs="Arial" w:eastAsia="Arial" w:hAnsi="Arial"/>
                <w:sz w:val="18"/>
                <w:szCs w:val="18"/>
                <w:color w:val="auto"/>
              </w:rPr>
              <w:t>Tax adjustments(c)</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left="173"/>
              <w:spacing w:after="0"/>
              <w:rPr>
                <w:sz w:val="20"/>
                <w:szCs w:val="20"/>
                <w:color w:val="auto"/>
              </w:rPr>
            </w:pPr>
            <w:r>
              <w:rPr>
                <w:rFonts w:ascii="Arial" w:cs="Arial" w:eastAsia="Arial" w:hAnsi="Arial"/>
                <w:sz w:val="18"/>
                <w:szCs w:val="18"/>
                <w:color w:val="auto"/>
                <w:w w:val="93"/>
              </w:rPr>
              <w:t>(0.33)</w:t>
            </w:r>
          </w:p>
        </w:tc>
      </w:tr>
      <w:tr>
        <w:trPr>
          <w:trHeight w:val="228"/>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Deemed dividend adjustment(d)</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85"/>
              </w:rPr>
              <w:t>0.62</w:t>
            </w:r>
          </w:p>
        </w:tc>
      </w:tr>
      <w:tr>
        <w:trPr>
          <w:trHeight w:val="222"/>
        </w:trPr>
        <w:tc>
          <w:tcPr>
            <w:tcW w:w="3680" w:type="dxa"/>
            <w:vAlign w:val="bottom"/>
          </w:tcPr>
          <w:p>
            <w:pPr>
              <w:ind w:left="20"/>
              <w:spacing w:after="0"/>
              <w:rPr>
                <w:sz w:val="20"/>
                <w:szCs w:val="20"/>
                <w:color w:val="auto"/>
              </w:rPr>
            </w:pPr>
            <w:r>
              <w:rPr>
                <w:rFonts w:ascii="Arial" w:cs="Arial" w:eastAsia="Arial" w:hAnsi="Arial"/>
                <w:sz w:val="18"/>
                <w:szCs w:val="18"/>
                <w:color w:val="auto"/>
              </w:rPr>
              <w:t>EPS-diluted-adjusted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8,889</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8,019</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center"/>
              <w:ind w:left="193"/>
              <w:spacing w:after="0"/>
              <w:rPr>
                <w:sz w:val="20"/>
                <w:szCs w:val="20"/>
                <w:color w:val="auto"/>
              </w:rPr>
            </w:pPr>
            <w:r>
              <w:rPr>
                <w:rFonts w:ascii="Arial" w:cs="Arial" w:eastAsia="Arial" w:hAnsi="Arial"/>
                <w:sz w:val="18"/>
                <w:szCs w:val="18"/>
                <w:color w:val="auto"/>
                <w:w w:val="85"/>
              </w:rPr>
              <w:t>5.48</w:t>
            </w:r>
          </w:p>
        </w:tc>
      </w:tr>
      <w:tr>
        <w:trPr>
          <w:trHeight w:val="20"/>
        </w:trPr>
        <w:tc>
          <w:tcPr>
            <w:tcW w:w="3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340" w:hanging="333"/>
        <w:spacing w:after="0" w:line="251" w:lineRule="auto"/>
        <w:tabs>
          <w:tab w:leader="none" w:pos="331"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Refer to the reconciliation of Net income attributable to stockholders under U.S. GAAP to EBIT-adjusted within this section of MD&amp;A for the details of each individual adjustment.</w:t>
      </w:r>
    </w:p>
    <w:p>
      <w:pPr>
        <w:spacing w:after="0" w:line="1" w:lineRule="exact"/>
        <w:rPr>
          <w:rFonts w:ascii="Arial" w:cs="Arial" w:eastAsia="Arial" w:hAnsi="Arial"/>
          <w:sz w:val="16"/>
          <w:szCs w:val="16"/>
          <w:color w:val="auto"/>
        </w:rPr>
      </w:pPr>
    </w:p>
    <w:p>
      <w:pPr>
        <w:ind w:left="320" w:hanging="313"/>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to which the adjustment relates.</w:t>
      </w:r>
    </w:p>
    <w:p>
      <w:pPr>
        <w:spacing w:after="0" w:line="4" w:lineRule="exact"/>
        <w:rPr>
          <w:rFonts w:ascii="Arial" w:cs="Arial" w:eastAsia="Arial" w:hAnsi="Arial"/>
          <w:sz w:val="16"/>
          <w:szCs w:val="16"/>
          <w:color w:val="auto"/>
        </w:rPr>
      </w:pPr>
    </w:p>
    <w:p>
      <w:pPr>
        <w:jc w:val="both"/>
        <w:ind w:left="340" w:hanging="333"/>
        <w:spacing w:after="0" w:line="222" w:lineRule="auto"/>
        <w:tabs>
          <w:tab w:leader="none" w:pos="33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adjustment consists of tax benefit related to the release of a valuation allowance against deferred tax assets considered realizable as a result of Cruise tax reconsolidation in the nine months ended September 30, 2022. This adjustment was excluded because significant impacts of valuation allowances are not considered part of our core operations.</w:t>
      </w:r>
    </w:p>
    <w:p>
      <w:pPr>
        <w:ind w:left="320" w:hanging="313"/>
        <w:spacing w:after="0"/>
        <w:tabs>
          <w:tab w:leader="none" w:pos="3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This adjustment consists of a deemed dividend related to the redemption of Cruise preferred shares from SoftBank in the nine months ended September 30, 2022.</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1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2320" w:type="dxa"/>
            <w:vAlign w:val="bottom"/>
            <w:gridSpan w:val="7"/>
          </w:tcPr>
          <w:p>
            <w:pPr>
              <w:spacing w:after="0"/>
              <w:rPr>
                <w:sz w:val="2"/>
                <w:szCs w:val="2"/>
                <w:color w:val="auto"/>
              </w:rPr>
            </w:pPr>
          </w:p>
        </w:tc>
        <w:tc>
          <w:tcPr>
            <w:tcW w:w="2360" w:type="dxa"/>
            <w:vAlign w:val="bottom"/>
            <w:gridSpan w:val="7"/>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gridSpan w:val="6"/>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540" w:type="dxa"/>
            <w:vAlign w:val="bottom"/>
          </w:tcPr>
          <w:p>
            <w:pPr>
              <w:spacing w:after="0"/>
              <w:rPr>
                <w:sz w:val="16"/>
                <w:szCs w:val="16"/>
                <w:color w:val="auto"/>
              </w:rPr>
            </w:pPr>
          </w:p>
        </w:tc>
        <w:tc>
          <w:tcPr>
            <w:tcW w:w="2320" w:type="dxa"/>
            <w:vAlign w:val="bottom"/>
            <w:tcBorders>
              <w:top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September 30, 2023</w:t>
            </w:r>
          </w:p>
        </w:tc>
        <w:tc>
          <w:tcPr>
            <w:tcW w:w="2260" w:type="dxa"/>
            <w:vAlign w:val="bottom"/>
            <w:tcBorders>
              <w:top w:val="single" w:sz="8" w:color="auto"/>
            </w:tcBorders>
            <w:gridSpan w:val="6"/>
          </w:tcPr>
          <w:p>
            <w:pPr>
              <w:jc w:val="right"/>
              <w:ind w:right="468"/>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1"/>
              </w:rPr>
              <w:t>September 30, 2023</w:t>
            </w:r>
          </w:p>
        </w:tc>
        <w:tc>
          <w:tcPr>
            <w:tcW w:w="14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gridSpan w:val="5"/>
          </w:tcPr>
          <w:p>
            <w:pPr>
              <w:jc w:val="center"/>
              <w:ind w:right="88"/>
              <w:spacing w:after="0"/>
              <w:rPr>
                <w:sz w:val="20"/>
                <w:szCs w:val="20"/>
                <w:color w:val="auto"/>
              </w:rPr>
            </w:pPr>
            <w:r>
              <w:rPr>
                <w:rFonts w:ascii="Arial" w:cs="Arial" w:eastAsia="Arial" w:hAnsi="Arial"/>
                <w:sz w:val="14"/>
                <w:szCs w:val="14"/>
                <w:b w:val="1"/>
                <w:bCs w:val="1"/>
                <w:color w:val="auto"/>
                <w:w w:val="91"/>
              </w:rPr>
              <w:t>September 30, 2022</w:t>
            </w: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740" w:type="dxa"/>
            <w:vAlign w:val="bottom"/>
            <w:tcBorders>
              <w:top w:val="single" w:sz="8" w:color="auto"/>
            </w:tcBorders>
            <w:gridSpan w:val="2"/>
          </w:tcPr>
          <w:p>
            <w:pPr>
              <w:jc w:val="center"/>
              <w:ind w:right="120"/>
              <w:spacing w:after="0" w:line="121" w:lineRule="exact"/>
              <w:rPr>
                <w:sz w:val="20"/>
                <w:szCs w:val="20"/>
                <w:color w:val="auto"/>
              </w:rPr>
            </w:pPr>
            <w:r>
              <w:rPr>
                <w:rFonts w:ascii="Arial" w:cs="Arial" w:eastAsia="Arial" w:hAnsi="Arial"/>
                <w:sz w:val="13"/>
                <w:szCs w:val="13"/>
                <w:b w:val="1"/>
                <w:bCs w:val="1"/>
                <w:color w:val="auto"/>
                <w:w w:val="83"/>
              </w:rPr>
              <w:t>Income</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41"/>
              <w:spacing w:after="0" w:line="121" w:lineRule="exact"/>
              <w:rPr>
                <w:sz w:val="20"/>
                <w:szCs w:val="20"/>
                <w:color w:val="auto"/>
              </w:rPr>
            </w:pPr>
            <w:r>
              <w:rPr>
                <w:rFonts w:ascii="Arial" w:cs="Arial" w:eastAsia="Arial" w:hAnsi="Arial"/>
                <w:sz w:val="13"/>
                <w:szCs w:val="13"/>
                <w:b w:val="1"/>
                <w:bCs w:val="1"/>
                <w:color w:val="auto"/>
                <w:w w:val="87"/>
              </w:rPr>
              <w:t>Income</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gridSpan w:val="2"/>
          </w:tcPr>
          <w:p>
            <w:pPr>
              <w:jc w:val="center"/>
              <w:ind w:right="100"/>
              <w:spacing w:after="0" w:line="121" w:lineRule="exact"/>
              <w:rPr>
                <w:sz w:val="20"/>
                <w:szCs w:val="20"/>
                <w:color w:val="auto"/>
              </w:rPr>
            </w:pPr>
            <w:r>
              <w:rPr>
                <w:rFonts w:ascii="Arial" w:cs="Arial" w:eastAsia="Arial" w:hAnsi="Arial"/>
                <w:sz w:val="13"/>
                <w:szCs w:val="13"/>
                <w:b w:val="1"/>
                <w:bCs w:val="1"/>
                <w:color w:val="auto"/>
                <w:w w:val="87"/>
              </w:rPr>
              <w:t>Income</w:t>
            </w:r>
          </w:p>
        </w:tc>
        <w:tc>
          <w:tcPr>
            <w:tcW w:w="6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w w:val="88"/>
              </w:rPr>
              <w:t>Income tax</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Income</w:t>
            </w:r>
          </w:p>
        </w:tc>
        <w:tc>
          <w:tcPr>
            <w:tcW w:w="6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Income tax</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7"/>
              </w:rPr>
              <w:t>Income</w:t>
            </w:r>
          </w:p>
        </w:tc>
        <w:tc>
          <w:tcPr>
            <w:tcW w:w="6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Income tax</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740" w:type="dxa"/>
            <w:vAlign w:val="bottom"/>
            <w:gridSpan w:val="2"/>
          </w:tcPr>
          <w:p>
            <w:pPr>
              <w:jc w:val="center"/>
              <w:ind w:right="120"/>
              <w:spacing w:after="0" w:line="121" w:lineRule="exact"/>
              <w:rPr>
                <w:sz w:val="20"/>
                <w:szCs w:val="20"/>
                <w:color w:val="auto"/>
              </w:rPr>
            </w:pPr>
            <w:r>
              <w:rPr>
                <w:rFonts w:ascii="Arial" w:cs="Arial" w:eastAsia="Arial" w:hAnsi="Arial"/>
                <w:sz w:val="13"/>
                <w:szCs w:val="13"/>
                <w:b w:val="1"/>
                <w:bCs w:val="1"/>
                <w:color w:val="auto"/>
                <w:w w:val="85"/>
              </w:rPr>
              <w:t>before</w:t>
            </w:r>
          </w:p>
        </w:tc>
        <w:tc>
          <w:tcPr>
            <w:tcW w:w="100" w:type="dxa"/>
            <w:vAlign w:val="bottom"/>
          </w:tcPr>
          <w:p>
            <w:pPr>
              <w:spacing w:after="0"/>
              <w:rPr>
                <w:sz w:val="10"/>
                <w:szCs w:val="10"/>
                <w:color w:val="auto"/>
              </w:rPr>
            </w:pPr>
          </w:p>
        </w:tc>
        <w:tc>
          <w:tcPr>
            <w:tcW w:w="520" w:type="dxa"/>
            <w:vAlign w:val="bottom"/>
          </w:tcPr>
          <w:p>
            <w:pPr>
              <w:jc w:val="center"/>
              <w:ind w:right="21"/>
              <w:spacing w:after="0" w:line="121" w:lineRule="exact"/>
              <w:rPr>
                <w:sz w:val="20"/>
                <w:szCs w:val="20"/>
                <w:color w:val="auto"/>
              </w:rPr>
            </w:pPr>
            <w:r>
              <w:rPr>
                <w:rFonts w:ascii="Arial" w:cs="Arial" w:eastAsia="Arial" w:hAnsi="Arial"/>
                <w:sz w:val="13"/>
                <w:szCs w:val="13"/>
                <w:b w:val="1"/>
                <w:bCs w:val="1"/>
                <w:color w:val="auto"/>
                <w:w w:val="95"/>
              </w:rPr>
              <w:t>tax</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20"/>
              <w:spacing w:after="0" w:line="121" w:lineRule="exact"/>
              <w:rPr>
                <w:sz w:val="20"/>
                <w:szCs w:val="20"/>
                <w:color w:val="auto"/>
              </w:rPr>
            </w:pPr>
            <w:r>
              <w:rPr>
                <w:rFonts w:ascii="Arial" w:cs="Arial" w:eastAsia="Arial" w:hAnsi="Arial"/>
                <w:sz w:val="13"/>
                <w:szCs w:val="13"/>
                <w:b w:val="1"/>
                <w:bCs w:val="1"/>
                <w:color w:val="auto"/>
                <w:w w:val="85"/>
              </w:rPr>
              <w:t>before</w:t>
            </w: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40" w:type="dxa"/>
            <w:vAlign w:val="bottom"/>
          </w:tcPr>
          <w:p>
            <w:pPr>
              <w:spacing w:after="0"/>
              <w:rPr>
                <w:sz w:val="11"/>
                <w:szCs w:val="11"/>
                <w:color w:val="auto"/>
              </w:rPr>
            </w:pPr>
          </w:p>
        </w:tc>
        <w:tc>
          <w:tcPr>
            <w:tcW w:w="740" w:type="dxa"/>
            <w:vAlign w:val="bottom"/>
            <w:gridSpan w:val="2"/>
          </w:tcPr>
          <w:p>
            <w:pPr>
              <w:jc w:val="center"/>
              <w:ind w:right="120"/>
              <w:spacing w:after="0" w:line="134" w:lineRule="exact"/>
              <w:rPr>
                <w:sz w:val="20"/>
                <w:szCs w:val="20"/>
                <w:color w:val="auto"/>
              </w:rPr>
            </w:pPr>
            <w:r>
              <w:rPr>
                <w:rFonts w:ascii="Arial" w:cs="Arial" w:eastAsia="Arial" w:hAnsi="Arial"/>
                <w:sz w:val="13"/>
                <w:szCs w:val="13"/>
                <w:b w:val="1"/>
                <w:bCs w:val="1"/>
                <w:color w:val="auto"/>
                <w:w w:val="83"/>
              </w:rPr>
              <w:t>income</w:t>
            </w:r>
          </w:p>
        </w:tc>
        <w:tc>
          <w:tcPr>
            <w:tcW w:w="62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0"/>
              </w:rPr>
              <w:t>expense</w:t>
            </w:r>
          </w:p>
        </w:tc>
        <w:tc>
          <w:tcPr>
            <w:tcW w:w="100" w:type="dxa"/>
            <w:vAlign w:val="bottom"/>
          </w:tcPr>
          <w:p>
            <w:pPr>
              <w:spacing w:after="0"/>
              <w:rPr>
                <w:sz w:val="11"/>
                <w:szCs w:val="11"/>
                <w:color w:val="auto"/>
              </w:rPr>
            </w:pPr>
          </w:p>
        </w:tc>
        <w:tc>
          <w:tcPr>
            <w:tcW w:w="860" w:type="dxa"/>
            <w:vAlign w:val="bottom"/>
            <w:gridSpan w:val="2"/>
          </w:tcPr>
          <w:p>
            <w:pPr>
              <w:jc w:val="center"/>
              <w:ind w:right="120"/>
              <w:spacing w:after="0" w:line="134" w:lineRule="exact"/>
              <w:rPr>
                <w:sz w:val="20"/>
                <w:szCs w:val="20"/>
                <w:color w:val="auto"/>
              </w:rPr>
            </w:pPr>
            <w:r>
              <w:rPr>
                <w:rFonts w:ascii="Arial" w:cs="Arial" w:eastAsia="Arial" w:hAnsi="Arial"/>
                <w:sz w:val="13"/>
                <w:szCs w:val="13"/>
                <w:b w:val="1"/>
                <w:bCs w:val="1"/>
                <w:color w:val="auto"/>
                <w:w w:val="86"/>
              </w:rPr>
              <w:t>Effective tax</w:t>
            </w:r>
          </w:p>
        </w:tc>
        <w:tc>
          <w:tcPr>
            <w:tcW w:w="740" w:type="dxa"/>
            <w:vAlign w:val="bottom"/>
            <w:gridSpan w:val="2"/>
          </w:tcPr>
          <w:p>
            <w:pPr>
              <w:jc w:val="center"/>
              <w:ind w:right="120"/>
              <w:spacing w:after="0" w:line="134" w:lineRule="exact"/>
              <w:rPr>
                <w:sz w:val="20"/>
                <w:szCs w:val="20"/>
                <w:color w:val="auto"/>
              </w:rPr>
            </w:pPr>
            <w:r>
              <w:rPr>
                <w:rFonts w:ascii="Arial" w:cs="Arial" w:eastAsia="Arial" w:hAnsi="Arial"/>
                <w:sz w:val="13"/>
                <w:szCs w:val="13"/>
                <w:b w:val="1"/>
                <w:bCs w:val="1"/>
                <w:color w:val="auto"/>
                <w:w w:val="83"/>
              </w:rPr>
              <w:t>income</w:t>
            </w:r>
          </w:p>
        </w:tc>
        <w:tc>
          <w:tcPr>
            <w:tcW w:w="120" w:type="dxa"/>
            <w:vAlign w:val="bottom"/>
          </w:tcPr>
          <w:p>
            <w:pPr>
              <w:spacing w:after="0"/>
              <w:rPr>
                <w:sz w:val="11"/>
                <w:szCs w:val="11"/>
                <w:color w:val="auto"/>
              </w:rPr>
            </w:pPr>
          </w:p>
        </w:tc>
        <w:tc>
          <w:tcPr>
            <w:tcW w:w="520" w:type="dxa"/>
            <w:vAlign w:val="bottom"/>
          </w:tcPr>
          <w:p>
            <w:pPr>
              <w:jc w:val="right"/>
              <w:ind w:right="38"/>
              <w:spacing w:after="0" w:line="134" w:lineRule="exact"/>
              <w:rPr>
                <w:sz w:val="20"/>
                <w:szCs w:val="20"/>
                <w:color w:val="auto"/>
              </w:rPr>
            </w:pPr>
            <w:r>
              <w:rPr>
                <w:rFonts w:ascii="Arial" w:cs="Arial" w:eastAsia="Arial" w:hAnsi="Arial"/>
                <w:sz w:val="13"/>
                <w:szCs w:val="13"/>
                <w:b w:val="1"/>
                <w:bCs w:val="1"/>
                <w:color w:val="auto"/>
                <w:w w:val="72"/>
              </w:rPr>
              <w:t>expense</w:t>
            </w:r>
          </w:p>
        </w:tc>
        <w:tc>
          <w:tcPr>
            <w:tcW w:w="100" w:type="dxa"/>
            <w:vAlign w:val="bottom"/>
          </w:tcPr>
          <w:p>
            <w:pPr>
              <w:spacing w:after="0"/>
              <w:rPr>
                <w:sz w:val="11"/>
                <w:szCs w:val="11"/>
                <w:color w:val="auto"/>
              </w:rPr>
            </w:pPr>
          </w:p>
        </w:tc>
        <w:tc>
          <w:tcPr>
            <w:tcW w:w="880" w:type="dxa"/>
            <w:vAlign w:val="bottom"/>
            <w:gridSpan w:val="2"/>
          </w:tcPr>
          <w:p>
            <w:pPr>
              <w:jc w:val="center"/>
              <w:ind w:right="120"/>
              <w:spacing w:after="0" w:line="134" w:lineRule="exact"/>
              <w:rPr>
                <w:sz w:val="20"/>
                <w:szCs w:val="20"/>
                <w:color w:val="auto"/>
              </w:rPr>
            </w:pPr>
            <w:r>
              <w:rPr>
                <w:rFonts w:ascii="Arial" w:cs="Arial" w:eastAsia="Arial" w:hAnsi="Arial"/>
                <w:sz w:val="13"/>
                <w:szCs w:val="13"/>
                <w:b w:val="1"/>
                <w:bCs w:val="1"/>
                <w:color w:val="auto"/>
                <w:w w:val="88"/>
              </w:rPr>
              <w:t>Effective tax</w:t>
            </w:r>
          </w:p>
        </w:tc>
        <w:tc>
          <w:tcPr>
            <w:tcW w:w="140" w:type="dxa"/>
            <w:vAlign w:val="bottom"/>
          </w:tcPr>
          <w:p>
            <w:pPr>
              <w:spacing w:after="0"/>
              <w:rPr>
                <w:sz w:val="11"/>
                <w:szCs w:val="11"/>
                <w:color w:val="auto"/>
              </w:rPr>
            </w:pPr>
          </w:p>
        </w:tc>
        <w:tc>
          <w:tcPr>
            <w:tcW w:w="720" w:type="dxa"/>
            <w:vAlign w:val="bottom"/>
            <w:gridSpan w:val="2"/>
          </w:tcPr>
          <w:p>
            <w:pPr>
              <w:jc w:val="center"/>
              <w:ind w:right="260"/>
              <w:spacing w:after="0" w:line="134" w:lineRule="exact"/>
              <w:rPr>
                <w:sz w:val="20"/>
                <w:szCs w:val="20"/>
                <w:color w:val="auto"/>
              </w:rPr>
            </w:pPr>
            <w:r>
              <w:rPr>
                <w:rFonts w:ascii="Arial" w:cs="Arial" w:eastAsia="Arial" w:hAnsi="Arial"/>
                <w:sz w:val="13"/>
                <w:szCs w:val="13"/>
                <w:b w:val="1"/>
                <w:bCs w:val="1"/>
                <w:color w:val="auto"/>
                <w:w w:val="85"/>
              </w:rPr>
              <w:t>before</w:t>
            </w:r>
          </w:p>
        </w:tc>
        <w:tc>
          <w:tcPr>
            <w:tcW w:w="6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0"/>
              </w:rPr>
              <w:t>expense</w:t>
            </w:r>
          </w:p>
        </w:tc>
        <w:tc>
          <w:tcPr>
            <w:tcW w:w="100" w:type="dxa"/>
            <w:vAlign w:val="bottom"/>
          </w:tcPr>
          <w:p>
            <w:pPr>
              <w:spacing w:after="0"/>
              <w:rPr>
                <w:sz w:val="11"/>
                <w:szCs w:val="11"/>
                <w:color w:val="auto"/>
              </w:rPr>
            </w:pPr>
          </w:p>
        </w:tc>
        <w:tc>
          <w:tcPr>
            <w:tcW w:w="880" w:type="dxa"/>
            <w:vAlign w:val="bottom"/>
            <w:gridSpan w:val="2"/>
          </w:tcPr>
          <w:p>
            <w:pPr>
              <w:jc w:val="center"/>
              <w:ind w:right="120"/>
              <w:spacing w:after="0" w:line="134" w:lineRule="exact"/>
              <w:rPr>
                <w:sz w:val="20"/>
                <w:szCs w:val="20"/>
                <w:color w:val="auto"/>
              </w:rPr>
            </w:pPr>
            <w:r>
              <w:rPr>
                <w:rFonts w:ascii="Arial" w:cs="Arial" w:eastAsia="Arial" w:hAnsi="Arial"/>
                <w:sz w:val="13"/>
                <w:szCs w:val="13"/>
                <w:b w:val="1"/>
                <w:bCs w:val="1"/>
                <w:color w:val="auto"/>
                <w:w w:val="88"/>
              </w:rPr>
              <w:t>Effective tax</w:t>
            </w:r>
          </w:p>
        </w:tc>
        <w:tc>
          <w:tcPr>
            <w:tcW w:w="140" w:type="dxa"/>
            <w:vAlign w:val="bottom"/>
          </w:tcPr>
          <w:p>
            <w:pPr>
              <w:spacing w:after="0"/>
              <w:rPr>
                <w:sz w:val="11"/>
                <w:szCs w:val="11"/>
                <w:color w:val="auto"/>
              </w:rPr>
            </w:pPr>
          </w:p>
        </w:tc>
        <w:tc>
          <w:tcPr>
            <w:tcW w:w="740" w:type="dxa"/>
            <w:vAlign w:val="bottom"/>
            <w:gridSpan w:val="2"/>
          </w:tcPr>
          <w:p>
            <w:pPr>
              <w:jc w:val="center"/>
              <w:ind w:right="280"/>
              <w:spacing w:after="0" w:line="134" w:lineRule="exact"/>
              <w:rPr>
                <w:sz w:val="20"/>
                <w:szCs w:val="20"/>
                <w:color w:val="auto"/>
              </w:rPr>
            </w:pPr>
            <w:r>
              <w:rPr>
                <w:rFonts w:ascii="Arial" w:cs="Arial" w:eastAsia="Arial" w:hAnsi="Arial"/>
                <w:sz w:val="13"/>
                <w:szCs w:val="13"/>
                <w:b w:val="1"/>
                <w:bCs w:val="1"/>
                <w:color w:val="auto"/>
                <w:w w:val="85"/>
              </w:rPr>
              <w:t>before</w:t>
            </w:r>
          </w:p>
        </w:tc>
        <w:tc>
          <w:tcPr>
            <w:tcW w:w="6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0"/>
              </w:rPr>
              <w:t>expense</w:t>
            </w:r>
          </w:p>
        </w:tc>
        <w:tc>
          <w:tcPr>
            <w:tcW w:w="10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w w:val="91"/>
              </w:rPr>
              <w:t>Effective tax</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8"/>
              </w:rPr>
              <w:t>taxes</w:t>
            </w: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(benefit)</w:t>
            </w:r>
          </w:p>
        </w:tc>
        <w:tc>
          <w:tcPr>
            <w:tcW w:w="1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rate</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8"/>
              </w:rPr>
              <w:t>taxes</w:t>
            </w:r>
          </w:p>
        </w:tc>
        <w:tc>
          <w:tcPr>
            <w:tcW w:w="640" w:type="dxa"/>
            <w:vAlign w:val="bottom"/>
            <w:gridSpan w:val="2"/>
          </w:tcPr>
          <w:p>
            <w:pPr>
              <w:jc w:val="right"/>
              <w:ind w:right="18"/>
              <w:spacing w:after="0"/>
              <w:rPr>
                <w:sz w:val="20"/>
                <w:szCs w:val="20"/>
                <w:color w:val="auto"/>
              </w:rPr>
            </w:pPr>
            <w:r>
              <w:rPr>
                <w:rFonts w:ascii="Arial" w:cs="Arial" w:eastAsia="Arial" w:hAnsi="Arial"/>
                <w:sz w:val="13"/>
                <w:szCs w:val="13"/>
                <w:b w:val="1"/>
                <w:bCs w:val="1"/>
                <w:color w:val="auto"/>
              </w:rPr>
              <w:t>(benefit)</w:t>
            </w: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rate</w:t>
            </w: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income taxes</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9"/>
              </w:rPr>
              <w:t>(benefit)</w:t>
            </w: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rate</w:t>
            </w: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income taxes</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5"/>
              </w:rPr>
              <w:t>(benefit)</w:t>
            </w:r>
          </w:p>
        </w:tc>
        <w:tc>
          <w:tcPr>
            <w:tcW w:w="100" w:type="dxa"/>
            <w:vAlign w:val="bottom"/>
          </w:tcPr>
          <w:p>
            <w:pPr>
              <w:spacing w:after="0"/>
              <w:rPr>
                <w:sz w:val="14"/>
                <w:szCs w:val="14"/>
                <w:color w:val="auto"/>
              </w:rPr>
            </w:pPr>
          </w:p>
        </w:tc>
        <w:tc>
          <w:tcPr>
            <w:tcW w:w="780" w:type="dxa"/>
            <w:vAlign w:val="bottom"/>
          </w:tcPr>
          <w:p>
            <w:pPr>
              <w:jc w:val="right"/>
              <w:ind w:right="208"/>
              <w:spacing w:after="0"/>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228"/>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6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w w:val="89"/>
              </w:rPr>
              <w:t>$ 3,464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470</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w w:val="89"/>
              </w:rPr>
              <w:t>$ 4,097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9,267</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3"/>
              </w:rPr>
              <w:t>$ 1,421</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2"/>
              </w:rPr>
              <w:t>15.3 %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9,009</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3"/>
              </w:rPr>
              <w:t>$ 1,308</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28"/>
        </w:trPr>
        <w:tc>
          <w:tcPr>
            <w:tcW w:w="1540" w:type="dxa"/>
            <w:vAlign w:val="bottom"/>
          </w:tcPr>
          <w:p>
            <w:pPr>
              <w:ind w:left="20"/>
              <w:spacing w:after="0"/>
              <w:rPr>
                <w:sz w:val="20"/>
                <w:szCs w:val="20"/>
                <w:color w:val="auto"/>
              </w:rPr>
            </w:pPr>
            <w:r>
              <w:rPr>
                <w:rFonts w:ascii="Arial" w:cs="Arial" w:eastAsia="Arial" w:hAnsi="Arial"/>
                <w:sz w:val="18"/>
                <w:szCs w:val="18"/>
                <w:color w:val="auto"/>
              </w:rPr>
              <w:t>Adjustments(a)</w:t>
            </w:r>
          </w:p>
        </w:tc>
        <w:tc>
          <w:tcPr>
            <w:tcW w:w="640" w:type="dxa"/>
            <w:vAlign w:val="bottom"/>
          </w:tcPr>
          <w:p>
            <w:pPr>
              <w:jc w:val="right"/>
              <w:ind w:right="6"/>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2"/>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2"/>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Tax adjustments(b)</w:t>
            </w: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40" w:type="dxa"/>
            <w:vAlign w:val="bottom"/>
          </w:tcPr>
          <w:p>
            <w:pPr>
              <w:ind w:left="20"/>
              <w:spacing w:after="0"/>
              <w:rPr>
                <w:sz w:val="20"/>
                <w:szCs w:val="20"/>
                <w:color w:val="auto"/>
              </w:rPr>
            </w:pPr>
            <w:r>
              <w:rPr>
                <w:rFonts w:ascii="Arial" w:cs="Arial" w:eastAsia="Arial" w:hAnsi="Arial"/>
                <w:sz w:val="18"/>
                <w:szCs w:val="18"/>
                <w:color w:val="auto"/>
              </w:rPr>
              <w:t>ETR-adjusted</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w w:val="89"/>
              </w:rPr>
              <w:t>$ 3,587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495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w w:val="89"/>
              </w:rPr>
              <w:t>$ 4,097</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w w:val="94"/>
              </w:rPr>
              <w:t>10,534</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w w:val="93"/>
              </w:rPr>
              <w:t>$ 1,745</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w w:val="92"/>
              </w:rPr>
              <w:t>16.6 %</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w w:val="94"/>
              </w:rPr>
              <w:t>10,062</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w w:val="93"/>
              </w:rPr>
              <w:t>$ 2,086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jc w:val="both"/>
        <w:ind w:left="340" w:hanging="333"/>
        <w:spacing w:after="0" w:line="264" w:lineRule="auto"/>
        <w:tabs>
          <w:tab w:leader="none" w:pos="331"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Refer to the reconciliation of Net income attributable to stockholders under U.S. GAAP to EBIT-adjusted within adjustments include Net income attributable to noncontrolling interests where applicable. The tax effect of each</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firstLine="2"/>
        <w:spacing w:after="0" w:line="293" w:lineRule="auto"/>
        <w:rPr>
          <w:sz w:val="20"/>
          <w:szCs w:val="20"/>
          <w:color w:val="auto"/>
        </w:rPr>
      </w:pPr>
      <w:r>
        <w:rPr>
          <w:rFonts w:ascii="Arial" w:cs="Arial" w:eastAsia="Arial" w:hAnsi="Arial"/>
          <w:sz w:val="14"/>
          <w:szCs w:val="14"/>
          <w:color w:val="auto"/>
        </w:rPr>
        <w:t>this section of MD&amp;A for adjustment details. These adjustment is determined based on the tax laws and</w:t>
      </w:r>
    </w:p>
    <w:p>
      <w:pPr>
        <w:spacing w:after="0" w:line="1" w:lineRule="exact"/>
        <w:rPr>
          <w:sz w:val="20"/>
          <w:szCs w:val="20"/>
          <w:color w:val="auto"/>
        </w:rPr>
      </w:pPr>
    </w:p>
    <w:p>
      <w:pPr>
        <w:sectPr>
          <w:pgSz w:w="11900" w:h="16838" w:orient="portrait"/>
          <w:cols w:equalWidth="0" w:num="2">
            <w:col w:w="7740" w:space="60"/>
            <w:col w:w="3440"/>
          </w:cols>
          <w:pgMar w:left="320" w:top="125"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valuation allowance status of the jurisdiction to which the adjustment relates.</w:t>
      </w:r>
    </w:p>
    <w:p>
      <w:pPr>
        <w:spacing w:after="0" w:line="14"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Refer to the reconciliation of diluted earnings per common share under U.S. GAAP to EPS-diluted-adjusted within this section of MD&amp;A for adjustment details.</w:t>
      </w:r>
    </w:p>
    <w:p>
      <w:pPr>
        <w:spacing w:after="0" w:line="228"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0" w:type="dxa"/>
            <w:vAlign w:val="bottom"/>
            <w:gridSpan w:val="4"/>
          </w:tcPr>
          <w:p>
            <w:pPr>
              <w:jc w:val="right"/>
              <w:ind w:right="1395"/>
              <w:spacing w:after="0"/>
              <w:rPr>
                <w:sz w:val="20"/>
                <w:szCs w:val="20"/>
                <w:color w:val="auto"/>
              </w:rPr>
            </w:pPr>
            <w:r>
              <w:rPr>
                <w:rFonts w:ascii="Arial" w:cs="Arial" w:eastAsia="Arial" w:hAnsi="Arial"/>
                <w:sz w:val="14"/>
                <w:szCs w:val="14"/>
                <w:b w:val="1"/>
                <w:bCs w:val="1"/>
                <w:color w:val="auto"/>
              </w:rPr>
              <w:t>Four Quarters Ended</w:t>
            </w:r>
          </w:p>
        </w:tc>
      </w:tr>
      <w:tr>
        <w:trPr>
          <w:trHeight w:val="25"/>
        </w:trPr>
        <w:tc>
          <w:tcPr>
            <w:tcW w:w="6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88"/>
        </w:trPr>
        <w:tc>
          <w:tcPr>
            <w:tcW w:w="6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6"/>
                <w:szCs w:val="16"/>
                <w:color w:val="auto"/>
              </w:rPr>
            </w:pPr>
          </w:p>
        </w:tc>
        <w:tc>
          <w:tcPr>
            <w:tcW w:w="1820" w:type="dxa"/>
            <w:vAlign w:val="bottom"/>
          </w:tcPr>
          <w:p>
            <w:pPr>
              <w:jc w:val="right"/>
              <w:ind w:right="355"/>
              <w:spacing w:after="0"/>
              <w:rPr>
                <w:sz w:val="20"/>
                <w:szCs w:val="20"/>
                <w:color w:val="auto"/>
              </w:rPr>
            </w:pPr>
            <w:r>
              <w:rPr>
                <w:rFonts w:ascii="Arial" w:cs="Arial" w:eastAsia="Arial" w:hAnsi="Arial"/>
                <w:sz w:val="14"/>
                <w:szCs w:val="14"/>
                <w:b w:val="1"/>
                <w:bCs w:val="1"/>
                <w:color w:val="auto"/>
              </w:rPr>
              <w:t>September 30, 2022</w:t>
            </w:r>
          </w:p>
        </w:tc>
      </w:tr>
      <w:tr>
        <w:trPr>
          <w:trHeight w:val="228"/>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9.7</w:t>
            </w:r>
          </w:p>
        </w:tc>
      </w:tr>
      <w:tr>
        <w:trPr>
          <w:trHeight w:val="228"/>
        </w:trPr>
        <w:tc>
          <w:tcPr>
            <w:tcW w:w="6900" w:type="dxa"/>
            <w:vAlign w:val="bottom"/>
          </w:tcPr>
          <w:p>
            <w:pPr>
              <w:ind w:left="20"/>
              <w:spacing w:after="0"/>
              <w:rPr>
                <w:sz w:val="20"/>
                <w:szCs w:val="20"/>
                <w:color w:val="auto"/>
              </w:rPr>
            </w:pPr>
            <w:r>
              <w:rPr>
                <w:rFonts w:ascii="Arial" w:cs="Arial" w:eastAsia="Arial" w:hAnsi="Arial"/>
                <w:sz w:val="18"/>
                <w:szCs w:val="18"/>
                <w:color w:val="auto"/>
              </w:rPr>
              <w:t>Average equity(a)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Pr>
          <w:p>
            <w:pPr>
              <w:ind w:left="128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135"/>
              <w:spacing w:after="0"/>
              <w:rPr>
                <w:sz w:val="20"/>
                <w:szCs w:val="20"/>
                <w:color w:val="auto"/>
              </w:rPr>
            </w:pPr>
            <w:r>
              <w:rPr>
                <w:rFonts w:ascii="Arial" w:cs="Arial" w:eastAsia="Arial" w:hAnsi="Arial"/>
                <w:sz w:val="18"/>
                <w:szCs w:val="18"/>
                <w:color w:val="auto"/>
              </w:rPr>
              <w:t>64.9</w:t>
            </w:r>
          </w:p>
        </w:tc>
      </w:tr>
      <w:tr>
        <w:trPr>
          <w:trHeight w:val="22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ROE</w:t>
            </w: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89"/>
              </w:rPr>
              <w:t>13.8 %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313"/>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Net income attributable to stockholders.</w:t>
      </w:r>
    </w:p>
    <w:p>
      <w:pPr>
        <w:spacing w:after="0" w:line="200" w:lineRule="exact"/>
        <w:rPr>
          <w:rFonts w:ascii="Arial" w:cs="Arial" w:eastAsia="Arial" w:hAnsi="Arial"/>
          <w:sz w:val="16"/>
          <w:szCs w:val="16"/>
          <w:color w:val="auto"/>
        </w:rPr>
      </w:pPr>
    </w:p>
    <w:p>
      <w:pPr>
        <w:spacing w:after="0" w:line="39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calculation of ROIC-adjusted (dollars in billions):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0" w:type="dxa"/>
            <w:vAlign w:val="bottom"/>
            <w:gridSpan w:val="4"/>
          </w:tcPr>
          <w:p>
            <w:pPr>
              <w:ind w:left="1200"/>
              <w:spacing w:after="0"/>
              <w:rPr>
                <w:sz w:val="20"/>
                <w:szCs w:val="20"/>
                <w:color w:val="auto"/>
              </w:rPr>
            </w:pPr>
            <w:r>
              <w:rPr>
                <w:rFonts w:ascii="Arial" w:cs="Arial" w:eastAsia="Arial" w:hAnsi="Arial"/>
                <w:sz w:val="14"/>
                <w:szCs w:val="14"/>
                <w:b w:val="1"/>
                <w:bCs w:val="1"/>
                <w:color w:val="auto"/>
              </w:rPr>
              <w:t>Four Quarters Ended</w:t>
            </w:r>
          </w:p>
        </w:tc>
      </w:tr>
      <w:tr>
        <w:trPr>
          <w:trHeight w:val="25"/>
        </w:trPr>
        <w:tc>
          <w:tcPr>
            <w:tcW w:w="6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8"/>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6"/>
                <w:szCs w:val="16"/>
                <w:color w:val="auto"/>
              </w:rPr>
            </w:pPr>
          </w:p>
        </w:tc>
        <w:tc>
          <w:tcPr>
            <w:tcW w:w="1800" w:type="dxa"/>
            <w:vAlign w:val="bottom"/>
          </w:tcPr>
          <w:p>
            <w:pPr>
              <w:ind w:left="160"/>
              <w:spacing w:after="0"/>
              <w:rPr>
                <w:sz w:val="20"/>
                <w:szCs w:val="20"/>
                <w:color w:val="auto"/>
              </w:rPr>
            </w:pPr>
            <w:r>
              <w:rPr>
                <w:rFonts w:ascii="Arial" w:cs="Arial" w:eastAsia="Arial" w:hAnsi="Arial"/>
                <w:sz w:val="14"/>
                <w:szCs w:val="14"/>
                <w:b w:val="1"/>
                <w:bCs w:val="1"/>
                <w:color w:val="auto"/>
              </w:rPr>
              <w:t>September 30, 2022</w:t>
            </w:r>
          </w:p>
        </w:tc>
      </w:tr>
      <w:tr>
        <w:trPr>
          <w:trHeight w:val="228"/>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EBIT-adjusted(a)</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13.5</w:t>
            </w:r>
          </w:p>
        </w:tc>
      </w:tr>
      <w:tr>
        <w:trPr>
          <w:trHeight w:val="228"/>
        </w:trPr>
        <w:tc>
          <w:tcPr>
            <w:tcW w:w="6960" w:type="dxa"/>
            <w:vAlign w:val="bottom"/>
          </w:tcPr>
          <w:p>
            <w:pPr>
              <w:ind w:left="20"/>
              <w:spacing w:after="0"/>
              <w:rPr>
                <w:sz w:val="20"/>
                <w:szCs w:val="20"/>
                <w:color w:val="auto"/>
              </w:rPr>
            </w:pPr>
            <w:r>
              <w:rPr>
                <w:rFonts w:ascii="Arial" w:cs="Arial" w:eastAsia="Arial" w:hAnsi="Arial"/>
                <w:sz w:val="18"/>
                <w:szCs w:val="18"/>
                <w:color w:val="auto"/>
              </w:rPr>
              <w:t>Average equity(b)</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4"/>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Pr>
          <w:p>
            <w:pPr>
              <w:ind w:left="1260"/>
              <w:spacing w:after="0"/>
              <w:rPr>
                <w:sz w:val="20"/>
                <w:szCs w:val="20"/>
                <w:color w:val="auto"/>
              </w:rPr>
            </w:pPr>
            <w:r>
              <w:rPr>
                <w:rFonts w:ascii="Arial" w:cs="Arial" w:eastAsia="Arial" w:hAnsi="Arial"/>
                <w:sz w:val="18"/>
                <w:szCs w:val="18"/>
                <w:color w:val="auto"/>
              </w:rPr>
              <w:t>64.9</w:t>
            </w:r>
          </w:p>
        </w:tc>
      </w:tr>
      <w:tr>
        <w:trPr>
          <w:trHeight w:val="228"/>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finance leases)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17.3</w:t>
            </w:r>
          </w:p>
        </w:tc>
      </w:tr>
      <w:tr>
        <w:trPr>
          <w:trHeight w:val="228"/>
        </w:trPr>
        <w:tc>
          <w:tcPr>
            <w:tcW w:w="696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280" w:type="dxa"/>
            <w:vAlign w:val="bottom"/>
          </w:tcPr>
          <w:p>
            <w:pPr>
              <w:spacing w:after="0"/>
              <w:rPr>
                <w:sz w:val="19"/>
                <w:szCs w:val="19"/>
                <w:color w:val="auto"/>
              </w:rPr>
            </w:pPr>
          </w:p>
        </w:tc>
        <w:tc>
          <w:tcPr>
            <w:tcW w:w="1820" w:type="dxa"/>
            <w:vAlign w:val="bottom"/>
          </w:tcPr>
          <w:p>
            <w:pPr>
              <w:jc w:val="right"/>
              <w:ind w:right="13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ind w:left="1260"/>
              <w:spacing w:after="0"/>
              <w:rPr>
                <w:sz w:val="20"/>
                <w:szCs w:val="20"/>
                <w:color w:val="auto"/>
              </w:rPr>
            </w:pPr>
            <w:r>
              <w:rPr>
                <w:rFonts w:ascii="Arial" w:cs="Arial" w:eastAsia="Arial" w:hAnsi="Arial"/>
                <w:sz w:val="18"/>
                <w:szCs w:val="18"/>
                <w:color w:val="auto"/>
              </w:rPr>
              <w:t>10.2</w:t>
            </w:r>
          </w:p>
        </w:tc>
      </w:tr>
      <w:tr>
        <w:trPr>
          <w:trHeight w:val="228"/>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Average automotive and other net income tax asset</w:t>
            </w: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(21.3)</w:t>
            </w:r>
          </w:p>
        </w:tc>
      </w:tr>
      <w:tr>
        <w:trPr>
          <w:trHeight w:val="222"/>
        </w:trPr>
        <w:tc>
          <w:tcPr>
            <w:tcW w:w="6960" w:type="dxa"/>
            <w:vAlign w:val="bottom"/>
          </w:tcPr>
          <w:p>
            <w:pPr>
              <w:ind w:left="20"/>
              <w:spacing w:after="0"/>
              <w:rPr>
                <w:sz w:val="20"/>
                <w:szCs w:val="20"/>
                <w:color w:val="auto"/>
              </w:rPr>
            </w:pPr>
            <w:r>
              <w:rPr>
                <w:rFonts w:ascii="Arial" w:cs="Arial" w:eastAsia="Arial" w:hAnsi="Arial"/>
                <w:sz w:val="18"/>
                <w:szCs w:val="18"/>
                <w:color w:val="auto"/>
              </w:rPr>
              <w:t>ROIC-adjusted average net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71.1</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2"/>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ROIC-adjusted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2"/>
              </w:rPr>
              <w:t>19.0 %</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Refer to the reconciliation of Net income attributable to stockholders under U.S. GAAP to EBIT-adjusted within this section of MD&amp;A.</w:t>
      </w:r>
    </w:p>
    <w:p>
      <w:pPr>
        <w:spacing w:after="0" w:line="14" w:lineRule="exact"/>
        <w:rPr>
          <w:rFonts w:ascii="Arial" w:cs="Arial" w:eastAsia="Arial" w:hAnsi="Arial"/>
          <w:sz w:val="16"/>
          <w:szCs w:val="16"/>
          <w:color w:val="auto"/>
        </w:rPr>
      </w:pPr>
    </w:p>
    <w:p>
      <w:pPr>
        <w:ind w:left="320" w:hanging="313"/>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EBIT-adjusted.</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vision for the future is a world with zero crashes, zero emissions and zero congestion, which guides our growth-focused strategy to invest in</w:t>
      </w:r>
      <w:r>
        <w:rPr>
          <w:rFonts w:ascii="Arial" w:cs="Arial" w:eastAsia="Arial" w:hAnsi="Arial"/>
          <w:sz w:val="18"/>
          <w:szCs w:val="18"/>
          <w:b w:val="1"/>
          <w:bCs w:val="1"/>
          <w:color w:val="auto"/>
        </w:rPr>
        <w:t xml:space="preserve"> </w:t>
      </w:r>
      <w:r>
        <w:rPr>
          <w:rFonts w:ascii="Arial" w:cs="Arial" w:eastAsia="Arial" w:hAnsi="Arial"/>
          <w:sz w:val="18"/>
          <w:szCs w:val="18"/>
          <w:color w:val="auto"/>
        </w:rPr>
        <w:t>EVs and AVs, software-enabled services and subscriptions and new business opportunities, while strengthening our market position in profitable internal combustion engine (ICE) vehicles, such as trucks and SUVs. We will execute our strategy with a diverse team and a steadfast commitment to good citizenship through sustainable operations and a leading health and safety culture.</w:t>
      </w:r>
    </w:p>
    <w:p>
      <w:pPr>
        <w:spacing w:after="0" w:line="21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continue to monitor the macro-economic environment, including higher interest rates and inflationary pressures. Supply chain and logistics challenges continue but remain manageable. This has led to increased production and also increased availability for U.S. dealer inventory compared to December 2022. Pricing continues to remain strong due to robust demand for our products.</w:t>
      </w:r>
    </w:p>
    <w:p>
      <w:pPr>
        <w:spacing w:after="0" w:line="209"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color w:val="auto"/>
        </w:rPr>
        <w:t>In January 2023, we announced our intention to implement a cost reduction program to reduce fixed costs by $2.0 billion on an annual run rate basis by 2024. In March 2023, we took the initial steps and announced performance-based exits and a VSP in an effort to accelerate attrition, which we believe will result in approximately $1.0 billion towards this target on an annual run rate basis. In addition to people costs, we expect the remaining $1.0 billion will come from reducing complexity across the vehicle portfolio and throughout the business, prioritizing growth initiatives and reducing overhead and discretionary costs. We have also identified another $1.0 billion of cost reductions to offset increased depreciation and amortization over the course of 2023 and 2024 as we continue to focus on growth initiatives and strategic ICE and EV investments. Refer to the Consolidated Results and regional sections of this MD&amp;A for additional information.</w:t>
      </w:r>
    </w:p>
    <w:p>
      <w:pPr>
        <w:spacing w:after="0" w:line="219"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color w:val="auto"/>
        </w:rPr>
        <w:t>Our collectively bargained labor agreement with the International Union, United Automobile, Aerospace and Agricultural Implement Workers of America (UAW), which was ratified in October 2019, expired on September 14, 2023. On September 15, 2023, the UAW initiated a strike at certain of our U.S. facilities and have intermittently expanded the strike to additional facilities since then, causing stoppages to some vehicle production and parts distribution activities across our U.S. operations resulting in an unfavorable impact to EBIT-adjusted of approximately $0.2 billion in the three months ended September 30, 2023 and an additional $0.6 billion through October 24, 2023. Going forward, we estimate the ongoing impact of the UAW strike to be $0.4 billion per week, inclusive of additional work stoppages announced by the UAW on October 24, 2023. We continue to negotiate a new labor agreement with the UAW. A prolonged work stoppage could have a material adverse effect on our business. Due to the ongoing uncertainty related to these negotiations, we are suspending our 2023 guidance.</w:t>
      </w:r>
    </w:p>
    <w:p>
      <w:pPr>
        <w:spacing w:after="0" w:line="216"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We also face continuing market, operating and regulatory challenges in several countries across the globe due to, among other factors, competitive pressures, our product portfolio offerings, heightened emission standards, potentially weakening economic conditions, labor disruptions, foreign exchange volatility, evolving trade policy and political uncertainty. Refer to Part I, Item 1A. Risk Factors of our 2022 Form 10-K for a discussion of these challenges.</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we continue to assess our performance and the needs of our evolving business, additional restructuring and rationalization actions could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actions could give rise to future asset impairments or other charges, which may have a material impact on our operating results.</w:t>
      </w:r>
    </w:p>
    <w:p>
      <w:pPr>
        <w:spacing w:after="0" w:line="235"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On August 16, 2022, the Inflation Reduction Act (IRA) was enacted. The IRA modified climate and clean energy tax provisions and added new corporate tax credits for commercial EV purchases and investments in clean energy production, supply chains and manufacturing facilities. IRA benefits, including credits and lower material costs, are expected to materially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affect net income in the future. The nine month impact through September 30, 2023 was primarily lower material costs. We will continue to evaluate the IRA impacts on our financial results as additional regulatory guidance is issued.</w:t>
      </w:r>
    </w:p>
    <w:p>
      <w:pPr>
        <w:spacing w:after="0" w:line="19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b w:val="1"/>
          <w:bCs w:val="1"/>
          <w:i w:val="1"/>
          <w:iCs w:val="1"/>
          <w:color w:val="auto"/>
        </w:rPr>
        <w:t xml:space="preserve">GMNA </w:t>
      </w:r>
      <w:r>
        <w:rPr>
          <w:rFonts w:ascii="Arial" w:cs="Arial" w:eastAsia="Arial" w:hAnsi="Arial"/>
          <w:sz w:val="18"/>
          <w:szCs w:val="18"/>
          <w:color w:val="auto"/>
        </w:rPr>
        <w:t>Industry sales in North America were 14.6 million units in the nine months ended September 30, 2023, representing an increase of 14.4%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corresponding period in 2022. U.S. industry sales were 12.0 million units in the nine months ended September 30, 2023, representing an increase of 14.0% compared to the corresponding period in 2022.</w:t>
      </w:r>
    </w:p>
    <w:p>
      <w:pPr>
        <w:spacing w:after="0" w:line="209"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Our total vehicle sales in the U.S., our largest market in North America, were 2.0 million units for market share of 16.4% in the nine months ended September 30, 2023, representing an increase of 0.7 percentage points compared to the corresponding period in 2022.</w:t>
      </w:r>
    </w:p>
    <w:p>
      <w:pPr>
        <w:spacing w:after="0" w:line="19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We expect to sustain relatively strong EBIT-adjusted margins in 2023 on the continued strength of vehicle pricing and healthy U.S. industry demand, as well as fixed cost reduction efforts, partially offset by elevated costs associated with commodities, raw materials and logistics. Our outlook is dependent on the pricing environment, continuing improvement of supply chain availability, continuity of production and overall economic conditions. As a result of supply chain and labor disruptions, we experienced interruptions to our planned production schedules and continue to prioritize production of our most popular and in-demand products, including our full-size trucks, full-size SUVs and EVs.</w:t>
      </w:r>
    </w:p>
    <w:p>
      <w:pPr>
        <w:spacing w:after="0" w:line="217"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b w:val="1"/>
          <w:bCs w:val="1"/>
          <w:i w:val="1"/>
          <w:iCs w:val="1"/>
          <w:color w:val="auto"/>
        </w:rPr>
        <w:t xml:space="preserve">GMI </w:t>
      </w:r>
      <w:r>
        <w:rPr>
          <w:rFonts w:ascii="Arial" w:cs="Arial" w:eastAsia="Arial" w:hAnsi="Arial"/>
          <w:sz w:val="18"/>
          <w:szCs w:val="18"/>
          <w:color w:val="auto"/>
        </w:rPr>
        <w:t>Industry sales in China were 17.8 million units in the nine months ended September 30, 2023, representing an increase of 3.5%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corresponding period in 2022. Our total vehicle sales in China were 1.5 million units for market share of 8.6% in the nine months ended September 30, 2023, representing a decrease of 1.5 percentage points compared to the corresponding period in 2022. The ongoing supply chain disruptions, global macro-economic impact and geopolitical tensions continue to place pressure on China's automotive industry and our vehicle sales in China. Our Automotive China JVs generated equity income of $0.4 billion in the nine months ended September 30, 2023. Although price competition, growing customer acceptance of domestic brands and a more challenging regulatory environment related to emissions, fuel consumption and new energy vehicles will place pressure on our operations in China, we will continue to build upon our strong brands, network, and partnerships in China as well as drive improvements in vehicle mix and cost.</w:t>
      </w:r>
    </w:p>
    <w:p>
      <w:pPr>
        <w:spacing w:after="0" w:line="216"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Outside of China, industry sales were 18.8 million units in the nine months ended September 30, 2023, representing an increase of 6.2% compared to the corresponding period in 2022. Our total vehicle sales outside of China were 0.7 million units for a market share of 4.0% in the nine months ended September 30, 2023, which is comparable to the corresponding period in 2022.</w:t>
      </w:r>
    </w:p>
    <w:p>
      <w:pPr>
        <w:spacing w:after="0" w:line="209"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At September 30, 2023, our Korean operating business had a deferred tax asset valuation allowance of $1.0 billion. As a result of improving actual and forecasted financial performance, our conclusion regarding the need for a valuation allowance could change, leading to the reversal of all or a significant portion of our valuation allowance for Korea in the three months ending December 31, 2023. This would result in a significant benefit to earnings for the three months ending December 31, 2023.</w:t>
      </w:r>
    </w:p>
    <w:p>
      <w:pPr>
        <w:spacing w:after="0" w:line="21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b w:val="1"/>
          <w:bCs w:val="1"/>
          <w:i w:val="1"/>
          <w:iCs w:val="1"/>
          <w:color w:val="auto"/>
        </w:rPr>
        <w:t xml:space="preserve">Cruise </w:t>
      </w:r>
      <w:r>
        <w:rPr>
          <w:rFonts w:ascii="Arial" w:cs="Arial" w:eastAsia="Arial" w:hAnsi="Arial"/>
          <w:sz w:val="18"/>
          <w:szCs w:val="18"/>
          <w:color w:val="auto"/>
        </w:rPr>
        <w:t>Cruise is currently operating in San Francisco, California, and Austin, Texas, and is testing in multiple other U.S. cities. In October 2023, NHTSA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opened an investigation into Cruise to determine whether Cruise AVs exercise appropriate caution around pedestrians. On October 24, 2023, in connection with an accident involving a pedestrian in San Francisco in early October, the California Department of Motor Vehicles (DMV) suspended Cruise's permits to operate AVs in California without a safety driver. Cruise is cooperating with NHTSA, the California DMV, the California Public Utilities Commission and local law enforcement in connection with these matters.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b w:val="1"/>
          <w:bCs w:val="1"/>
          <w:i w:val="1"/>
          <w:iCs w:val="1"/>
          <w:color w:val="auto"/>
        </w:rPr>
        <w:t xml:space="preserve">Vehicle Sales </w:t>
      </w:r>
      <w:r>
        <w:rPr>
          <w:rFonts w:ascii="Arial" w:cs="Arial" w:eastAsia="Arial" w:hAnsi="Arial"/>
          <w:sz w:val="16"/>
          <w:szCs w:val="16"/>
          <w:color w:val="auto"/>
        </w:rPr>
        <w:t>The principal factors that determine consumer vehicle preferences in the markets in which we operate include overall vehicle design,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available options, safety, reliability, fuel economy and functionality. Market leadership in individual countries in which we compete varies widely.</w:t>
      </w:r>
    </w:p>
    <w:p>
      <w:pPr>
        <w:spacing w:after="0" w:line="15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nine months ended September 30, 2023, 28.8% of our wholesale vehicle sales volume was generated outside the U.S. The following table summarizes wholesale vehicle sales by automotive segment (vehicles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4"/>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ind w:left="580"/>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Pr>
          <w:p>
            <w:pPr>
              <w:spacing w:after="0"/>
              <w:rPr>
                <w:sz w:val="16"/>
                <w:szCs w:val="16"/>
                <w:color w:val="auto"/>
              </w:rPr>
            </w:pPr>
          </w:p>
        </w:tc>
      </w:tr>
      <w:tr>
        <w:trPr>
          <w:trHeight w:val="25"/>
        </w:trPr>
        <w:tc>
          <w:tcPr>
            <w:tcW w:w="1980" w:type="dxa"/>
            <w:vAlign w:val="bottom"/>
          </w:tcPr>
          <w:p>
            <w:pPr>
              <w:spacing w:after="0"/>
              <w:rPr>
                <w:sz w:val="2"/>
                <w:szCs w:val="2"/>
                <w:color w:val="auto"/>
              </w:rPr>
            </w:pPr>
          </w:p>
        </w:tc>
        <w:tc>
          <w:tcPr>
            <w:tcW w:w="2320" w:type="dxa"/>
            <w:vAlign w:val="bottom"/>
            <w:gridSpan w:val="4"/>
          </w:tcPr>
          <w:p>
            <w:pPr>
              <w:spacing w:after="0"/>
              <w:rPr>
                <w:sz w:val="2"/>
                <w:szCs w:val="2"/>
                <w:color w:val="auto"/>
              </w:rPr>
            </w:pPr>
          </w:p>
        </w:tc>
        <w:tc>
          <w:tcPr>
            <w:tcW w:w="2340" w:type="dxa"/>
            <w:vAlign w:val="bottom"/>
            <w:gridSpan w:val="4"/>
          </w:tcPr>
          <w:p>
            <w:pPr>
              <w:spacing w:after="0"/>
              <w:rPr>
                <w:sz w:val="2"/>
                <w:szCs w:val="2"/>
                <w:color w:val="auto"/>
              </w:rPr>
            </w:pPr>
          </w:p>
        </w:tc>
        <w:tc>
          <w:tcPr>
            <w:tcW w:w="2340" w:type="dxa"/>
            <w:vAlign w:val="bottom"/>
            <w:gridSpan w:val="4"/>
          </w:tcPr>
          <w:p>
            <w:pPr>
              <w:spacing w:after="0"/>
              <w:rPr>
                <w:sz w:val="2"/>
                <w:szCs w:val="2"/>
                <w:color w:val="auto"/>
              </w:rPr>
            </w:pPr>
          </w:p>
        </w:tc>
        <w:tc>
          <w:tcPr>
            <w:tcW w:w="2260" w:type="dxa"/>
            <w:vAlign w:val="bottom"/>
            <w:gridSpan w:val="3"/>
          </w:tcPr>
          <w:p>
            <w:pPr>
              <w:spacing w:after="0"/>
              <w:rPr>
                <w:sz w:val="2"/>
                <w:szCs w:val="2"/>
                <w:color w:val="auto"/>
              </w:rPr>
            </w:pPr>
          </w:p>
        </w:tc>
      </w:tr>
      <w:tr>
        <w:trPr>
          <w:trHeight w:val="188"/>
        </w:trPr>
        <w:tc>
          <w:tcPr>
            <w:tcW w:w="1980" w:type="dxa"/>
            <w:vAlign w:val="bottom"/>
          </w:tcPr>
          <w:p>
            <w:pPr>
              <w:spacing w:after="0"/>
              <w:rPr>
                <w:sz w:val="16"/>
                <w:szCs w:val="16"/>
                <w:color w:val="auto"/>
              </w:rPr>
            </w:pPr>
          </w:p>
        </w:tc>
        <w:tc>
          <w:tcPr>
            <w:tcW w:w="2320" w:type="dxa"/>
            <w:vAlign w:val="bottom"/>
            <w:tcBorders>
              <w:top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September 30, 2023</w:t>
            </w:r>
          </w:p>
        </w:tc>
        <w:tc>
          <w:tcPr>
            <w:tcW w:w="2220" w:type="dxa"/>
            <w:vAlign w:val="bottom"/>
            <w:tcBorders>
              <w:top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6"/>
                <w:szCs w:val="16"/>
                <w:color w:val="auto"/>
              </w:rPr>
            </w:pPr>
          </w:p>
        </w:tc>
        <w:tc>
          <w:tcPr>
            <w:tcW w:w="2340" w:type="dxa"/>
            <w:vAlign w:val="bottom"/>
            <w:tcBorders>
              <w:top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September 30, 2023</w:t>
            </w:r>
          </w:p>
        </w:tc>
        <w:tc>
          <w:tcPr>
            <w:tcW w:w="2260" w:type="dxa"/>
            <w:vAlign w:val="bottom"/>
            <w:tcBorders>
              <w:top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September 30, 2022</w:t>
            </w:r>
          </w:p>
        </w:tc>
      </w:tr>
      <w:tr>
        <w:trPr>
          <w:trHeight w:val="228"/>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82.5 %</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81.2 %</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83.7 %</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81.9 %</w:t>
            </w:r>
          </w:p>
        </w:tc>
      </w:tr>
      <w:tr>
        <w:trPr>
          <w:trHeight w:val="228"/>
        </w:trPr>
        <w:tc>
          <w:tcPr>
            <w:tcW w:w="1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GMI</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17.5 %</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18.8 %</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18.1 %</w:t>
            </w:r>
          </w:p>
        </w:tc>
      </w:tr>
      <w:tr>
        <w:trPr>
          <w:trHeight w:val="247"/>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color w:val="auto"/>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summarizes industry and GM total vehicle sales and our related competitive position by geographic region (vehicles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4"/>
          </w:tcPr>
          <w:p>
            <w:pPr>
              <w:ind w:left="22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80" w:type="dxa"/>
            <w:vAlign w:val="bottom"/>
          </w:tcPr>
          <w:p>
            <w:pPr>
              <w:spacing w:after="0"/>
              <w:rPr>
                <w:sz w:val="2"/>
                <w:szCs w:val="2"/>
                <w:color w:val="auto"/>
              </w:rPr>
            </w:pPr>
          </w:p>
        </w:tc>
        <w:tc>
          <w:tcPr>
            <w:tcW w:w="2360" w:type="dxa"/>
            <w:vAlign w:val="bottom"/>
            <w:gridSpan w:val="6"/>
          </w:tcPr>
          <w:p>
            <w:pPr>
              <w:spacing w:after="0"/>
              <w:rPr>
                <w:sz w:val="2"/>
                <w:szCs w:val="2"/>
                <w:color w:val="auto"/>
              </w:rPr>
            </w:pPr>
          </w:p>
        </w:tc>
        <w:tc>
          <w:tcPr>
            <w:tcW w:w="2380" w:type="dxa"/>
            <w:vAlign w:val="bottom"/>
            <w:gridSpan w:val="6"/>
          </w:tcPr>
          <w:p>
            <w:pPr>
              <w:spacing w:after="0"/>
              <w:rPr>
                <w:sz w:val="2"/>
                <w:szCs w:val="2"/>
                <w:color w:val="auto"/>
              </w:rPr>
            </w:pPr>
          </w:p>
        </w:tc>
        <w:tc>
          <w:tcPr>
            <w:tcW w:w="2400" w:type="dxa"/>
            <w:vAlign w:val="bottom"/>
            <w:gridSpan w:val="6"/>
          </w:tcPr>
          <w:p>
            <w:pPr>
              <w:spacing w:after="0"/>
              <w:rPr>
                <w:sz w:val="2"/>
                <w:szCs w:val="2"/>
                <w:color w:val="auto"/>
              </w:rPr>
            </w:pPr>
          </w:p>
        </w:tc>
        <w:tc>
          <w:tcPr>
            <w:tcW w:w="232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2360" w:type="dxa"/>
            <w:vAlign w:val="bottom"/>
            <w:tcBorders>
              <w:top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rPr>
              <w:t>September 30, 2023</w:t>
            </w:r>
          </w:p>
        </w:tc>
        <w:tc>
          <w:tcPr>
            <w:tcW w:w="2300" w:type="dxa"/>
            <w:vAlign w:val="bottom"/>
            <w:tcBorders>
              <w:top w:val="single" w:sz="8" w:color="auto"/>
            </w:tcBorders>
            <w:gridSpan w:val="5"/>
          </w:tcPr>
          <w:p>
            <w:pPr>
              <w:jc w:val="right"/>
              <w:ind w:right="485"/>
              <w:spacing w:after="0"/>
              <w:rPr>
                <w:sz w:val="20"/>
                <w:szCs w:val="20"/>
                <w:color w:val="auto"/>
              </w:rPr>
            </w:pPr>
            <w:r>
              <w:rPr>
                <w:rFonts w:ascii="Arial" w:cs="Arial" w:eastAsia="Arial" w:hAnsi="Arial"/>
                <w:sz w:val="14"/>
                <w:szCs w:val="14"/>
                <w:b w:val="1"/>
                <w:bCs w:val="1"/>
                <w:color w:val="auto"/>
              </w:rPr>
              <w:t>September 30, 2022</w:t>
            </w:r>
          </w:p>
        </w:tc>
        <w:tc>
          <w:tcPr>
            <w:tcW w:w="80" w:type="dxa"/>
            <w:vAlign w:val="bottom"/>
          </w:tcPr>
          <w:p>
            <w:pPr>
              <w:spacing w:after="0"/>
              <w:rPr>
                <w:sz w:val="16"/>
                <w:szCs w:val="16"/>
                <w:color w:val="auto"/>
              </w:rPr>
            </w:pPr>
          </w:p>
        </w:tc>
        <w:tc>
          <w:tcPr>
            <w:tcW w:w="2400" w:type="dxa"/>
            <w:vAlign w:val="bottom"/>
            <w:tcBorders>
              <w:top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September 30, 2023</w:t>
            </w:r>
          </w:p>
        </w:tc>
        <w:tc>
          <w:tcPr>
            <w:tcW w:w="2320" w:type="dxa"/>
            <w:vAlign w:val="bottom"/>
            <w:tcBorders>
              <w:top w:val="single" w:sz="8" w:color="auto"/>
            </w:tcBorders>
            <w:gridSpan w:val="5"/>
          </w:tcPr>
          <w:p>
            <w:pPr>
              <w:jc w:val="right"/>
              <w:ind w:right="485"/>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134"/>
        </w:trPr>
        <w:tc>
          <w:tcPr>
            <w:tcW w:w="1780" w:type="dxa"/>
            <w:vAlign w:val="bottom"/>
          </w:tcPr>
          <w:p>
            <w:pPr>
              <w:spacing w:after="0"/>
              <w:rPr>
                <w:sz w:val="11"/>
                <w:szCs w:val="11"/>
                <w:color w:val="auto"/>
              </w:rPr>
            </w:pPr>
          </w:p>
        </w:tc>
        <w:tc>
          <w:tcPr>
            <w:tcW w:w="86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4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4"/>
                <w:szCs w:val="14"/>
                <w:b w:val="1"/>
                <w:bCs w:val="1"/>
                <w:color w:val="auto"/>
              </w:rPr>
              <w:t>GM</w:t>
            </w: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1"/>
                <w:szCs w:val="11"/>
                <w:color w:val="auto"/>
              </w:rPr>
            </w:pPr>
          </w:p>
        </w:tc>
        <w:tc>
          <w:tcPr>
            <w:tcW w:w="8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4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4"/>
                <w:szCs w:val="14"/>
                <w:b w:val="1"/>
                <w:bCs w:val="1"/>
                <w:color w:val="auto"/>
              </w:rPr>
              <w:t>GM</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Market</w:t>
            </w:r>
          </w:p>
        </w:tc>
        <w:tc>
          <w:tcPr>
            <w:tcW w:w="80" w:type="dxa"/>
            <w:vAlign w:val="bottom"/>
          </w:tcPr>
          <w:p>
            <w:pPr>
              <w:spacing w:after="0"/>
              <w:rPr>
                <w:sz w:val="11"/>
                <w:szCs w:val="11"/>
                <w:color w:val="auto"/>
              </w:rPr>
            </w:pPr>
          </w:p>
        </w:tc>
        <w:tc>
          <w:tcPr>
            <w:tcW w:w="8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4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4"/>
                <w:szCs w:val="14"/>
                <w:b w:val="1"/>
                <w:bCs w:val="1"/>
                <w:color w:val="auto"/>
              </w:rPr>
              <w:t>GM</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86"/>
              <w:spacing w:after="0" w:line="135"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1"/>
                <w:szCs w:val="11"/>
                <w:color w:val="auto"/>
              </w:rPr>
            </w:pPr>
          </w:p>
        </w:tc>
        <w:tc>
          <w:tcPr>
            <w:tcW w:w="8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4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4"/>
                <w:szCs w:val="14"/>
                <w:b w:val="1"/>
                <w:bCs w:val="1"/>
                <w:color w:val="auto"/>
              </w:rPr>
              <w:t>GM</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85"/>
              <w:spacing w:after="0" w:line="135"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95"/>
        </w:trPr>
        <w:tc>
          <w:tcPr>
            <w:tcW w:w="17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45"/>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9"/>
        </w:trPr>
        <w:tc>
          <w:tcPr>
            <w:tcW w:w="1780" w:type="dxa"/>
            <w:vAlign w:val="bottom"/>
          </w:tcPr>
          <w:p>
            <w:pPr>
              <w:ind w:left="20"/>
              <w:spacing w:after="0"/>
              <w:rPr>
                <w:sz w:val="20"/>
                <w:szCs w:val="20"/>
                <w:color w:val="auto"/>
              </w:rPr>
            </w:pPr>
            <w:r>
              <w:rPr>
                <w:rFonts w:ascii="Arial" w:cs="Arial" w:eastAsia="Arial" w:hAnsi="Arial"/>
                <w:sz w:val="16"/>
                <w:szCs w:val="16"/>
                <w:b w:val="1"/>
                <w:bCs w:val="1"/>
                <w:color w:val="auto"/>
              </w:rPr>
              <w:t>North America</w:t>
            </w: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r>
        <w:trPr>
          <w:trHeight w:val="212"/>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13.0 %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13.9 %</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12.8 %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13.2 %</w:t>
            </w:r>
          </w:p>
        </w:tc>
        <w:tc>
          <w:tcPr>
            <w:tcW w:w="0" w:type="dxa"/>
            <w:vAlign w:val="bottom"/>
          </w:tcPr>
          <w:p>
            <w:pPr>
              <w:spacing w:after="0"/>
              <w:rPr>
                <w:sz w:val="1"/>
                <w:szCs w:val="1"/>
                <w:color w:val="auto"/>
              </w:rPr>
            </w:pPr>
          </w:p>
        </w:tc>
      </w:tr>
      <w:tr>
        <w:trPr>
          <w:trHeight w:val="211"/>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North America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0" w:type="dxa"/>
            <w:vAlign w:val="bottom"/>
          </w:tcPr>
          <w:p>
            <w:pPr>
              <w:spacing w:after="0"/>
              <w:rPr>
                <w:sz w:val="1"/>
                <w:szCs w:val="1"/>
                <w:color w:val="auto"/>
              </w:rPr>
            </w:pPr>
          </w:p>
        </w:tc>
      </w:tr>
      <w:tr>
        <w:trPr>
          <w:trHeight w:val="141"/>
        </w:trPr>
        <w:tc>
          <w:tcPr>
            <w:tcW w:w="1780" w:type="dxa"/>
            <w:vAlign w:val="bottom"/>
          </w:tcPr>
          <w:p>
            <w:pPr>
              <w:ind w:left="20"/>
              <w:spacing w:after="0" w:line="142" w:lineRule="exact"/>
              <w:rPr>
                <w:sz w:val="20"/>
                <w:szCs w:val="20"/>
                <w:color w:val="auto"/>
              </w:rPr>
            </w:pPr>
            <w:r>
              <w:rPr>
                <w:rFonts w:ascii="Arial" w:cs="Arial" w:eastAsia="Arial" w:hAnsi="Arial"/>
                <w:sz w:val="16"/>
                <w:szCs w:val="16"/>
                <w:b w:val="1"/>
                <w:bCs w:val="1"/>
                <w:color w:val="auto"/>
                <w:w w:val="92"/>
              </w:rPr>
              <w:t>Asia/Pacific, Middle East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80" w:type="dxa"/>
            <w:vAlign w:val="bottom"/>
          </w:tcPr>
          <w:p>
            <w:pPr>
              <w:ind w:left="180"/>
              <w:spacing w:after="0"/>
              <w:rPr>
                <w:sz w:val="20"/>
                <w:szCs w:val="20"/>
                <w:color w:val="auto"/>
              </w:rPr>
            </w:pPr>
            <w:r>
              <w:rPr>
                <w:rFonts w:ascii="Arial" w:cs="Arial" w:eastAsia="Arial" w:hAnsi="Arial"/>
                <w:sz w:val="16"/>
                <w:szCs w:val="16"/>
                <w:b w:val="1"/>
                <w:bCs w:val="1"/>
                <w:color w:val="auto"/>
              </w:rPr>
              <w:t>and Africa</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China(a)</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212"/>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2.3 %</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16,106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148"/>
        </w:trPr>
        <w:tc>
          <w:tcPr>
            <w:tcW w:w="178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7"/>
              </w:rPr>
              <w:t>Total Asia/Pacific, Middle</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11,870</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11,376</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33,862</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32,170</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East and Africa</w:t>
            </w: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780" w:type="dxa"/>
            <w:vAlign w:val="bottom"/>
          </w:tcPr>
          <w:p>
            <w:pPr>
              <w:ind w:left="20"/>
              <w:spacing w:after="0"/>
              <w:rPr>
                <w:sz w:val="20"/>
                <w:szCs w:val="20"/>
                <w:color w:val="auto"/>
              </w:rPr>
            </w:pPr>
            <w:r>
              <w:rPr>
                <w:rFonts w:ascii="Arial" w:cs="Arial" w:eastAsia="Arial" w:hAnsi="Arial"/>
                <w:sz w:val="16"/>
                <w:szCs w:val="16"/>
                <w:b w:val="1"/>
                <w:bCs w:val="1"/>
                <w:color w:val="auto"/>
              </w:rPr>
              <w:t>South America</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Brazil</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0" w:type="dxa"/>
            <w:vAlign w:val="bottom"/>
          </w:tcPr>
          <w:p>
            <w:pPr>
              <w:spacing w:after="0"/>
              <w:rPr>
                <w:sz w:val="1"/>
                <w:szCs w:val="1"/>
                <w:color w:val="auto"/>
              </w:rPr>
            </w:pPr>
          </w:p>
        </w:tc>
      </w:tr>
      <w:tr>
        <w:trPr>
          <w:trHeight w:val="212"/>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10.2 %</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10.3 %</w:t>
            </w:r>
          </w:p>
        </w:tc>
        <w:tc>
          <w:tcPr>
            <w:tcW w:w="0" w:type="dxa"/>
            <w:vAlign w:val="bottom"/>
          </w:tcPr>
          <w:p>
            <w:pPr>
              <w:spacing w:after="0"/>
              <w:rPr>
                <w:sz w:val="1"/>
                <w:szCs w:val="1"/>
                <w:color w:val="auto"/>
              </w:rPr>
            </w:pPr>
          </w:p>
        </w:tc>
      </w:tr>
      <w:tr>
        <w:trPr>
          <w:trHeight w:val="211"/>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South America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206"/>
        </w:trPr>
        <w:tc>
          <w:tcPr>
            <w:tcW w:w="1780" w:type="dxa"/>
            <w:vAlign w:val="bottom"/>
          </w:tcPr>
          <w:p>
            <w:pPr>
              <w:ind w:left="20"/>
              <w:spacing w:after="0"/>
              <w:rPr>
                <w:sz w:val="20"/>
                <w:szCs w:val="20"/>
                <w:color w:val="auto"/>
              </w:rPr>
            </w:pPr>
            <w:r>
              <w:rPr>
                <w:rFonts w:ascii="Arial" w:cs="Arial" w:eastAsia="Arial" w:hAnsi="Arial"/>
                <w:sz w:val="16"/>
                <w:szCs w:val="16"/>
                <w:b w:val="1"/>
                <w:bCs w:val="1"/>
                <w:color w:val="auto"/>
              </w:rPr>
              <w:t>Total in GM markets</w:t>
            </w:r>
          </w:p>
        </w:tc>
        <w:tc>
          <w:tcPr>
            <w:tcW w:w="760" w:type="dxa"/>
            <w:vAlign w:val="bottom"/>
          </w:tcPr>
          <w:p>
            <w:pPr>
              <w:jc w:val="right"/>
              <w:spacing w:after="0"/>
              <w:rPr>
                <w:sz w:val="20"/>
                <w:szCs w:val="20"/>
                <w:color w:val="auto"/>
              </w:rPr>
            </w:pPr>
            <w:r>
              <w:rPr>
                <w:rFonts w:ascii="Arial" w:cs="Arial" w:eastAsia="Arial" w:hAnsi="Arial"/>
                <w:sz w:val="16"/>
                <w:szCs w:val="16"/>
                <w:color w:val="auto"/>
              </w:rPr>
              <w:t>17,879</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1,619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16,658</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1,539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9.2 %</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51,210</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4,584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47,662</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4,386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18"/>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Europe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8"/>
        </w:trPr>
        <w:tc>
          <w:tcPr>
            <w:tcW w:w="1780" w:type="dxa"/>
            <w:vAlign w:val="bottom"/>
          </w:tcPr>
          <w:p>
            <w:pPr>
              <w:ind w:left="20"/>
              <w:spacing w:after="0"/>
              <w:rPr>
                <w:sz w:val="20"/>
                <w:szCs w:val="20"/>
                <w:color w:val="auto"/>
              </w:rPr>
            </w:pPr>
            <w:r>
              <w:rPr>
                <w:rFonts w:ascii="Arial" w:cs="Arial" w:eastAsia="Arial" w:hAnsi="Arial"/>
                <w:sz w:val="16"/>
                <w:szCs w:val="16"/>
                <w:b w:val="1"/>
                <w:bCs w:val="1"/>
                <w:color w:val="auto"/>
              </w:rPr>
              <w:t>Total Worldwide(b)(c)</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21,731</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20,001</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7.7 %</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63,462</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58,061</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0"/>
        </w:trPr>
        <w:tc>
          <w:tcPr>
            <w:tcW w:w="17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United States</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780" w:type="dxa"/>
            <w:vAlign w:val="bottom"/>
          </w:tcPr>
          <w:p>
            <w:pPr>
              <w:ind w:left="20"/>
              <w:spacing w:after="0"/>
              <w:rPr>
                <w:sz w:val="20"/>
                <w:szCs w:val="20"/>
                <w:color w:val="auto"/>
              </w:rPr>
            </w:pPr>
            <w:r>
              <w:rPr>
                <w:rFonts w:ascii="Arial" w:cs="Arial" w:eastAsia="Arial" w:hAnsi="Arial"/>
                <w:sz w:val="16"/>
                <w:szCs w:val="16"/>
                <w:color w:val="auto"/>
              </w:rPr>
              <w:t>Cars</w:t>
            </w:r>
          </w:p>
        </w:tc>
        <w:tc>
          <w:tcPr>
            <w:tcW w:w="76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7.2 %</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2,332</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2,098</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18"/>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Trucks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31.7 %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29.9 %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30.6 %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31.2 %</w:t>
            </w:r>
          </w:p>
        </w:tc>
        <w:tc>
          <w:tcPr>
            <w:tcW w:w="0" w:type="dxa"/>
            <w:vAlign w:val="bottom"/>
          </w:tcPr>
          <w:p>
            <w:pPr>
              <w:spacing w:after="0"/>
              <w:rPr>
                <w:sz w:val="1"/>
                <w:szCs w:val="1"/>
                <w:color w:val="auto"/>
              </w:rPr>
            </w:pPr>
          </w:p>
        </w:tc>
      </w:tr>
      <w:tr>
        <w:trPr>
          <w:trHeight w:val="212"/>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Crossovers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12.4 %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11.4 %</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236"/>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United States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China(a)</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78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SGMS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SGMW</w:t>
            </w: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China</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17,756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17,156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w:t>
            </w: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8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3"/>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sales by the Automotive China JVs: SAIC General Motors Sales Co., Ltd. (SGMS) and SAIC GM Wuling Automobile Co., Ltd. (SGMW).</w:t>
      </w:r>
    </w:p>
    <w:p>
      <w:pPr>
        <w:spacing w:after="0" w:line="14" w:lineRule="exact"/>
        <w:rPr>
          <w:rFonts w:ascii="Arial" w:cs="Arial" w:eastAsia="Arial" w:hAnsi="Arial"/>
          <w:sz w:val="16"/>
          <w:szCs w:val="16"/>
          <w:color w:val="auto"/>
        </w:rPr>
      </w:pPr>
    </w:p>
    <w:p>
      <w:pPr>
        <w:ind w:left="340" w:hanging="333"/>
        <w:spacing w:after="0" w:line="247"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Cuba, Iran, North Korea, Sudan and Syria are subject to broad economic sanctions. Accordingly, these countries are excluded from industry sales data and corresponding calculation of market share.</w:t>
      </w:r>
    </w:p>
    <w:p>
      <w:pPr>
        <w:spacing w:after="0" w:line="1" w:lineRule="exact"/>
        <w:rPr>
          <w:rFonts w:ascii="Arial" w:cs="Arial" w:eastAsia="Arial" w:hAnsi="Arial"/>
          <w:sz w:val="16"/>
          <w:szCs w:val="16"/>
          <w:color w:val="auto"/>
        </w:rPr>
      </w:pPr>
    </w:p>
    <w:p>
      <w:pPr>
        <w:ind w:left="320" w:hanging="313"/>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of March 2022, GM is no longer importing vehicles or parts to Russia, Belarus and certain sanctioned provinces in Ukraine.</w:t>
      </w:r>
    </w:p>
    <w:p>
      <w:pPr>
        <w:spacing w:after="0" w:line="23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3260" w:type="dxa"/>
            <w:vAlign w:val="bottom"/>
            <w:gridSpan w:val="4"/>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3440" w:type="dxa"/>
            <w:vAlign w:val="bottom"/>
            <w:gridSpan w:val="4"/>
          </w:tcPr>
          <w:p>
            <w:pPr>
              <w:ind w:left="1100"/>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760" w:type="dxa"/>
            <w:vAlign w:val="bottom"/>
            <w:gridSpan w:val="2"/>
          </w:tcPr>
          <w:p>
            <w:pPr>
              <w:spacing w:after="0"/>
              <w:rPr>
                <w:sz w:val="2"/>
                <w:szCs w:val="2"/>
                <w:color w:val="auto"/>
              </w:rPr>
            </w:pPr>
          </w:p>
        </w:tc>
        <w:tc>
          <w:tcPr>
            <w:tcW w:w="1680" w:type="dxa"/>
            <w:vAlign w:val="bottom"/>
            <w:gridSpan w:val="2"/>
          </w:tcPr>
          <w:p>
            <w:pPr>
              <w:spacing w:after="0"/>
              <w:rPr>
                <w:sz w:val="2"/>
                <w:szCs w:val="2"/>
                <w:color w:val="auto"/>
              </w:rPr>
            </w:pPr>
          </w:p>
        </w:tc>
      </w:tr>
      <w:tr>
        <w:trPr>
          <w:trHeight w:val="188"/>
        </w:trPr>
        <w:tc>
          <w:tcPr>
            <w:tcW w:w="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64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September 30, 2023</w:t>
            </w:r>
          </w:p>
        </w:tc>
        <w:tc>
          <w:tcPr>
            <w:tcW w:w="152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6"/>
                <w:szCs w:val="16"/>
                <w:color w:val="auto"/>
              </w:rPr>
            </w:pPr>
          </w:p>
        </w:tc>
        <w:tc>
          <w:tcPr>
            <w:tcW w:w="176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September 30, 2023</w:t>
            </w:r>
          </w:p>
        </w:tc>
        <w:tc>
          <w:tcPr>
            <w:tcW w:w="1660" w:type="dxa"/>
            <w:vAlign w:val="bottom"/>
            <w:tcBorders>
              <w:top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September 30, 2022</w:t>
            </w:r>
          </w:p>
        </w:tc>
        <w:tc>
          <w:tcPr>
            <w:tcW w:w="20" w:type="dxa"/>
            <w:vAlign w:val="bottom"/>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GMNA</w:t>
            </w:r>
          </w:p>
        </w:tc>
        <w:tc>
          <w:tcPr>
            <w:tcW w:w="15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165</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538</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GMI</w:t>
            </w:r>
          </w:p>
        </w:tc>
        <w:tc>
          <w:tcPr>
            <w:tcW w:w="15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9"/>
                <w:szCs w:val="19"/>
                <w:color w:val="auto"/>
              </w:rPr>
            </w:pPr>
          </w:p>
        </w:tc>
      </w:tr>
      <w:tr>
        <w:trPr>
          <w:trHeight w:val="247"/>
        </w:trPr>
        <w:tc>
          <w:tcPr>
            <w:tcW w:w="4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fleet sales</w:t>
            </w:r>
          </w:p>
        </w:tc>
        <w:tc>
          <w:tcPr>
            <w:tcW w:w="15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Fleet sales as a percentage of total vehicle sales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20" w:type="dxa"/>
            <w:vAlign w:val="bottom"/>
          </w:tcPr>
          <w:p>
            <w:pPr>
              <w:spacing w:after="0"/>
              <w:rPr>
                <w:sz w:val="19"/>
                <w:szCs w:val="19"/>
                <w:color w:val="auto"/>
              </w:rPr>
            </w:pPr>
          </w:p>
        </w:tc>
      </w:tr>
      <w:tr>
        <w:trPr>
          <w:trHeight w:val="659"/>
        </w:trPr>
        <w:tc>
          <w:tcPr>
            <w:tcW w:w="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520" w:type="dxa"/>
            <w:vAlign w:val="bottom"/>
          </w:tcPr>
          <w:p>
            <w:pPr>
              <w:jc w:val="right"/>
              <w:ind w:right="256"/>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4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70" w:lineRule="auto"/>
        <w:rPr>
          <w:sz w:val="20"/>
          <w:szCs w:val="20"/>
          <w:color w:val="auto"/>
        </w:rPr>
      </w:pPr>
      <w:r>
        <w:rPr>
          <w:rFonts w:ascii="Arial" w:cs="Arial" w:eastAsia="Arial" w:hAnsi="Arial"/>
          <w:sz w:val="17"/>
          <w:szCs w:val="17"/>
          <w:b w:val="1"/>
          <w:bCs w:val="1"/>
          <w:i w:val="1"/>
          <w:iCs w:val="1"/>
          <w:color w:val="auto"/>
        </w:rPr>
        <w:t xml:space="preserve">GM Financial </w:t>
      </w:r>
      <w:r>
        <w:rPr>
          <w:rFonts w:ascii="Arial" w:cs="Arial" w:eastAsia="Arial" w:hAnsi="Arial"/>
          <w:sz w:val="17"/>
          <w:szCs w:val="17"/>
          <w:color w:val="auto"/>
        </w:rPr>
        <w:t>We believe that offering a comprehensive suite of financing products will generate incremental sales of our vehicles, drive incremental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GM Financial earnings and help support our sales throughout various economic cycles. GM Financial's leasing program is exposed to residual values, which are heavily dependent on used vehicle prices. Gains on terminations of leased vehicles of $0.2 billion and $0.7 billion were included in GM Financial interest, operating and other expenses for the three and nine months ended September 30, 2023, compared to gains of $0.3 billion and $1.0 billion in the corresponding periods in 2022. The decrease in gains is primarily due to higher leased portfolio net book values at termination and fewer terminated leases. The following table summarizes the estimated residual value based on GM Financial's most recent estimates and the number of units included in GM Financial Equipment on operating leases, net by vehicle type (units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w w:val="97"/>
              </w:rPr>
              <w:t>September 30, 2023</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w w:val="99"/>
              </w:rPr>
              <w:t>December 31, 2022</w:t>
            </w:r>
          </w:p>
        </w:tc>
        <w:tc>
          <w:tcPr>
            <w:tcW w:w="1520" w:type="dxa"/>
            <w:vAlign w:val="bottom"/>
          </w:tcPr>
          <w:p>
            <w:pPr>
              <w:spacing w:after="0"/>
              <w:rPr>
                <w:sz w:val="16"/>
                <w:szCs w:val="16"/>
                <w:color w:val="auto"/>
              </w:rPr>
            </w:pPr>
          </w:p>
        </w:tc>
      </w:tr>
      <w:tr>
        <w:trPr>
          <w:trHeight w:val="25"/>
        </w:trPr>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188"/>
        </w:trPr>
        <w:tc>
          <w:tcPr>
            <w:tcW w:w="2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Residual Value</w:t>
            </w:r>
          </w:p>
        </w:tc>
        <w:tc>
          <w:tcPr>
            <w:tcW w:w="1460" w:type="dxa"/>
            <w:vAlign w:val="bottom"/>
            <w:tcBorders>
              <w:top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Units</w:t>
            </w:r>
          </w:p>
        </w:tc>
        <w:tc>
          <w:tcPr>
            <w:tcW w:w="152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Residual Value</w:t>
            </w:r>
          </w:p>
        </w:tc>
        <w:tc>
          <w:tcPr>
            <w:tcW w:w="1460" w:type="dxa"/>
            <w:vAlign w:val="bottom"/>
            <w:tcBorders>
              <w:top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Units</w:t>
            </w:r>
          </w:p>
        </w:tc>
        <w:tc>
          <w:tcPr>
            <w:tcW w:w="152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Percentage</w:t>
            </w:r>
          </w:p>
        </w:tc>
      </w:tr>
      <w:tr>
        <w:trPr>
          <w:trHeight w:val="228"/>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Crossovers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13,214</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14,207</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67.3 %</w:t>
            </w:r>
          </w:p>
        </w:tc>
      </w:tr>
      <w:tr>
        <w:trPr>
          <w:trHeight w:val="228"/>
        </w:trPr>
        <w:tc>
          <w:tcPr>
            <w:tcW w:w="2240" w:type="dxa"/>
            <w:vAlign w:val="bottom"/>
          </w:tcPr>
          <w:p>
            <w:pPr>
              <w:ind w:left="2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20.9 %</w:t>
            </w:r>
          </w:p>
        </w:tc>
      </w:tr>
      <w:tr>
        <w:trPr>
          <w:trHeight w:val="228"/>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SUVs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28"/>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Cars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5.8 %</w:t>
            </w:r>
          </w:p>
        </w:tc>
      </w:tr>
      <w:tr>
        <w:trPr>
          <w:trHeight w:val="247"/>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74" w:lineRule="auto"/>
        <w:rPr>
          <w:sz w:val="20"/>
          <w:szCs w:val="20"/>
          <w:color w:val="auto"/>
        </w:rPr>
      </w:pPr>
      <w:r>
        <w:rPr>
          <w:rFonts w:ascii="Arial" w:cs="Arial" w:eastAsia="Arial" w:hAnsi="Arial"/>
          <w:sz w:val="17"/>
          <w:szCs w:val="17"/>
          <w:color w:val="auto"/>
        </w:rPr>
        <w:t>GM Financial's penetration of our retail sales in the U.S. was 43% in the nine months ended September 30, 2023 and 45% in the corresponding period in 2022. Penetration levels vary depending on incentive financing programs available and competing third-party financing products in the market. GM Financial's prime loan originations as a percentage of total loan originations in North America increased to 82% in the nine months ended September 30, 2023 from 80% in the corresponding period in 2022. In the nine months ended September 30, 2023, GM Financial's revenue consisted of leased vehicle income of 52%, retail finance charge income of 36% and commercial finance charge income of 6%.</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Consolidated Results </w:t>
      </w:r>
      <w:r>
        <w:rPr>
          <w:rFonts w:ascii="Arial" w:cs="Arial" w:eastAsia="Arial" w:hAnsi="Arial"/>
          <w:sz w:val="17"/>
          <w:szCs w:val="17"/>
          <w:color w:val="auto"/>
        </w:rPr>
        <w:t>We review changes in our results of operations under five categories: Volume, Mix, Price, Cost and Other. Volume measures the</w:t>
      </w:r>
      <w:r>
        <w:rPr>
          <w:rFonts w:ascii="Arial" w:cs="Arial" w:eastAsia="Arial" w:hAnsi="Arial"/>
          <w:sz w:val="17"/>
          <w:szCs w:val="17"/>
          <w:b w:val="1"/>
          <w:bCs w:val="1"/>
          <w:color w:val="auto"/>
        </w:rPr>
        <w:t xml:space="preserve"> </w:t>
      </w:r>
      <w:r>
        <w:rPr>
          <w:rFonts w:ascii="Arial" w:cs="Arial" w:eastAsia="Arial" w:hAnsi="Arial"/>
          <w:sz w:val="17"/>
          <w:szCs w:val="17"/>
          <w:color w:val="auto"/>
        </w:rPr>
        <w:t>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13"/>
                <w:szCs w:val="13"/>
                <w:color w:val="auto"/>
              </w:rPr>
            </w:pPr>
          </w:p>
        </w:tc>
        <w:tc>
          <w:tcPr>
            <w:tcW w:w="64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13"/>
                <w:szCs w:val="13"/>
                <w:color w:val="auto"/>
              </w:rPr>
            </w:pPr>
          </w:p>
        </w:tc>
        <w:tc>
          <w:tcPr>
            <w:tcW w:w="5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9"/>
              </w:rPr>
              <w:t>Price</w:t>
            </w:r>
          </w:p>
        </w:tc>
        <w:tc>
          <w:tcPr>
            <w:tcW w:w="220" w:type="dxa"/>
            <w:vAlign w:val="bottom"/>
          </w:tcPr>
          <w:p>
            <w:pPr>
              <w:spacing w:after="0"/>
              <w:rPr>
                <w:sz w:val="13"/>
                <w:szCs w:val="13"/>
                <w:color w:val="auto"/>
              </w:rPr>
            </w:pPr>
          </w:p>
        </w:tc>
        <w:tc>
          <w:tcPr>
            <w:tcW w:w="5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1"/>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w w:val="95"/>
              </w:rPr>
              <w:t>(Dollars in billions)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36,106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89"/>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GMI</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350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8.8 %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21"/>
              <w:spacing w:after="0"/>
              <w:rPr>
                <w:sz w:val="20"/>
                <w:szCs w:val="20"/>
                <w:color w:val="auto"/>
              </w:rPr>
            </w:pPr>
            <w:r>
              <w:rPr>
                <w:rFonts w:ascii="Arial" w:cs="Arial" w:eastAsia="Arial" w:hAnsi="Arial"/>
                <w:sz w:val="16"/>
                <w:szCs w:val="16"/>
                <w:color w:val="auto"/>
                <w:w w:val="91"/>
              </w:rPr>
              <w:t>(0.2)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0.3</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58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40,503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38,703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1,800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4.7 %</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1"/>
              <w:spacing w:after="0"/>
              <w:rPr>
                <w:sz w:val="20"/>
                <w:szCs w:val="20"/>
                <w:color w:val="auto"/>
              </w:rPr>
            </w:pPr>
            <w:r>
              <w:rPr>
                <w:rFonts w:ascii="Arial" w:cs="Arial" w:eastAsia="Arial" w:hAnsi="Arial"/>
                <w:sz w:val="16"/>
                <w:szCs w:val="16"/>
                <w:color w:val="auto"/>
                <w:w w:val="89"/>
              </w:rPr>
              <w:t>0.9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0.9</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Cruise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GM Financial</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454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14.2 %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Eliminations/reclassifications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540" w:type="dxa"/>
            <w:vAlign w:val="bottom"/>
          </w:tcPr>
          <w:p>
            <w:pPr>
              <w:ind w:left="20"/>
              <w:spacing w:after="0"/>
              <w:rPr>
                <w:sz w:val="20"/>
                <w:szCs w:val="20"/>
                <w:color w:val="auto"/>
              </w:rPr>
            </w:pPr>
            <w:r>
              <w:rPr>
                <w:rFonts w:ascii="Arial" w:cs="Arial" w:eastAsia="Arial" w:hAnsi="Arial"/>
                <w:sz w:val="16"/>
                <w:szCs w:val="16"/>
                <w:color w:val="auto"/>
              </w:rPr>
              <w:t>Total net sales and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44,131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41,889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2,242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5.4 %</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1"/>
              <w:spacing w:after="0"/>
              <w:rPr>
                <w:sz w:val="20"/>
                <w:szCs w:val="20"/>
                <w:color w:val="auto"/>
              </w:rPr>
            </w:pPr>
            <w:r>
              <w:rPr>
                <w:rFonts w:ascii="Arial" w:cs="Arial" w:eastAsia="Arial" w:hAnsi="Arial"/>
                <w:sz w:val="16"/>
                <w:szCs w:val="16"/>
                <w:color w:val="auto"/>
                <w:w w:val="89"/>
              </w:rPr>
              <w:t>0.9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0.9</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ind w:left="7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13"/>
                <w:szCs w:val="13"/>
                <w:color w:val="auto"/>
              </w:rPr>
            </w:pPr>
          </w:p>
        </w:tc>
        <w:tc>
          <w:tcPr>
            <w:tcW w:w="60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13"/>
                <w:szCs w:val="13"/>
                <w:color w:val="auto"/>
              </w:rPr>
            </w:pPr>
          </w:p>
        </w:tc>
        <w:tc>
          <w:tcPr>
            <w:tcW w:w="6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3"/>
                <w:szCs w:val="13"/>
                <w:color w:val="auto"/>
              </w:rPr>
            </w:pPr>
          </w:p>
        </w:tc>
        <w:tc>
          <w:tcPr>
            <w:tcW w:w="5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1"/>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w w:val="95"/>
              </w:rPr>
              <w:t>(Dollars in billions)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13,307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89"/>
              </w:rPr>
              <w:t>8.7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GMI</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911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8.2 %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21"/>
              <w:spacing w:after="0"/>
              <w:rPr>
                <w:sz w:val="20"/>
                <w:szCs w:val="20"/>
                <w:color w:val="auto"/>
              </w:rPr>
            </w:pPr>
            <w:r>
              <w:rPr>
                <w:rFonts w:ascii="Arial" w:cs="Arial" w:eastAsia="Arial" w:hAnsi="Arial"/>
                <w:sz w:val="16"/>
                <w:szCs w:val="16"/>
                <w:color w:val="auto"/>
                <w:w w:val="91"/>
              </w:rPr>
              <w:t>(0.3)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0.6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34.1 %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118,403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104,140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14,263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13.7 %</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1"/>
              <w:spacing w:after="0"/>
              <w:rPr>
                <w:sz w:val="20"/>
                <w:szCs w:val="20"/>
                <w:color w:val="auto"/>
              </w:rPr>
            </w:pPr>
            <w:r>
              <w:rPr>
                <w:rFonts w:ascii="Arial" w:cs="Arial" w:eastAsia="Arial" w:hAnsi="Arial"/>
                <w:sz w:val="16"/>
                <w:szCs w:val="16"/>
                <w:color w:val="auto"/>
                <w:w w:val="89"/>
              </w:rPr>
              <w:t>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1.7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3.7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Cruise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GM Financial</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9,489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993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10.5 %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Eliminations/reclassifications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540" w:type="dxa"/>
            <w:vAlign w:val="bottom"/>
          </w:tcPr>
          <w:p>
            <w:pPr>
              <w:ind w:left="20"/>
              <w:spacing w:after="0"/>
              <w:rPr>
                <w:sz w:val="20"/>
                <w:szCs w:val="20"/>
                <w:color w:val="auto"/>
              </w:rPr>
            </w:pPr>
            <w:r>
              <w:rPr>
                <w:rFonts w:ascii="Arial" w:cs="Arial" w:eastAsia="Arial" w:hAnsi="Arial"/>
                <w:sz w:val="16"/>
                <w:szCs w:val="16"/>
                <w:color w:val="auto"/>
              </w:rPr>
              <w:t>Total net sales and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128,863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113,627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15,236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13.4 %</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1"/>
              <w:spacing w:after="0"/>
              <w:rPr>
                <w:sz w:val="20"/>
                <w:szCs w:val="20"/>
                <w:color w:val="auto"/>
              </w:rPr>
            </w:pPr>
            <w:r>
              <w:rPr>
                <w:rFonts w:ascii="Arial" w:cs="Arial" w:eastAsia="Arial" w:hAnsi="Arial"/>
                <w:sz w:val="16"/>
                <w:szCs w:val="16"/>
                <w:color w:val="auto"/>
                <w:w w:val="89"/>
              </w:rPr>
              <w:t>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1.7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3.7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Refer to the regional sections of this MD&amp;A for additional information on Volume, Mix, Price and Other.</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Automotive and Other Cost of Sales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center"/>
              <w:ind w:right="41"/>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21"/>
              <w:spacing w:after="0"/>
              <w:rPr>
                <w:sz w:val="20"/>
                <w:szCs w:val="20"/>
                <w:color w:val="auto"/>
              </w:rPr>
            </w:pPr>
            <w:r>
              <w:rPr>
                <w:rFonts w:ascii="Arial" w:cs="Arial" w:eastAsia="Arial" w:hAnsi="Arial"/>
                <w:sz w:val="14"/>
                <w:szCs w:val="14"/>
                <w:b w:val="1"/>
                <w:bCs w:val="1"/>
                <w:color w:val="auto"/>
                <w:w w:val="92"/>
              </w:rPr>
              <w:t>Variance Due To</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4"/>
                <w:szCs w:val="14"/>
                <w:color w:val="auto"/>
              </w:rPr>
            </w:pPr>
          </w:p>
        </w:tc>
        <w:tc>
          <w:tcPr>
            <w:tcW w:w="104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Favorable/</w:t>
            </w:r>
          </w:p>
        </w:tc>
        <w:tc>
          <w:tcPr>
            <w:tcW w:w="10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14"/>
                <w:szCs w:val="14"/>
                <w:color w:val="auto"/>
              </w:rPr>
            </w:pPr>
          </w:p>
        </w:tc>
        <w:tc>
          <w:tcPr>
            <w:tcW w:w="62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14"/>
                <w:szCs w:val="14"/>
                <w:color w:val="auto"/>
              </w:rPr>
            </w:pPr>
          </w:p>
        </w:tc>
        <w:tc>
          <w:tcPr>
            <w:tcW w:w="6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5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1"/>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jc w:val="center"/>
              <w:ind w:right="121"/>
              <w:spacing w:after="0"/>
              <w:rPr>
                <w:sz w:val="20"/>
                <w:szCs w:val="20"/>
                <w:color w:val="auto"/>
              </w:rPr>
            </w:pPr>
            <w:r>
              <w:rPr>
                <w:rFonts w:ascii="Arial" w:cs="Arial" w:eastAsia="Arial" w:hAnsi="Arial"/>
                <w:sz w:val="14"/>
                <w:szCs w:val="14"/>
                <w:b w:val="1"/>
                <w:bCs w:val="1"/>
                <w:color w:val="auto"/>
                <w:w w:val="93"/>
              </w:rPr>
              <w:t>(Dollars in billions)</w:t>
            </w: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31,045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29,326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center"/>
              <w:ind w:left="102"/>
              <w:spacing w:after="0"/>
              <w:rPr>
                <w:sz w:val="20"/>
                <w:szCs w:val="20"/>
                <w:color w:val="auto"/>
              </w:rPr>
            </w:pPr>
            <w:r>
              <w:rPr>
                <w:rFonts w:ascii="Arial" w:cs="Arial" w:eastAsia="Arial" w:hAnsi="Arial"/>
                <w:sz w:val="16"/>
                <w:szCs w:val="16"/>
                <w:color w:val="auto"/>
                <w:w w:val="97"/>
              </w:rPr>
              <w:t>(0.7)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Arial" w:cs="Arial" w:eastAsia="Arial" w:hAnsi="Arial"/>
                <w:sz w:val="16"/>
                <w:szCs w:val="16"/>
                <w:color w:val="auto"/>
              </w:rPr>
              <w:t>GMI</w:t>
            </w:r>
          </w:p>
        </w:tc>
        <w:tc>
          <w:tcPr>
            <w:tcW w:w="1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3,966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3,773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2"/>
              <w:spacing w:after="0"/>
              <w:rPr>
                <w:sz w:val="20"/>
                <w:szCs w:val="20"/>
                <w:color w:val="auto"/>
              </w:rPr>
            </w:pPr>
            <w:r>
              <w:rPr>
                <w:rFonts w:ascii="Arial" w:cs="Arial" w:eastAsia="Arial" w:hAnsi="Arial"/>
                <w:sz w:val="16"/>
                <w:szCs w:val="16"/>
                <w:color w:val="auto"/>
                <w:w w:val="89"/>
              </w:rPr>
              <w:t>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Arial" w:cs="Arial" w:eastAsia="Arial" w:hAnsi="Arial"/>
                <w:sz w:val="16"/>
                <w:szCs w:val="16"/>
                <w:color w:val="auto"/>
              </w:rPr>
              <w:t>Cruise</w:t>
            </w:r>
          </w:p>
        </w:tc>
        <w:tc>
          <w:tcPr>
            <w:tcW w:w="1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460" w:type="dxa"/>
            <w:vAlign w:val="bottom"/>
          </w:tcPr>
          <w:p>
            <w:pPr>
              <w:ind w:left="20"/>
              <w:spacing w:after="0" w:line="145" w:lineRule="exact"/>
              <w:rPr>
                <w:sz w:val="20"/>
                <w:szCs w:val="20"/>
                <w:color w:val="auto"/>
              </w:rPr>
            </w:pPr>
            <w:r>
              <w:rPr>
                <w:rFonts w:ascii="Arial" w:cs="Arial" w:eastAsia="Arial" w:hAnsi="Arial"/>
                <w:sz w:val="16"/>
                <w:szCs w:val="16"/>
                <w:color w:val="auto"/>
              </w:rPr>
              <w:t>Total automotive and other cost of</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35,842</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33,700</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(2,142)</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center"/>
              <w:ind w:left="102"/>
              <w:spacing w:after="0"/>
              <w:rPr>
                <w:sz w:val="20"/>
                <w:szCs w:val="20"/>
                <w:color w:val="auto"/>
              </w:rPr>
            </w:pPr>
            <w:r>
              <w:rPr>
                <w:rFonts w:ascii="Arial" w:cs="Arial" w:eastAsia="Arial" w:hAnsi="Arial"/>
                <w:sz w:val="16"/>
                <w:szCs w:val="16"/>
                <w:color w:val="auto"/>
                <w:w w:val="97"/>
              </w:rPr>
              <w:t>(0.6)</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(0.3)</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(1.2)</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460" w:type="dxa"/>
            <w:vAlign w:val="bottom"/>
          </w:tcPr>
          <w:p>
            <w:pPr>
              <w:spacing w:after="0"/>
              <w:rPr>
                <w:sz w:val="20"/>
                <w:szCs w:val="20"/>
                <w:color w:val="auto"/>
              </w:rPr>
            </w:pPr>
            <w:r>
              <w:rPr>
                <w:rFonts w:ascii="Arial" w:cs="Arial" w:eastAsia="Arial" w:hAnsi="Arial"/>
                <w:sz w:val="16"/>
                <w:szCs w:val="16"/>
                <w:color w:val="auto"/>
              </w:rPr>
              <w:t>__________</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n.m. = not meaningful</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3"/>
          </w:tcPr>
          <w:p>
            <w:pPr>
              <w:jc w:val="center"/>
              <w:ind w:right="121"/>
              <w:spacing w:after="0"/>
              <w:rPr>
                <w:sz w:val="20"/>
                <w:szCs w:val="20"/>
                <w:color w:val="auto"/>
              </w:rPr>
            </w:pPr>
            <w:r>
              <w:rPr>
                <w:rFonts w:ascii="Arial" w:cs="Arial" w:eastAsia="Arial" w:hAnsi="Arial"/>
                <w:sz w:val="14"/>
                <w:szCs w:val="14"/>
                <w:b w:val="1"/>
                <w:bCs w:val="1"/>
                <w:color w:val="auto"/>
                <w:w w:val="92"/>
              </w:rPr>
              <w:t>Variance Due To</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3"/>
                <w:szCs w:val="13"/>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13"/>
                <w:szCs w:val="13"/>
                <w:color w:val="auto"/>
              </w:rPr>
            </w:pPr>
          </w:p>
        </w:tc>
        <w:tc>
          <w:tcPr>
            <w:tcW w:w="62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13"/>
                <w:szCs w:val="13"/>
                <w:color w:val="auto"/>
              </w:rPr>
            </w:pPr>
          </w:p>
        </w:tc>
        <w:tc>
          <w:tcPr>
            <w:tcW w:w="6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3"/>
                <w:szCs w:val="13"/>
                <w:color w:val="auto"/>
              </w:rPr>
            </w:pPr>
          </w:p>
        </w:tc>
        <w:tc>
          <w:tcPr>
            <w:tcW w:w="5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1"/>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jc w:val="center"/>
              <w:ind w:right="121"/>
              <w:spacing w:after="0"/>
              <w:rPr>
                <w:sz w:val="20"/>
                <w:szCs w:val="20"/>
                <w:color w:val="auto"/>
              </w:rPr>
            </w:pPr>
            <w:r>
              <w:rPr>
                <w:rFonts w:ascii="Arial" w:cs="Arial" w:eastAsia="Arial" w:hAnsi="Arial"/>
                <w:sz w:val="14"/>
                <w:szCs w:val="14"/>
                <w:b w:val="1"/>
                <w:bCs w:val="1"/>
                <w:color w:val="auto"/>
                <w:w w:val="93"/>
              </w:rPr>
              <w:t>(Dollars in billions)</w:t>
            </w: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91,889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79,580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center"/>
              <w:ind w:left="102"/>
              <w:spacing w:after="0"/>
              <w:rPr>
                <w:sz w:val="20"/>
                <w:szCs w:val="20"/>
                <w:color w:val="auto"/>
              </w:rPr>
            </w:pPr>
            <w:r>
              <w:rPr>
                <w:rFonts w:ascii="Arial" w:cs="Arial" w:eastAsia="Arial" w:hAnsi="Arial"/>
                <w:sz w:val="16"/>
                <w:szCs w:val="16"/>
                <w:color w:val="auto"/>
                <w:w w:val="97"/>
              </w:rPr>
              <w:t>(6.3)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Arial" w:cs="Arial" w:eastAsia="Arial" w:hAnsi="Arial"/>
                <w:sz w:val="16"/>
                <w:szCs w:val="16"/>
                <w:color w:val="auto"/>
              </w:rPr>
              <w:t>GMI</w:t>
            </w:r>
          </w:p>
        </w:tc>
        <w:tc>
          <w:tcPr>
            <w:tcW w:w="1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10,704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10,244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2"/>
              <w:spacing w:after="0"/>
              <w:rPr>
                <w:sz w:val="20"/>
                <w:szCs w:val="20"/>
                <w:color w:val="auto"/>
              </w:rPr>
            </w:pPr>
            <w:r>
              <w:rPr>
                <w:rFonts w:ascii="Arial" w:cs="Arial" w:eastAsia="Arial" w:hAnsi="Arial"/>
                <w:sz w:val="16"/>
                <w:szCs w:val="16"/>
                <w:color w:val="auto"/>
                <w:w w:val="89"/>
              </w:rPr>
              <w:t>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(0.4)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(0.5)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18.1 %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Arial" w:cs="Arial" w:eastAsia="Arial" w:hAnsi="Arial"/>
                <w:sz w:val="16"/>
                <w:szCs w:val="16"/>
                <w:color w:val="auto"/>
              </w:rPr>
              <w:t>Cruise</w:t>
            </w:r>
          </w:p>
        </w:tc>
        <w:tc>
          <w:tcPr>
            <w:tcW w:w="1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1,811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2,094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283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13.5 %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460" w:type="dxa"/>
            <w:vAlign w:val="bottom"/>
          </w:tcPr>
          <w:p>
            <w:pPr>
              <w:ind w:left="20"/>
              <w:spacing w:after="0" w:line="145" w:lineRule="exact"/>
              <w:rPr>
                <w:sz w:val="20"/>
                <w:szCs w:val="20"/>
                <w:color w:val="auto"/>
              </w:rPr>
            </w:pPr>
            <w:r>
              <w:rPr>
                <w:rFonts w:ascii="Arial" w:cs="Arial" w:eastAsia="Arial" w:hAnsi="Arial"/>
                <w:sz w:val="16"/>
                <w:szCs w:val="16"/>
                <w:color w:val="auto"/>
              </w:rPr>
              <w:t>Total automotive and other cost of</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ind w:right="2"/>
              <w:spacing w:after="0"/>
              <w:rPr>
                <w:sz w:val="20"/>
                <w:szCs w:val="20"/>
                <w:color w:val="auto"/>
              </w:rPr>
            </w:pPr>
            <w:r>
              <w:rPr>
                <w:rFonts w:ascii="Arial" w:cs="Arial" w:eastAsia="Arial" w:hAnsi="Arial"/>
                <w:sz w:val="16"/>
                <w:szCs w:val="16"/>
                <w:color w:val="auto"/>
              </w:rPr>
              <w:t>104,721</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ind w:right="1"/>
              <w:spacing w:after="0"/>
              <w:rPr>
                <w:sz w:val="20"/>
                <w:szCs w:val="20"/>
                <w:color w:val="auto"/>
              </w:rPr>
            </w:pPr>
            <w:r>
              <w:rPr>
                <w:rFonts w:ascii="Arial" w:cs="Arial" w:eastAsia="Arial" w:hAnsi="Arial"/>
                <w:sz w:val="16"/>
                <w:szCs w:val="16"/>
                <w:color w:val="auto"/>
              </w:rPr>
              <w:t>92,314</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(12,407)</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center"/>
              <w:ind w:left="102"/>
              <w:spacing w:after="0"/>
              <w:rPr>
                <w:sz w:val="20"/>
                <w:szCs w:val="20"/>
                <w:color w:val="auto"/>
              </w:rPr>
            </w:pPr>
            <w:r>
              <w:rPr>
                <w:rFonts w:ascii="Arial" w:cs="Arial" w:eastAsia="Arial" w:hAnsi="Arial"/>
                <w:sz w:val="16"/>
                <w:szCs w:val="16"/>
                <w:color w:val="auto"/>
                <w:w w:val="97"/>
              </w:rPr>
              <w:t>(6.1)</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(1.6)</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(5.2)</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41"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three months ended September 30, 2023, increased Cost was primarily due to: (1) increased EV-related costs of $0.4 billion; (2) increased other cost of sales of $0.3 billion; (3) increased costs of $0.2 billion primarily related to parts and accessories sales; and (4) increased campaigns and other warranty-related costs of $0.2 billion.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7"/>
          <w:szCs w:val="17"/>
          <w:color w:val="auto"/>
        </w:rPr>
        <w:t>In the nine months ended September 30, 2023, increased Cost was primarily due to: (1) increased campaigns and other warranty-related costs of $2.0 billion; (2) charges of $0.7 billion related to the VSP; (3) increased EV-related costs of $0.6 billion; (4) increased costs of $0.6 billion primarily related to parts and accessories sales; (5) increased material and freight costs of $0.5 billion; (6) increased manufacturing costs of $0.5 billion; and (7) increased engineering costs of $0.4 billion primarily related to AV development cost; partially offset by (8) decrease of $0.8 billion due to the absence of the charge for the modification of Cruise stock incentive awards in 2022. In the nine months ended September 30, 2023, favorable Other was primarily due to the weakening of the Argentine peso and other currencies against the U.S. dollar.</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Refer to the regional sections of this MD&amp;A for additional information on Volume and Mix.</w:t>
      </w:r>
    </w:p>
    <w:p>
      <w:pPr>
        <w:spacing w:after="0" w:line="23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Automotive and Other Selling, General and Administrative Expense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75"/>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September 30,</w:t>
            </w:r>
          </w:p>
        </w:tc>
        <w:tc>
          <w:tcPr>
            <w:tcW w:w="120" w:type="dxa"/>
            <w:vAlign w:val="bottom"/>
          </w:tcPr>
          <w:p>
            <w:pPr>
              <w:spacing w:after="0"/>
              <w:rPr>
                <w:sz w:val="15"/>
                <w:szCs w:val="15"/>
                <w:color w:val="auto"/>
              </w:rPr>
            </w:pPr>
          </w:p>
        </w:tc>
        <w:tc>
          <w:tcPr>
            <w:tcW w:w="940" w:type="dxa"/>
            <w:vAlign w:val="bottom"/>
          </w:tcPr>
          <w:p>
            <w:pPr>
              <w:jc w:val="center"/>
              <w:ind w:right="51"/>
              <w:spacing w:after="0"/>
              <w:rPr>
                <w:sz w:val="20"/>
                <w:szCs w:val="20"/>
                <w:color w:val="auto"/>
              </w:rPr>
            </w:pPr>
            <w:r>
              <w:rPr>
                <w:rFonts w:ascii="Arial" w:cs="Arial" w:eastAsia="Arial" w:hAnsi="Arial"/>
                <w:sz w:val="13"/>
                <w:szCs w:val="13"/>
                <w:b w:val="1"/>
                <w:bCs w:val="1"/>
                <w:color w:val="auto"/>
                <w:w w:val="87"/>
              </w:rPr>
              <w:t>September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Favorable/</w:t>
            </w:r>
          </w:p>
        </w:tc>
        <w:tc>
          <w:tcPr>
            <w:tcW w:w="8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September 30,</w:t>
            </w:r>
          </w:p>
        </w:tc>
        <w:tc>
          <w:tcPr>
            <w:tcW w:w="140" w:type="dxa"/>
            <w:vAlign w:val="bottom"/>
          </w:tcPr>
          <w:p>
            <w:pPr>
              <w:spacing w:after="0"/>
              <w:rPr>
                <w:sz w:val="15"/>
                <w:szCs w:val="15"/>
                <w:color w:val="auto"/>
              </w:rPr>
            </w:pPr>
          </w:p>
        </w:tc>
        <w:tc>
          <w:tcPr>
            <w:tcW w:w="940" w:type="dxa"/>
            <w:vAlign w:val="bottom"/>
          </w:tcPr>
          <w:p>
            <w:pPr>
              <w:jc w:val="center"/>
              <w:ind w:right="51"/>
              <w:spacing w:after="0"/>
              <w:rPr>
                <w:sz w:val="20"/>
                <w:szCs w:val="20"/>
                <w:color w:val="auto"/>
              </w:rPr>
            </w:pPr>
            <w:r>
              <w:rPr>
                <w:rFonts w:ascii="Arial" w:cs="Arial" w:eastAsia="Arial" w:hAnsi="Arial"/>
                <w:sz w:val="13"/>
                <w:szCs w:val="13"/>
                <w:b w:val="1"/>
                <w:bCs w:val="1"/>
                <w:color w:val="auto"/>
                <w:w w:val="87"/>
              </w:rPr>
              <w:t>September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Favorable/</w:t>
            </w:r>
          </w:p>
        </w:tc>
        <w:tc>
          <w:tcPr>
            <w:tcW w:w="820" w:type="dxa"/>
            <w:vAlign w:val="bottom"/>
          </w:tcPr>
          <w:p>
            <w:pPr>
              <w:spacing w:after="0"/>
              <w:rPr>
                <w:sz w:val="15"/>
                <w:szCs w:val="15"/>
                <w:color w:val="auto"/>
              </w:rPr>
            </w:pPr>
          </w:p>
        </w:tc>
      </w:tr>
      <w:tr>
        <w:trPr>
          <w:trHeight w:val="182"/>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5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3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(Unfavorable)</w:t>
            </w:r>
          </w:p>
        </w:tc>
        <w:tc>
          <w:tcPr>
            <w:tcW w:w="820" w:type="dxa"/>
            <w:vAlign w:val="bottom"/>
          </w:tcPr>
          <w:p>
            <w:pPr>
              <w:jc w:val="right"/>
              <w:ind w:right="268"/>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3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3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820" w:type="dxa"/>
            <w:vAlign w:val="bottom"/>
          </w:tcPr>
          <w:p>
            <w:pPr>
              <w:ind w:left="340"/>
              <w:spacing w:after="0"/>
              <w:rPr>
                <w:sz w:val="20"/>
                <w:szCs w:val="20"/>
                <w:color w:val="auto"/>
              </w:rPr>
            </w:pPr>
            <w:r>
              <w:rPr>
                <w:rFonts w:ascii="Arial" w:cs="Arial" w:eastAsia="Arial" w:hAnsi="Arial"/>
                <w:sz w:val="13"/>
                <w:szCs w:val="13"/>
                <w:b w:val="1"/>
                <w:bCs w:val="1"/>
                <w:color w:val="auto"/>
              </w:rPr>
              <w:t>%</w:t>
            </w:r>
          </w:p>
        </w:tc>
      </w:tr>
      <w:tr>
        <w:trPr>
          <w:trHeight w:val="161"/>
        </w:trPr>
        <w:tc>
          <w:tcPr>
            <w:tcW w:w="246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8"/>
                <w:szCs w:val="18"/>
                <w:color w:val="auto"/>
              </w:rPr>
              <w:t>Automotive and other selling,</w:t>
            </w: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r>
      <w:tr>
        <w:trPr>
          <w:trHeight w:val="187"/>
        </w:trPr>
        <w:tc>
          <w:tcPr>
            <w:tcW w:w="2460" w:type="dxa"/>
            <w:vAlign w:val="bottom"/>
            <w:shd w:val="clear" w:color="auto" w:fill="CCEEFF"/>
          </w:tcPr>
          <w:p>
            <w:pPr>
              <w:ind w:left="180"/>
              <w:spacing w:after="0" w:line="188"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29"/>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2,344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3"/>
              </w:rPr>
              <w:t>(2.4)%</w:t>
            </w:r>
          </w:p>
        </w:tc>
      </w:tr>
    </w:tbl>
    <w:p>
      <w:pPr>
        <w:spacing w:after="0" w:line="322"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In the three months ended September 30, 2023, Automotive and other selling, general and administrative expense decreased primarily due to decreased advertising, selling and administrative costs of $0.2 billion, partially offset by charges of $0.1 billion for strategic activities related to Buick dealerships.</w:t>
      </w:r>
    </w:p>
    <w:p>
      <w:pPr>
        <w:spacing w:after="0" w:line="15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nine months ended September 30, 2023, Automotive and other selling, general and administrative expense increased primarily due to: (1) charges of $0.4 billion for strategic activities related to Buick dealerships; and (2) charges of $0.2 billion related to the VSP; partially offset by (3) a decrease of $0.3 billion due to the absence of the charge for the modification of Cruise stock incentive awards in 2022.</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3"/>
        </w:trPr>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September 30,</w:t>
            </w:r>
          </w:p>
        </w:tc>
        <w:tc>
          <w:tcPr>
            <w:tcW w:w="120" w:type="dxa"/>
            <w:vAlign w:val="bottom"/>
          </w:tcPr>
          <w:p>
            <w:pPr>
              <w:spacing w:after="0"/>
              <w:rPr>
                <w:sz w:val="15"/>
                <w:szCs w:val="15"/>
                <w:color w:val="auto"/>
              </w:rPr>
            </w:pPr>
          </w:p>
        </w:tc>
        <w:tc>
          <w:tcPr>
            <w:tcW w:w="920" w:type="dxa"/>
            <w:vAlign w:val="bottom"/>
          </w:tcPr>
          <w:p>
            <w:pPr>
              <w:jc w:val="center"/>
              <w:ind w:right="48"/>
              <w:spacing w:after="0"/>
              <w:rPr>
                <w:sz w:val="20"/>
                <w:szCs w:val="20"/>
                <w:color w:val="auto"/>
              </w:rPr>
            </w:pPr>
            <w:r>
              <w:rPr>
                <w:rFonts w:ascii="Arial" w:cs="Arial" w:eastAsia="Arial" w:hAnsi="Arial"/>
                <w:sz w:val="13"/>
                <w:szCs w:val="13"/>
                <w:b w:val="1"/>
                <w:bCs w:val="1"/>
                <w:color w:val="auto"/>
                <w:w w:val="85"/>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Favorable/</w:t>
            </w: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September 30,</w:t>
            </w:r>
          </w:p>
        </w:tc>
        <w:tc>
          <w:tcPr>
            <w:tcW w:w="140" w:type="dxa"/>
            <w:vAlign w:val="bottom"/>
          </w:tcPr>
          <w:p>
            <w:pPr>
              <w:spacing w:after="0"/>
              <w:rPr>
                <w:sz w:val="15"/>
                <w:szCs w:val="15"/>
                <w:color w:val="auto"/>
              </w:rPr>
            </w:pPr>
          </w:p>
        </w:tc>
        <w:tc>
          <w:tcPr>
            <w:tcW w:w="900" w:type="dxa"/>
            <w:vAlign w:val="bottom"/>
          </w:tcPr>
          <w:p>
            <w:pPr>
              <w:jc w:val="center"/>
              <w:ind w:right="68"/>
              <w:spacing w:after="0"/>
              <w:rPr>
                <w:sz w:val="20"/>
                <w:szCs w:val="20"/>
                <w:color w:val="auto"/>
              </w:rPr>
            </w:pPr>
            <w:r>
              <w:rPr>
                <w:rFonts w:ascii="Arial" w:cs="Arial" w:eastAsia="Arial" w:hAnsi="Arial"/>
                <w:sz w:val="13"/>
                <w:szCs w:val="13"/>
                <w:b w:val="1"/>
                <w:bCs w:val="1"/>
                <w:color w:val="auto"/>
                <w:w w:val="85"/>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Favorable/</w:t>
            </w:r>
          </w:p>
        </w:tc>
        <w:tc>
          <w:tcPr>
            <w:tcW w:w="920" w:type="dxa"/>
            <w:vAlign w:val="bottom"/>
          </w:tcPr>
          <w:p>
            <w:pPr>
              <w:spacing w:after="0"/>
              <w:rPr>
                <w:sz w:val="15"/>
                <w:szCs w:val="15"/>
                <w:color w:val="auto"/>
              </w:rPr>
            </w:pPr>
          </w:p>
        </w:tc>
      </w:tr>
      <w:tr>
        <w:trPr>
          <w:trHeight w:val="173"/>
        </w:trPr>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3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08"/>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920" w:type="dxa"/>
            <w:vAlign w:val="bottom"/>
          </w:tcPr>
          <w:p>
            <w:pPr>
              <w:jc w:val="right"/>
              <w:ind w:right="324"/>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1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08"/>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920" w:type="dxa"/>
            <w:vAlign w:val="bottom"/>
          </w:tcPr>
          <w:p>
            <w:pPr>
              <w:jc w:val="right"/>
              <w:ind w:right="324"/>
              <w:spacing w:after="0"/>
              <w:rPr>
                <w:sz w:val="20"/>
                <w:szCs w:val="20"/>
                <w:color w:val="auto"/>
              </w:rPr>
            </w:pPr>
            <w:r>
              <w:rPr>
                <w:rFonts w:ascii="Arial" w:cs="Arial" w:eastAsia="Arial" w:hAnsi="Arial"/>
                <w:sz w:val="13"/>
                <w:szCs w:val="13"/>
                <w:b w:val="1"/>
                <w:bCs w:val="1"/>
                <w:color w:val="auto"/>
              </w:rPr>
              <w:t>%</w:t>
            </w:r>
          </w:p>
        </w:tc>
      </w:tr>
      <w:tr>
        <w:trPr>
          <w:trHeight w:val="174"/>
        </w:trPr>
        <w:tc>
          <w:tcPr>
            <w:tcW w:w="2380" w:type="dxa"/>
            <w:vAlign w:val="bottom"/>
            <w:tcBorders>
              <w:top w:val="single" w:sz="8" w:color="CCEEFF"/>
            </w:tcBorders>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Interest income and other non-</w:t>
            </w: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r>
      <w:tr>
        <w:trPr>
          <w:trHeight w:val="229"/>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bl>
    <w:p>
      <w:pPr>
        <w:spacing w:after="0" w:line="322"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In the three months ended September 30, 2023, Interest income and other non-operating income, net decreased primarily due to $0.3 billion decrease in non-service pension income partially offset by $0.2 billion increase in interest income.</w:t>
      </w:r>
    </w:p>
    <w:p>
      <w:pPr>
        <w:spacing w:after="0" w:line="197"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In the nine months ended September 30, 2023, Interest income and other non-operating income, net decreased primarily due to: (1) $0.9 billion decrease in non-service pension income; (2) the absence of $0.3 billion in gains related to revaluation of investments that occurred in the nine months ended September 30, 2022; partially offset by (3) $0.6 billion increase in interest income; and (4) the absence of $0.4 billion in losses related to Stellantis warrants that occurred in the nine months ended September 30, 2022, as warrants were exercised in 2022.</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75"/>
        </w:trPr>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September 30,</w:t>
            </w:r>
          </w:p>
        </w:tc>
        <w:tc>
          <w:tcPr>
            <w:tcW w:w="12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Arial" w:cs="Arial" w:eastAsia="Arial" w:hAnsi="Arial"/>
                <w:sz w:val="13"/>
                <w:szCs w:val="13"/>
                <w:b w:val="1"/>
                <w:bCs w:val="1"/>
                <w:color w:val="auto"/>
                <w:w w:val="85"/>
              </w:rPr>
              <w:t>September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Favorable/</w:t>
            </w:r>
          </w:p>
        </w:tc>
        <w:tc>
          <w:tcPr>
            <w:tcW w:w="8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September 30,</w:t>
            </w:r>
          </w:p>
        </w:tc>
        <w:tc>
          <w:tcPr>
            <w:tcW w:w="14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Arial" w:cs="Arial" w:eastAsia="Arial" w:hAnsi="Arial"/>
                <w:sz w:val="13"/>
                <w:szCs w:val="13"/>
                <w:b w:val="1"/>
                <w:bCs w:val="1"/>
                <w:color w:val="auto"/>
                <w:w w:val="85"/>
              </w:rPr>
              <w:t>September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Favorable/</w:t>
            </w:r>
          </w:p>
        </w:tc>
        <w:tc>
          <w:tcPr>
            <w:tcW w:w="820" w:type="dxa"/>
            <w:vAlign w:val="bottom"/>
          </w:tcPr>
          <w:p>
            <w:pPr>
              <w:spacing w:after="0"/>
              <w:rPr>
                <w:sz w:val="15"/>
                <w:szCs w:val="15"/>
                <w:color w:val="auto"/>
              </w:rPr>
            </w:pPr>
          </w:p>
        </w:tc>
      </w:tr>
      <w:tr>
        <w:trPr>
          <w:trHeight w:val="182"/>
        </w:trPr>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31"/>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28"/>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820" w:type="dxa"/>
            <w:vAlign w:val="bottom"/>
          </w:tcPr>
          <w:p>
            <w:pPr>
              <w:jc w:val="right"/>
              <w:ind w:right="264"/>
              <w:spacing w:after="0"/>
              <w:rPr>
                <w:sz w:val="20"/>
                <w:szCs w:val="20"/>
                <w:color w:val="auto"/>
              </w:rPr>
            </w:pPr>
            <w:r>
              <w:rPr>
                <w:rFonts w:ascii="Arial" w:cs="Arial" w:eastAsia="Arial" w:hAnsi="Arial"/>
                <w:sz w:val="13"/>
                <w:szCs w:val="13"/>
                <w:b w:val="1"/>
                <w:bCs w:val="1"/>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5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48"/>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820" w:type="dxa"/>
            <w:vAlign w:val="bottom"/>
          </w:tcPr>
          <w:p>
            <w:pPr>
              <w:jc w:val="right"/>
              <w:ind w:right="264"/>
              <w:spacing w:after="0"/>
              <w:rPr>
                <w:sz w:val="20"/>
                <w:szCs w:val="20"/>
                <w:color w:val="auto"/>
              </w:rPr>
            </w:pPr>
            <w:r>
              <w:rPr>
                <w:rFonts w:ascii="Arial" w:cs="Arial" w:eastAsia="Arial" w:hAnsi="Arial"/>
                <w:sz w:val="13"/>
                <w:szCs w:val="13"/>
                <w:b w:val="1"/>
                <w:bCs w:val="1"/>
                <w:color w:val="auto"/>
              </w:rPr>
              <w:t>%</w:t>
            </w:r>
          </w:p>
        </w:tc>
      </w:tr>
      <w:tr>
        <w:trPr>
          <w:trHeight w:val="228"/>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8"/>
                <w:szCs w:val="18"/>
                <w:color w:val="auto"/>
              </w:rPr>
              <w:t>845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44.4 %</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1,421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8"/>
                <w:szCs w:val="18"/>
                <w:color w:val="auto"/>
              </w:rPr>
              <w:t>1,308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bl>
    <w:p>
      <w:pPr>
        <w:spacing w:after="0" w:line="200" w:lineRule="exact"/>
        <w:rPr>
          <w:sz w:val="20"/>
          <w:szCs w:val="20"/>
          <w:color w:val="auto"/>
        </w:rPr>
      </w:pPr>
    </w:p>
    <w:p>
      <w:pPr>
        <w:spacing w:after="0" w:line="310" w:lineRule="exact"/>
        <w:rPr>
          <w:sz w:val="20"/>
          <w:szCs w:val="20"/>
          <w:color w:val="auto"/>
        </w:rPr>
      </w:pPr>
    </w:p>
    <w:p>
      <w:pPr>
        <w:ind w:firstLine="161"/>
        <w:spacing w:after="0" w:line="259" w:lineRule="auto"/>
        <w:rPr>
          <w:sz w:val="20"/>
          <w:szCs w:val="20"/>
          <w:color w:val="auto"/>
        </w:rPr>
      </w:pPr>
      <w:r>
        <w:rPr>
          <w:rFonts w:ascii="Arial" w:cs="Arial" w:eastAsia="Arial" w:hAnsi="Arial"/>
          <w:sz w:val="18"/>
          <w:szCs w:val="18"/>
          <w:color w:val="auto"/>
        </w:rPr>
        <w:t>In the three months ended September 30, 2023, Income tax expense decreased due to a lower effective tax rate primarily related to jurisdictional mix of earnings.</w:t>
      </w:r>
    </w:p>
    <w:p>
      <w:pPr>
        <w:spacing w:after="0" w:line="185" w:lineRule="exact"/>
        <w:rPr>
          <w:sz w:val="20"/>
          <w:szCs w:val="20"/>
          <w:color w:val="auto"/>
        </w:rPr>
      </w:pPr>
    </w:p>
    <w:p>
      <w:pPr>
        <w:ind w:firstLine="161"/>
        <w:spacing w:after="0" w:line="304" w:lineRule="auto"/>
        <w:rPr>
          <w:sz w:val="20"/>
          <w:szCs w:val="20"/>
          <w:color w:val="auto"/>
        </w:rPr>
      </w:pPr>
      <w:r>
        <w:rPr>
          <w:rFonts w:ascii="Arial" w:cs="Arial" w:eastAsia="Arial" w:hAnsi="Arial"/>
          <w:sz w:val="16"/>
          <w:szCs w:val="16"/>
          <w:color w:val="auto"/>
        </w:rPr>
        <w:t>In the nine months ended September 30, 2023, Income tax expense increased primarily due to the absence of the Cruise valuation allowance adjustment that occurred in the nine months ended September 30, 2022, partially offset by a lower effective tax rate related to jurisdictional mix of earnings.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the three and nine months ended September 30, 2023, our ETR-adjusted was 13.8% and 16.6%.</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238125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Refer to Note 14 to our condensed consolidated financial statements for additional information related to Income tax expense.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4"/>
          </w:tcPr>
          <w:p>
            <w:pPr>
              <w:jc w:val="center"/>
              <w:ind w:left="141"/>
              <w:spacing w:after="0"/>
              <w:rPr>
                <w:sz w:val="20"/>
                <w:szCs w:val="20"/>
                <w:color w:val="auto"/>
              </w:rPr>
            </w:pPr>
            <w:r>
              <w:rPr>
                <w:rFonts w:ascii="Arial" w:cs="Arial" w:eastAsia="Arial" w:hAnsi="Arial"/>
                <w:sz w:val="14"/>
                <w:szCs w:val="14"/>
                <w:b w:val="1"/>
                <w:bCs w:val="1"/>
                <w:color w:val="auto"/>
                <w:w w:val="91"/>
              </w:rPr>
              <w:t>Variance Due To</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w:t>
            </w: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w w:val="96"/>
              </w:rPr>
              <w:t>September 30, 2023</w:t>
            </w: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vMerge w:val="restart"/>
          </w:tcPr>
          <w:p>
            <w:pPr>
              <w:jc w:val="right"/>
              <w:ind w:right="54"/>
              <w:spacing w:after="0"/>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12"/>
                <w:szCs w:val="12"/>
                <w:color w:val="auto"/>
              </w:rPr>
            </w:pPr>
          </w:p>
        </w:tc>
        <w:tc>
          <w:tcPr>
            <w:tcW w:w="5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12"/>
                <w:szCs w:val="12"/>
                <w:color w:val="auto"/>
              </w:rPr>
            </w:pPr>
          </w:p>
        </w:tc>
        <w:tc>
          <w:tcPr>
            <w:tcW w:w="4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2"/>
                <w:szCs w:val="12"/>
                <w:color w:val="auto"/>
              </w:rPr>
            </w:pPr>
          </w:p>
        </w:tc>
        <w:tc>
          <w:tcPr>
            <w:tcW w:w="5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1"/>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9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left="141"/>
              <w:spacing w:after="0"/>
              <w:rPr>
                <w:sz w:val="20"/>
                <w:szCs w:val="20"/>
                <w:color w:val="auto"/>
              </w:rPr>
            </w:pPr>
            <w:r>
              <w:rPr>
                <w:rFonts w:ascii="Arial" w:cs="Arial" w:eastAsia="Arial" w:hAnsi="Arial"/>
                <w:sz w:val="14"/>
                <w:szCs w:val="14"/>
                <w:b w:val="1"/>
                <w:bCs w:val="1"/>
                <w:color w:val="auto"/>
                <w:w w:val="92"/>
              </w:rPr>
              <w:t>(Dollars in billions)</w:t>
            </w: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Total net sales and revenue</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36,106</w:t>
            </w:r>
          </w:p>
        </w:tc>
        <w:tc>
          <w:tcPr>
            <w:tcW w:w="72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34,691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4.1 %</w:t>
            </w:r>
          </w:p>
        </w:tc>
        <w:tc>
          <w:tcPr>
            <w:tcW w:w="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28"/>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EBIT-adjusted</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3,526</w:t>
            </w:r>
          </w:p>
        </w:tc>
        <w:tc>
          <w:tcPr>
            <w:tcW w:w="720" w:type="dxa"/>
            <w:vAlign w:val="bottom"/>
          </w:tcPr>
          <w:p>
            <w:pPr>
              <w:jc w:val="right"/>
              <w:ind w:right="439"/>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3,894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w w:val="94"/>
              </w:rPr>
              <w:t>(9.5)%</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
              <w:spacing w:after="0"/>
              <w:rPr>
                <w:sz w:val="20"/>
                <w:szCs w:val="20"/>
                <w:color w:val="auto"/>
              </w:rPr>
            </w:pPr>
            <w:r>
              <w:rPr>
                <w:rFonts w:ascii="Arial" w:cs="Arial" w:eastAsia="Arial" w:hAnsi="Arial"/>
                <w:sz w:val="18"/>
                <w:szCs w:val="18"/>
                <w:color w:val="auto"/>
              </w:rPr>
              <w:t>(0.6)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center"/>
              <w:ind w:left="36"/>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28"/>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810</w:t>
            </w:r>
          </w:p>
        </w:tc>
        <w:tc>
          <w:tcPr>
            <w:tcW w:w="7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784</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3.3 %</w:t>
            </w:r>
          </w:p>
        </w:tc>
        <w:tc>
          <w:tcPr>
            <w:tcW w:w="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43"/>
        </w:trPr>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4"/>
            <w:vMerge w:val="restart"/>
          </w:tcPr>
          <w:p>
            <w:pPr>
              <w:jc w:val="center"/>
              <w:ind w:left="16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w:t>
            </w: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w w:val="96"/>
              </w:rPr>
              <w:t>September 30, 2023</w:t>
            </w: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86"/>
              </w:rPr>
              <w:t>Volume</w:t>
            </w:r>
          </w:p>
        </w:tc>
        <w:tc>
          <w:tcPr>
            <w:tcW w:w="220" w:type="dxa"/>
            <w:vAlign w:val="bottom"/>
          </w:tcPr>
          <w:p>
            <w:pPr>
              <w:spacing w:after="0"/>
              <w:rPr>
                <w:sz w:val="12"/>
                <w:szCs w:val="12"/>
                <w:color w:val="auto"/>
              </w:rPr>
            </w:pPr>
          </w:p>
        </w:tc>
        <w:tc>
          <w:tcPr>
            <w:tcW w:w="52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12"/>
                <w:szCs w:val="12"/>
                <w:color w:val="auto"/>
              </w:rPr>
            </w:pPr>
          </w:p>
        </w:tc>
        <w:tc>
          <w:tcPr>
            <w:tcW w:w="4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2"/>
                <w:szCs w:val="12"/>
                <w:color w:val="auto"/>
              </w:rPr>
            </w:pPr>
          </w:p>
        </w:tc>
        <w:tc>
          <w:tcPr>
            <w:tcW w:w="5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1"/>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9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left="16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Total net sales and revenue</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106,214</w:t>
            </w:r>
          </w:p>
        </w:tc>
        <w:tc>
          <w:tcPr>
            <w:tcW w:w="72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92,907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13,307</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9"/>
              </w:rPr>
              <w:t>14.3 %</w:t>
            </w:r>
          </w:p>
        </w:tc>
        <w:tc>
          <w:tcPr>
            <w:tcW w:w="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87"/>
              </w:rPr>
              <w:t>0.8</w:t>
            </w:r>
          </w:p>
        </w:tc>
        <w:tc>
          <w:tcPr>
            <w:tcW w:w="0" w:type="dxa"/>
            <w:vAlign w:val="bottom"/>
          </w:tcPr>
          <w:p>
            <w:pPr>
              <w:spacing w:after="0"/>
              <w:rPr>
                <w:sz w:val="1"/>
                <w:szCs w:val="1"/>
                <w:color w:val="auto"/>
              </w:rPr>
            </w:pPr>
          </w:p>
        </w:tc>
      </w:tr>
      <w:tr>
        <w:trPr>
          <w:trHeight w:val="228"/>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EBIT-adjusted</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10,295</w:t>
            </w:r>
          </w:p>
        </w:tc>
        <w:tc>
          <w:tcPr>
            <w:tcW w:w="720" w:type="dxa"/>
            <w:vAlign w:val="bottom"/>
          </w:tcPr>
          <w:p>
            <w:pPr>
              <w:jc w:val="right"/>
              <w:ind w:right="439"/>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9,334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6"/>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w w:val="89"/>
              </w:rPr>
              <w:t>10.3 %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center"/>
              <w:ind w:left="36"/>
              <w:spacing w:after="0"/>
              <w:rPr>
                <w:sz w:val="20"/>
                <w:szCs w:val="20"/>
                <w:color w:val="auto"/>
              </w:rPr>
            </w:pPr>
            <w:r>
              <w:rPr>
                <w:rFonts w:ascii="Arial" w:cs="Arial" w:eastAsia="Arial" w:hAnsi="Arial"/>
                <w:sz w:val="18"/>
                <w:szCs w:val="18"/>
                <w:color w:val="auto"/>
                <w:w w:val="91"/>
              </w:rPr>
              <w:t>(0.2)</w:t>
            </w:r>
          </w:p>
        </w:tc>
        <w:tc>
          <w:tcPr>
            <w:tcW w:w="0" w:type="dxa"/>
            <w:vAlign w:val="bottom"/>
          </w:tcPr>
          <w:p>
            <w:pPr>
              <w:spacing w:after="0"/>
              <w:rPr>
                <w:sz w:val="1"/>
                <w:szCs w:val="1"/>
                <w:color w:val="auto"/>
              </w:rPr>
            </w:pPr>
          </w:p>
        </w:tc>
      </w:tr>
      <w:tr>
        <w:trPr>
          <w:trHeight w:val="228"/>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2,365</w:t>
            </w:r>
          </w:p>
        </w:tc>
        <w:tc>
          <w:tcPr>
            <w:tcW w:w="7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2,139</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9"/>
              </w:rPr>
              <w:t>10.6 %</w:t>
            </w:r>
          </w:p>
        </w:tc>
        <w:tc>
          <w:tcPr>
            <w:tcW w:w="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b w:val="1"/>
          <w:bCs w:val="1"/>
          <w:i w:val="1"/>
          <w:iCs w:val="1"/>
          <w:color w:val="auto"/>
        </w:rPr>
        <w:t xml:space="preserve">GMNA Total Net Sales and Revenue </w:t>
      </w:r>
      <w:r>
        <w:rPr>
          <w:rFonts w:ascii="Arial" w:cs="Arial" w:eastAsia="Arial" w:hAnsi="Arial"/>
          <w:sz w:val="18"/>
          <w:szCs w:val="18"/>
          <w:color w:val="auto"/>
        </w:rPr>
        <w:t>In the three months ended September 30, 2023, Total net sales and revenue increased primarily due to: (1)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wholesale volumes primarily due to increased sales of crossover vehicles, partially offset by decreased sales of full-size pickup trucks, mid-size pickup trucks and full-size SUVs; (2) favorable Price as a result of stable dealer inventory levels and strong demand for our products; and (3) favorable Other due to increased sales of parts and accessories; partially offset by (4) unfavorable Mix associated with increased sales of crossover vehicles, partially offset by decreased sales of vans and passenger cars.</w:t>
      </w:r>
    </w:p>
    <w:p>
      <w:pPr>
        <w:spacing w:after="0" w:line="21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In the nine months ended September 30, 2023, Total net sales and revenue increased primarily due to: (1) increased net wholesale volumes primarily due to increased sales of crossover vehicles and full-size pickup trucks, partially offset by decreased sales of mid-size pickup trucks; (2) favorable Price as a result of stable dealer inventory levels and strong demand for our products; (3) favorable Mix associated with increased sales of full-size pickup trucks, full-size SUVs, passenger cars and decreased sales of vans, partially offset by increased sales of crossover vehicles; and (4) favorable Other due to increased sales of parts and accessories.</w:t>
      </w:r>
    </w:p>
    <w:p>
      <w:pPr>
        <w:spacing w:after="0" w:line="21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b w:val="1"/>
          <w:bCs w:val="1"/>
          <w:i w:val="1"/>
          <w:iCs w:val="1"/>
          <w:color w:val="auto"/>
        </w:rPr>
        <w:t xml:space="preserve">GMNA EBIT-Adjusted </w:t>
      </w:r>
      <w:r>
        <w:rPr>
          <w:rFonts w:ascii="Arial" w:cs="Arial" w:eastAsia="Arial" w:hAnsi="Arial"/>
          <w:sz w:val="18"/>
          <w:szCs w:val="18"/>
          <w:color w:val="auto"/>
        </w:rPr>
        <w:t>In the three months ended September 30, 2023, EBIT-adjusted decreased primarily due to: (1) unfavorable Mix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sales of crossovers and decreased sales of full-size pickup trucks, partially offset by decreased sales of vans and passenger cars; and (2) unfavorable Cost primarily due to increased EV-related costs of $0.4 billion, decreased non-service pension income of $0.3 billion and increased campaigns and other warranty-related costs of $0.2 billion, partially offset by decreased advertising, selling and administrative costs of $0.3 billion; partially offset by (3) favorable Volume; and (4) favorable Price.</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the nine months ended September 30, 2023, EBIT-adjusted increased primarily due to: (1) favorable Price; and (2) favorable Volume; partially offset by</w:t>
      </w:r>
    </w:p>
    <w:p>
      <w:pPr>
        <w:spacing w:after="0" w:line="46" w:lineRule="exact"/>
        <w:rPr>
          <w:sz w:val="20"/>
          <w:szCs w:val="20"/>
          <w:color w:val="auto"/>
        </w:rPr>
      </w:pPr>
    </w:p>
    <w:p>
      <w:pPr>
        <w:jc w:val="both"/>
        <w:ind w:firstLine="7"/>
        <w:spacing w:after="0" w:line="252" w:lineRule="auto"/>
        <w:tabs>
          <w:tab w:leader="none" w:pos="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Cost primarily due to increased campaigns and other warranty-related costs of $2.0 billion, decreased non-service pension income of $0.8 billion, increased EV-related costs of $0.5 billion and increased manufacturing costs of $0.5 billion; and (4) unfavorable Mix due to increased sales of crossover vehicles, partially offset by increased sales of full-size SUVs, passenger cars and full-size pickup trucks and decreased sales of mid-size pickup trucks.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4"/>
          </w:tcPr>
          <w:p>
            <w:pPr>
              <w:jc w:val="center"/>
              <w:ind w:left="181"/>
              <w:spacing w:after="0"/>
              <w:rPr>
                <w:sz w:val="20"/>
                <w:szCs w:val="20"/>
                <w:color w:val="auto"/>
              </w:rPr>
            </w:pPr>
            <w:r>
              <w:rPr>
                <w:rFonts w:ascii="Arial" w:cs="Arial" w:eastAsia="Arial" w:hAnsi="Arial"/>
                <w:sz w:val="14"/>
                <w:szCs w:val="14"/>
                <w:b w:val="1"/>
                <w:bCs w:val="1"/>
                <w:color w:val="auto"/>
                <w:w w:val="91"/>
              </w:rPr>
              <w:t>Variance Due To</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w:t>
            </w: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6"/>
              </w:rPr>
              <w:t>September 30, 2023</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September 30, 2022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0"/>
              </w:rPr>
              <w:t>Volume</w:t>
            </w:r>
          </w:p>
        </w:tc>
        <w:tc>
          <w:tcPr>
            <w:tcW w:w="180" w:type="dxa"/>
            <w:vAlign w:val="bottom"/>
          </w:tcPr>
          <w:p>
            <w:pPr>
              <w:spacing w:after="0"/>
              <w:rPr>
                <w:sz w:val="12"/>
                <w:szCs w:val="12"/>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12"/>
                <w:szCs w:val="12"/>
                <w:color w:val="auto"/>
              </w:rPr>
            </w:pPr>
          </w:p>
        </w:tc>
        <w:tc>
          <w:tcPr>
            <w:tcW w:w="4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2"/>
                <w:szCs w:val="12"/>
                <w:color w:val="auto"/>
              </w:rPr>
            </w:pPr>
          </w:p>
        </w:tc>
        <w:tc>
          <w:tcPr>
            <w:tcW w:w="5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2"/>
                <w:szCs w:val="12"/>
                <w:color w:val="auto"/>
              </w:rPr>
            </w:pPr>
          </w:p>
        </w:tc>
        <w:tc>
          <w:tcPr>
            <w:tcW w:w="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9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5"/>
          </w:tcPr>
          <w:p>
            <w:pPr>
              <w:jc w:val="center"/>
              <w:ind w:right="179"/>
              <w:spacing w:after="0"/>
              <w:rPr>
                <w:sz w:val="20"/>
                <w:szCs w:val="20"/>
                <w:color w:val="auto"/>
              </w:rPr>
            </w:pPr>
            <w:r>
              <w:rPr>
                <w:rFonts w:ascii="Arial" w:cs="Arial" w:eastAsia="Arial" w:hAnsi="Arial"/>
                <w:sz w:val="14"/>
                <w:szCs w:val="14"/>
                <w:b w:val="1"/>
                <w:bCs w:val="1"/>
                <w:color w:val="auto"/>
                <w:w w:val="92"/>
              </w:rPr>
              <w:t>(Dollars in billions)</w:t>
            </w: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Total net sales and revenue</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4,330</w:t>
            </w:r>
          </w:p>
        </w:tc>
        <w:tc>
          <w:tcPr>
            <w:tcW w:w="7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3,980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40" w:type="dxa"/>
            <w:vAlign w:val="bottom"/>
            <w:tcBorders>
              <w:right w:val="single" w:sz="8" w:color="auto"/>
            </w:tcBorders>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EBIT-adjusted</w:t>
            </w:r>
          </w:p>
        </w:tc>
        <w:tc>
          <w:tcPr>
            <w:tcW w:w="380" w:type="dxa"/>
            <w:vAlign w:val="bottom"/>
          </w:tcPr>
          <w:p>
            <w:pPr>
              <w:jc w:val="right"/>
              <w:ind w:right="20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357</w:t>
            </w:r>
          </w:p>
        </w:tc>
        <w:tc>
          <w:tcPr>
            <w:tcW w:w="720" w:type="dxa"/>
            <w:vAlign w:val="bottom"/>
          </w:tcPr>
          <w:p>
            <w:pPr>
              <w:jc w:val="right"/>
              <w:ind w:right="43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334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6.9 %</w:t>
            </w:r>
          </w:p>
        </w:tc>
        <w:tc>
          <w:tcPr>
            <w:tcW w:w="140" w:type="dxa"/>
            <w:vAlign w:val="bottom"/>
            <w:tcBorders>
              <w:right w:val="single" w:sz="8" w:color="auto"/>
            </w:tcBorders>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8"/>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gridSpan w:val="2"/>
          </w:tcPr>
          <w:p>
            <w:pPr>
              <w:ind w:left="20"/>
              <w:spacing w:after="0" w:line="175" w:lineRule="exact"/>
              <w:rPr>
                <w:sz w:val="20"/>
                <w:szCs w:val="20"/>
                <w:color w:val="auto"/>
              </w:rPr>
            </w:pPr>
            <w:r>
              <w:rPr>
                <w:rFonts w:ascii="Arial" w:cs="Arial" w:eastAsia="Arial" w:hAnsi="Arial"/>
                <w:sz w:val="18"/>
                <w:szCs w:val="18"/>
                <w:i w:val="1"/>
                <w:iCs w:val="1"/>
                <w:color w:val="auto"/>
                <w:w w:val="96"/>
              </w:rPr>
              <w:t>Equity income — Automotive</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China</w:t>
            </w:r>
          </w:p>
        </w:tc>
        <w:tc>
          <w:tcPr>
            <w:tcW w:w="380" w:type="dxa"/>
            <w:vAlign w:val="bottom"/>
          </w:tcPr>
          <w:p>
            <w:pPr>
              <w:jc w:val="right"/>
              <w:ind w:right="201"/>
              <w:spacing w:after="0"/>
              <w:rPr>
                <w:sz w:val="20"/>
                <w:szCs w:val="20"/>
                <w:color w:val="auto"/>
              </w:rPr>
            </w:pPr>
            <w:r>
              <w:rPr>
                <w:rFonts w:ascii="Arial" w:cs="Arial" w:eastAsia="Arial" w:hAnsi="Arial"/>
                <w:sz w:val="18"/>
                <w:szCs w:val="18"/>
                <w:i w:val="1"/>
                <w:iCs w:val="1"/>
                <w:color w:val="auto"/>
                <w:w w:val="79"/>
              </w:rPr>
              <w:t>$</w:t>
            </w:r>
          </w:p>
        </w:tc>
        <w:tc>
          <w:tcPr>
            <w:tcW w:w="1000" w:type="dxa"/>
            <w:vAlign w:val="bottom"/>
          </w:tcPr>
          <w:p>
            <w:pPr>
              <w:jc w:val="right"/>
              <w:ind w:right="153"/>
              <w:spacing w:after="0"/>
              <w:rPr>
                <w:sz w:val="20"/>
                <w:szCs w:val="20"/>
                <w:color w:val="auto"/>
              </w:rPr>
            </w:pPr>
            <w:r>
              <w:rPr>
                <w:rFonts w:ascii="Arial" w:cs="Arial" w:eastAsia="Arial" w:hAnsi="Arial"/>
                <w:sz w:val="18"/>
                <w:szCs w:val="18"/>
                <w:i w:val="1"/>
                <w:iCs w:val="1"/>
                <w:color w:val="auto"/>
              </w:rPr>
              <w:t>192</w:t>
            </w:r>
          </w:p>
        </w:tc>
        <w:tc>
          <w:tcPr>
            <w:tcW w:w="720" w:type="dxa"/>
            <w:vAlign w:val="bottom"/>
          </w:tcPr>
          <w:p>
            <w:pPr>
              <w:jc w:val="right"/>
              <w:ind w:right="436"/>
              <w:spacing w:after="0"/>
              <w:rPr>
                <w:sz w:val="20"/>
                <w:szCs w:val="20"/>
                <w:color w:val="auto"/>
              </w:rPr>
            </w:pPr>
            <w:r>
              <w:rPr>
                <w:rFonts w:ascii="Arial" w:cs="Arial" w:eastAsia="Arial" w:hAnsi="Arial"/>
                <w:sz w:val="18"/>
                <w:szCs w:val="18"/>
                <w:i w:val="1"/>
                <w:iCs w:val="1"/>
                <w:color w:val="auto"/>
              </w:rPr>
              <w:t>$</w:t>
            </w:r>
          </w:p>
        </w:tc>
        <w:tc>
          <w:tcPr>
            <w:tcW w:w="740" w:type="dxa"/>
            <w:vAlign w:val="bottom"/>
          </w:tcPr>
          <w:p>
            <w:pPr>
              <w:jc w:val="right"/>
              <w:ind w:right="130"/>
              <w:spacing w:after="0"/>
              <w:rPr>
                <w:sz w:val="20"/>
                <w:szCs w:val="20"/>
                <w:color w:val="auto"/>
              </w:rPr>
            </w:pPr>
            <w:r>
              <w:rPr>
                <w:rFonts w:ascii="Arial" w:cs="Arial" w:eastAsia="Arial" w:hAnsi="Arial"/>
                <w:sz w:val="18"/>
                <w:szCs w:val="18"/>
                <w:i w:val="1"/>
                <w:iCs w:val="1"/>
                <w:color w:val="auto"/>
              </w:rPr>
              <w:t>330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1120" w:type="dxa"/>
            <w:vAlign w:val="bottom"/>
          </w:tcPr>
          <w:p>
            <w:pPr>
              <w:jc w:val="right"/>
              <w:ind w:right="95"/>
              <w:spacing w:after="0"/>
              <w:rPr>
                <w:sz w:val="20"/>
                <w:szCs w:val="20"/>
                <w:color w:val="auto"/>
              </w:rPr>
            </w:pPr>
            <w:r>
              <w:rPr>
                <w:rFonts w:ascii="Arial" w:cs="Arial" w:eastAsia="Arial" w:hAnsi="Arial"/>
                <w:sz w:val="18"/>
                <w:szCs w:val="18"/>
                <w:i w:val="1"/>
                <w:iCs w:val="1"/>
                <w:color w:val="auto"/>
              </w:rPr>
              <w:t>(138)</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(41.8)%</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6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8"/>
                <w:szCs w:val="18"/>
                <w:i w:val="1"/>
                <w:iCs w:val="1"/>
                <w:color w:val="auto"/>
              </w:rPr>
              <w:t>EBIT-adjusted — excluding</w:t>
            </w: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Equity income</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8"/>
                <w:szCs w:val="18"/>
                <w:i w:val="1"/>
                <w:iCs w:val="1"/>
                <w:color w:val="auto"/>
                <w:w w:val="79"/>
              </w:rPr>
              <w:t>$</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i w:val="1"/>
                <w:iCs w:val="1"/>
                <w:color w:val="auto"/>
              </w:rPr>
              <w:t>165</w:t>
            </w:r>
          </w:p>
        </w:tc>
        <w:tc>
          <w:tcPr>
            <w:tcW w:w="720" w:type="dxa"/>
            <w:vAlign w:val="bottom"/>
            <w:shd w:val="clear" w:color="auto" w:fill="CCEEFF"/>
          </w:tcPr>
          <w:p>
            <w:pPr>
              <w:jc w:val="right"/>
              <w:ind w:right="436"/>
              <w:spacing w:after="0"/>
              <w:rPr>
                <w:sz w:val="20"/>
                <w:szCs w:val="20"/>
                <w:color w:val="auto"/>
              </w:rPr>
            </w:pPr>
            <w:r>
              <w:rPr>
                <w:rFonts w:ascii="Arial" w:cs="Arial" w:eastAsia="Arial" w:hAnsi="Arial"/>
                <w:sz w:val="18"/>
                <w:szCs w:val="18"/>
                <w:i w:val="1"/>
                <w:iCs w:val="1"/>
                <w:color w:val="auto"/>
              </w:rPr>
              <w:t>$</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i w:val="1"/>
                <w:iCs w:val="1"/>
                <w:color w:val="auto"/>
              </w:rPr>
              <w:t>160</w:t>
            </w:r>
          </w:p>
        </w:tc>
        <w:tc>
          <w:tcPr>
            <w:tcW w:w="100" w:type="dxa"/>
            <w:vAlign w:val="bottom"/>
            <w:shd w:val="clear" w:color="auto" w:fill="CCEEFF"/>
          </w:tcPr>
          <w:p>
            <w:pPr>
              <w:spacing w:after="0"/>
              <w:rPr>
                <w:sz w:val="21"/>
                <w:szCs w:val="21"/>
                <w:color w:val="auto"/>
              </w:rPr>
            </w:pPr>
          </w:p>
        </w:tc>
        <w:tc>
          <w:tcPr>
            <w:tcW w:w="1080" w:type="dxa"/>
            <w:vAlign w:val="bottom"/>
            <w:tcBorders>
              <w:right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i w:val="1"/>
                <w:iCs w:val="1"/>
                <w:color w:val="auto"/>
              </w:rPr>
              <w:t>n.m.</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171</w:t>
            </w:r>
          </w:p>
        </w:tc>
        <w:tc>
          <w:tcPr>
            <w:tcW w:w="7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2240" w:type="dxa"/>
            <w:vAlign w:val="bottom"/>
          </w:tcPr>
          <w:p>
            <w:pPr>
              <w:spacing w:after="0"/>
              <w:rPr>
                <w:sz w:val="20"/>
                <w:szCs w:val="20"/>
                <w:color w:val="auto"/>
              </w:rPr>
            </w:pPr>
            <w:r>
              <w:rPr>
                <w:rFonts w:ascii="Arial" w:cs="Arial" w:eastAsia="Arial" w:hAnsi="Arial"/>
                <w:sz w:val="16"/>
                <w:szCs w:val="16"/>
                <w:color w:val="auto"/>
              </w:rPr>
              <w:t>__________</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60" w:type="dxa"/>
            <w:vAlign w:val="bottom"/>
            <w:gridSpan w:val="2"/>
          </w:tcPr>
          <w:p>
            <w:pPr>
              <w:spacing w:after="0"/>
              <w:rPr>
                <w:sz w:val="20"/>
                <w:szCs w:val="20"/>
                <w:color w:val="auto"/>
              </w:rPr>
            </w:pPr>
            <w:r>
              <w:rPr>
                <w:rFonts w:ascii="Arial" w:cs="Arial" w:eastAsia="Arial" w:hAnsi="Arial"/>
                <w:sz w:val="16"/>
                <w:szCs w:val="16"/>
                <w:color w:val="auto"/>
              </w:rPr>
              <w:t>n.m. = not meaningful</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4"/>
          </w:tcPr>
          <w:p>
            <w:pPr>
              <w:jc w:val="center"/>
              <w:ind w:left="181"/>
              <w:spacing w:after="0"/>
              <w:rPr>
                <w:sz w:val="20"/>
                <w:szCs w:val="20"/>
                <w:color w:val="auto"/>
              </w:rPr>
            </w:pPr>
            <w:r>
              <w:rPr>
                <w:rFonts w:ascii="Arial" w:cs="Arial" w:eastAsia="Arial" w:hAnsi="Arial"/>
                <w:sz w:val="14"/>
                <w:szCs w:val="14"/>
                <w:b w:val="1"/>
                <w:bCs w:val="1"/>
                <w:color w:val="auto"/>
                <w:w w:val="91"/>
              </w:rPr>
              <w:t>Variance Due To</w:t>
            </w: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2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w:t>
            </w: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w w:val="94"/>
              </w:rPr>
              <w:t>September 30, 2023</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September 30, 2022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0"/>
              </w:rPr>
              <w:t>Volume</w:t>
            </w:r>
          </w:p>
        </w:tc>
        <w:tc>
          <w:tcPr>
            <w:tcW w:w="180" w:type="dxa"/>
            <w:vAlign w:val="bottom"/>
          </w:tcPr>
          <w:p>
            <w:pPr>
              <w:spacing w:after="0"/>
              <w:rPr>
                <w:sz w:val="12"/>
                <w:szCs w:val="12"/>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12"/>
                <w:szCs w:val="12"/>
                <w:color w:val="auto"/>
              </w:rPr>
            </w:pPr>
          </w:p>
        </w:tc>
        <w:tc>
          <w:tcPr>
            <w:tcW w:w="4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2"/>
                <w:szCs w:val="12"/>
                <w:color w:val="auto"/>
              </w:rPr>
            </w:pPr>
          </w:p>
        </w:tc>
        <w:tc>
          <w:tcPr>
            <w:tcW w:w="5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2"/>
                <w:szCs w:val="12"/>
                <w:color w:val="auto"/>
              </w:rPr>
            </w:pPr>
          </w:p>
        </w:tc>
        <w:tc>
          <w:tcPr>
            <w:tcW w:w="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94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5"/>
          </w:tcPr>
          <w:p>
            <w:pPr>
              <w:jc w:val="center"/>
              <w:ind w:right="179"/>
              <w:spacing w:after="0"/>
              <w:rPr>
                <w:sz w:val="20"/>
                <w:szCs w:val="20"/>
                <w:color w:val="auto"/>
              </w:rPr>
            </w:pPr>
            <w:r>
              <w:rPr>
                <w:rFonts w:ascii="Arial" w:cs="Arial" w:eastAsia="Arial" w:hAnsi="Arial"/>
                <w:sz w:val="14"/>
                <w:szCs w:val="14"/>
                <w:b w:val="1"/>
                <w:bCs w:val="1"/>
                <w:color w:val="auto"/>
                <w:w w:val="92"/>
              </w:rPr>
              <w:t>(Dollars in billions)</w:t>
            </w: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Total net sales and revenue</w:t>
            </w:r>
          </w:p>
        </w:tc>
        <w:tc>
          <w:tcPr>
            <w:tcW w:w="380" w:type="dxa"/>
            <w:vAlign w:val="bottom"/>
            <w:shd w:val="clear" w:color="auto" w:fill="CCEEFF"/>
          </w:tcPr>
          <w:p>
            <w:pPr>
              <w:jc w:val="right"/>
              <w:ind w:right="221"/>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12,011</w:t>
            </w:r>
          </w:p>
        </w:tc>
        <w:tc>
          <w:tcPr>
            <w:tcW w:w="7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4"/>
              </w:rPr>
              <w:t>11,100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40" w:type="dxa"/>
            <w:vAlign w:val="bottom"/>
            <w:tcBorders>
              <w:right w:val="single" w:sz="8" w:color="auto"/>
            </w:tcBorders>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8"/>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EBIT-adjusted</w:t>
            </w:r>
          </w:p>
        </w:tc>
        <w:tc>
          <w:tcPr>
            <w:tcW w:w="380" w:type="dxa"/>
            <w:vAlign w:val="bottom"/>
          </w:tcPr>
          <w:p>
            <w:pPr>
              <w:jc w:val="right"/>
              <w:ind w:right="221"/>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940</w:t>
            </w:r>
          </w:p>
        </w:tc>
        <w:tc>
          <w:tcPr>
            <w:tcW w:w="720" w:type="dxa"/>
            <w:vAlign w:val="bottom"/>
          </w:tcPr>
          <w:p>
            <w:pPr>
              <w:jc w:val="right"/>
              <w:ind w:right="43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871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7.9 %</w:t>
            </w:r>
          </w:p>
        </w:tc>
        <w:tc>
          <w:tcPr>
            <w:tcW w:w="140" w:type="dxa"/>
            <w:vAlign w:val="bottom"/>
            <w:tcBorders>
              <w:right w:val="single" w:sz="8" w:color="auto"/>
            </w:tcBorders>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8"/>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60" w:type="dxa"/>
            <w:vAlign w:val="bottom"/>
            <w:gridSpan w:val="2"/>
          </w:tcPr>
          <w:p>
            <w:pPr>
              <w:ind w:left="20"/>
              <w:spacing w:after="0" w:line="188" w:lineRule="exact"/>
              <w:rPr>
                <w:sz w:val="20"/>
                <w:szCs w:val="20"/>
                <w:color w:val="auto"/>
              </w:rPr>
            </w:pPr>
            <w:r>
              <w:rPr>
                <w:rFonts w:ascii="Arial" w:cs="Arial" w:eastAsia="Arial" w:hAnsi="Arial"/>
                <w:sz w:val="18"/>
                <w:szCs w:val="18"/>
                <w:i w:val="1"/>
                <w:iCs w:val="1"/>
                <w:color w:val="auto"/>
                <w:w w:val="96"/>
              </w:rPr>
              <w:t>Equity income — Automotive</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China</w:t>
            </w:r>
          </w:p>
        </w:tc>
        <w:tc>
          <w:tcPr>
            <w:tcW w:w="380" w:type="dxa"/>
            <w:vAlign w:val="bottom"/>
          </w:tcPr>
          <w:p>
            <w:pPr>
              <w:jc w:val="right"/>
              <w:ind w:right="221"/>
              <w:spacing w:after="0"/>
              <w:rPr>
                <w:sz w:val="20"/>
                <w:szCs w:val="20"/>
                <w:color w:val="auto"/>
              </w:rPr>
            </w:pPr>
            <w:r>
              <w:rPr>
                <w:rFonts w:ascii="Arial" w:cs="Arial" w:eastAsia="Arial" w:hAnsi="Arial"/>
                <w:sz w:val="15"/>
                <w:szCs w:val="15"/>
                <w:i w:val="1"/>
                <w:iCs w:val="1"/>
                <w:color w:val="auto"/>
                <w:w w:val="71"/>
              </w:rPr>
              <w:t>$</w:t>
            </w:r>
          </w:p>
        </w:tc>
        <w:tc>
          <w:tcPr>
            <w:tcW w:w="1000" w:type="dxa"/>
            <w:vAlign w:val="bottom"/>
          </w:tcPr>
          <w:p>
            <w:pPr>
              <w:jc w:val="right"/>
              <w:ind w:right="153"/>
              <w:spacing w:after="0"/>
              <w:rPr>
                <w:sz w:val="20"/>
                <w:szCs w:val="20"/>
                <w:color w:val="auto"/>
              </w:rPr>
            </w:pPr>
            <w:r>
              <w:rPr>
                <w:rFonts w:ascii="Arial" w:cs="Arial" w:eastAsia="Arial" w:hAnsi="Arial"/>
                <w:sz w:val="18"/>
                <w:szCs w:val="18"/>
                <w:i w:val="1"/>
                <w:iCs w:val="1"/>
                <w:color w:val="auto"/>
              </w:rPr>
              <w:t>353</w:t>
            </w:r>
          </w:p>
        </w:tc>
        <w:tc>
          <w:tcPr>
            <w:tcW w:w="720" w:type="dxa"/>
            <w:vAlign w:val="bottom"/>
          </w:tcPr>
          <w:p>
            <w:pPr>
              <w:jc w:val="right"/>
              <w:ind w:right="436"/>
              <w:spacing w:after="0"/>
              <w:rPr>
                <w:sz w:val="20"/>
                <w:szCs w:val="20"/>
                <w:color w:val="auto"/>
              </w:rPr>
            </w:pPr>
            <w:r>
              <w:rPr>
                <w:rFonts w:ascii="Arial" w:cs="Arial" w:eastAsia="Arial" w:hAnsi="Arial"/>
                <w:sz w:val="18"/>
                <w:szCs w:val="18"/>
                <w:i w:val="1"/>
                <w:iCs w:val="1"/>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i w:val="1"/>
                <w:iCs w:val="1"/>
                <w:color w:val="auto"/>
              </w:rPr>
              <w:t>477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1120" w:type="dxa"/>
            <w:vAlign w:val="bottom"/>
          </w:tcPr>
          <w:p>
            <w:pPr>
              <w:jc w:val="right"/>
              <w:ind w:right="95"/>
              <w:spacing w:after="0"/>
              <w:rPr>
                <w:sz w:val="20"/>
                <w:szCs w:val="20"/>
                <w:color w:val="auto"/>
              </w:rPr>
            </w:pPr>
            <w:r>
              <w:rPr>
                <w:rFonts w:ascii="Arial" w:cs="Arial" w:eastAsia="Arial" w:hAnsi="Arial"/>
                <w:sz w:val="18"/>
                <w:szCs w:val="18"/>
                <w:i w:val="1"/>
                <w:iCs w:val="1"/>
                <w:color w:val="auto"/>
              </w:rPr>
              <w:t>(124)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(26.0)%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60" w:type="dxa"/>
            <w:vAlign w:val="bottom"/>
            <w:gridSpan w:val="2"/>
            <w:shd w:val="clear" w:color="auto" w:fill="CCEEFF"/>
          </w:tcPr>
          <w:p>
            <w:pPr>
              <w:ind w:left="20"/>
              <w:spacing w:after="0" w:line="188" w:lineRule="exact"/>
              <w:rPr>
                <w:sz w:val="20"/>
                <w:szCs w:val="20"/>
                <w:color w:val="auto"/>
              </w:rPr>
            </w:pPr>
            <w:r>
              <w:rPr>
                <w:rFonts w:ascii="Arial" w:cs="Arial" w:eastAsia="Arial" w:hAnsi="Arial"/>
                <w:sz w:val="18"/>
                <w:szCs w:val="18"/>
                <w:i w:val="1"/>
                <w:iCs w:val="1"/>
                <w:color w:val="auto"/>
              </w:rPr>
              <w:t>EBIT-adjusted — excluding</w:t>
            </w: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Equity income</w:t>
            </w:r>
          </w:p>
        </w:tc>
        <w:tc>
          <w:tcPr>
            <w:tcW w:w="380" w:type="dxa"/>
            <w:vAlign w:val="bottom"/>
            <w:shd w:val="clear" w:color="auto" w:fill="CCEEFF"/>
          </w:tcPr>
          <w:p>
            <w:pPr>
              <w:jc w:val="right"/>
              <w:ind w:right="221"/>
              <w:spacing w:after="0"/>
              <w:rPr>
                <w:sz w:val="20"/>
                <w:szCs w:val="20"/>
                <w:color w:val="auto"/>
              </w:rPr>
            </w:pPr>
            <w:r>
              <w:rPr>
                <w:rFonts w:ascii="Arial" w:cs="Arial" w:eastAsia="Arial" w:hAnsi="Arial"/>
                <w:sz w:val="15"/>
                <w:szCs w:val="15"/>
                <w:i w:val="1"/>
                <w:iCs w:val="1"/>
                <w:color w:val="auto"/>
                <w:w w:val="71"/>
              </w:rPr>
              <w:t>$</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i w:val="1"/>
                <w:iCs w:val="1"/>
                <w:color w:val="auto"/>
              </w:rPr>
              <w:t>588</w:t>
            </w:r>
          </w:p>
        </w:tc>
        <w:tc>
          <w:tcPr>
            <w:tcW w:w="720" w:type="dxa"/>
            <w:vAlign w:val="bottom"/>
            <w:shd w:val="clear" w:color="auto" w:fill="CCEEFF"/>
          </w:tcPr>
          <w:p>
            <w:pPr>
              <w:jc w:val="right"/>
              <w:ind w:right="436"/>
              <w:spacing w:after="0"/>
              <w:rPr>
                <w:sz w:val="20"/>
                <w:szCs w:val="20"/>
                <w:color w:val="auto"/>
              </w:rPr>
            </w:pPr>
            <w:r>
              <w:rPr>
                <w:rFonts w:ascii="Arial" w:cs="Arial" w:eastAsia="Arial" w:hAnsi="Arial"/>
                <w:sz w:val="18"/>
                <w:szCs w:val="18"/>
                <w:i w:val="1"/>
                <w:iCs w:val="1"/>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i w:val="1"/>
                <w:iCs w:val="1"/>
                <w:color w:val="auto"/>
              </w:rPr>
              <w:t>395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i w:val="1"/>
                <w:iCs w:val="1"/>
                <w:color w:val="auto"/>
              </w:rPr>
              <w:t>193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48.9 %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(Vehicles in thousands)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459</w:t>
            </w:r>
          </w:p>
        </w:tc>
        <w:tc>
          <w:tcPr>
            <w:tcW w:w="7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474</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(loss), which is included in EBIT-adjusted above.</w:t>
      </w:r>
    </w:p>
    <w:p>
      <w:pPr>
        <w:spacing w:after="0" w:line="197" w:lineRule="exact"/>
        <w:rPr>
          <w:sz w:val="20"/>
          <w:szCs w:val="20"/>
          <w:color w:val="auto"/>
        </w:rPr>
      </w:pPr>
    </w:p>
    <w:p>
      <w:pPr>
        <w:jc w:val="both"/>
        <w:ind w:firstLine="161"/>
        <w:spacing w:after="0" w:line="247" w:lineRule="auto"/>
        <w:rPr>
          <w:sz w:val="20"/>
          <w:szCs w:val="20"/>
          <w:color w:val="auto"/>
        </w:rPr>
      </w:pPr>
      <w:r>
        <w:rPr>
          <w:rFonts w:ascii="Arial" w:cs="Arial" w:eastAsia="Arial" w:hAnsi="Arial"/>
          <w:sz w:val="18"/>
          <w:szCs w:val="18"/>
          <w:b w:val="1"/>
          <w:bCs w:val="1"/>
          <w:i w:val="1"/>
          <w:iCs w:val="1"/>
          <w:color w:val="auto"/>
        </w:rPr>
        <w:t xml:space="preserve">GMI Total Net Sales and Revenue </w:t>
      </w:r>
      <w:r>
        <w:rPr>
          <w:rFonts w:ascii="Arial" w:cs="Arial" w:eastAsia="Arial" w:hAnsi="Arial"/>
          <w:sz w:val="18"/>
          <w:szCs w:val="18"/>
          <w:color w:val="auto"/>
        </w:rPr>
        <w:t>In the three months ended September 30, 2023, Total net sales and revenue increased primarily due to: (1) favorable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pricing across multiple vehicle lines in Argentina, Brazil and in the Middle East; (2) favorable Mix in the Middle East and in Chile; partially offset by (3) decreased net wholesale volumes in Chile, Egypt and Colombia primarily due to industry downturn, partially offset by increased volumes in Brazil and Uzbekistan.</w:t>
      </w:r>
    </w:p>
    <w:p>
      <w:pPr>
        <w:spacing w:after="0" w:line="209"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6"/>
          <w:szCs w:val="16"/>
          <w:color w:val="auto"/>
        </w:rPr>
        <w:t>In the nine months ended September 30, 2023, Total net sales and revenue increased primarily due to: (1) favorable pricing across multiple vehicle lines in Argentina, Brazil and in the Middle East; (2) favorable Mix in the Middle East, in Asia/Pacific and in Chile, partially offset by unfavorable Mix in Brazil; partially offset by (3) decreased net wholesale volumes in Egypt, Chile and Colombia, partially offset by increased volumes in Brazil and Uzbekistan; and</w:t>
      </w:r>
    </w:p>
    <w:p>
      <w:pPr>
        <w:spacing w:after="0" w:line="2" w:lineRule="exact"/>
        <w:rPr>
          <w:sz w:val="20"/>
          <w:szCs w:val="20"/>
          <w:color w:val="auto"/>
        </w:rPr>
      </w:pPr>
    </w:p>
    <w:p>
      <w:pPr>
        <w:ind w:firstLine="7"/>
        <w:spacing w:after="0" w:line="256" w:lineRule="auto"/>
        <w:tabs>
          <w:tab w:leader="none" w:pos="254"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Other primarily due to the foreign currency effect resulting from the weakening of the Argentine peso against the U.S. dollar, partially offset by increased components, parts and accessories sales.</w:t>
      </w:r>
    </w:p>
    <w:p>
      <w:pPr>
        <w:spacing w:after="0" w:line="201"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b w:val="1"/>
          <w:bCs w:val="1"/>
          <w:i w:val="1"/>
          <w:iCs w:val="1"/>
          <w:color w:val="auto"/>
        </w:rPr>
        <w:t xml:space="preserve">GMI EBIT-Adjusted </w:t>
      </w:r>
      <w:r>
        <w:rPr>
          <w:rFonts w:ascii="Arial" w:cs="Arial" w:eastAsia="Arial" w:hAnsi="Arial"/>
          <w:sz w:val="18"/>
          <w:szCs w:val="18"/>
          <w:color w:val="auto"/>
        </w:rPr>
        <w:t>In the three months ended September 30, 2023, EBIT-adjusted increased primarily due to: (1) favorable Price; partially offset by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unfavorable Cost primarily due to increased logistic costs; and (3) unfavorable Other primarily due to foreign currency effect resulting from the weakening of the Argentine peso against the U.S. dollar and decreased equity income.</w:t>
      </w:r>
    </w:p>
    <w:p>
      <w:pPr>
        <w:spacing w:after="0" w:line="203" w:lineRule="exact"/>
        <w:rPr>
          <w:sz w:val="20"/>
          <w:szCs w:val="20"/>
          <w:color w:val="auto"/>
        </w:rPr>
      </w:pPr>
    </w:p>
    <w:p>
      <w:pPr>
        <w:jc w:val="both"/>
        <w:ind w:firstLine="161"/>
        <w:spacing w:after="0" w:line="247" w:lineRule="auto"/>
        <w:rPr>
          <w:sz w:val="20"/>
          <w:szCs w:val="20"/>
          <w:color w:val="auto"/>
        </w:rPr>
      </w:pPr>
      <w:r>
        <w:rPr>
          <w:rFonts w:ascii="Arial" w:cs="Arial" w:eastAsia="Arial" w:hAnsi="Arial"/>
          <w:sz w:val="18"/>
          <w:szCs w:val="18"/>
          <w:color w:val="auto"/>
        </w:rPr>
        <w:t>In the nine months ended September 30, 2023, EBIT-adjusted increased primarily due to: (1) favorable Price; and (2) favorable Mix in Asia/Pacific and in the Middle East; partially offset by (3) unfavorable Cost primarily due to increased material, logistic, warranty-related costs and other costs to support new vehicle launches in South America; (4) decreased wholesale volumes; and (5) unfavorable Other primarily due to foreign currency effect resulting from the weakening of the Argentine peso against the U.S. dollar and decreased equity income.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In the coming years, we plan to leverage our global architectures to increase the number of product offerings under the Buick, Chevrolet and Cadillac brands in China and continue to grow our business under the local Baojun and Wuling brands while we accelerate the development and rollout of EVs across our brands in China as part of our commitment to an all-electric future. We operate in the Chinese market through a number of joint ventures and maintaining strong relationships with our joint venture partners is an important part of our China growth strategy.</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certain key operational and financial data for the Automotive China JVs (vehicles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80" w:type="dxa"/>
            <w:vAlign w:val="bottom"/>
            <w:gridSpan w:val="10"/>
          </w:tcPr>
          <w:p>
            <w:pPr>
              <w:jc w:val="center"/>
              <w:ind w:right="100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6"/>
          </w:tcPr>
          <w:p>
            <w:pPr>
              <w:ind w:left="980"/>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September 30, 2023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6"/>
          </w:tcPr>
          <w:p>
            <w:pPr>
              <w:ind w:left="220"/>
              <w:spacing w:after="0"/>
              <w:rPr>
                <w:sz w:val="20"/>
                <w:szCs w:val="20"/>
                <w:color w:val="auto"/>
              </w:rPr>
            </w:pPr>
            <w:r>
              <w:rPr>
                <w:rFonts w:ascii="Arial" w:cs="Arial" w:eastAsia="Arial" w:hAnsi="Arial"/>
                <w:sz w:val="14"/>
                <w:szCs w:val="14"/>
                <w:b w:val="1"/>
                <w:bCs w:val="1"/>
                <w:color w:val="auto"/>
              </w:rPr>
              <w:t>September 30, 2022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 2023</w:t>
            </w:r>
          </w:p>
        </w:tc>
        <w:tc>
          <w:tcPr>
            <w:tcW w:w="1640" w:type="dxa"/>
            <w:vAlign w:val="bottom"/>
            <w:gridSpan w:val="3"/>
          </w:tcPr>
          <w:p>
            <w:pPr>
              <w:ind w:left="220"/>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161"/>
        </w:trPr>
        <w:tc>
          <w:tcPr>
            <w:tcW w:w="4140" w:type="dxa"/>
            <w:vAlign w:val="bottom"/>
            <w:tcBorders>
              <w:top w:val="single" w:sz="8" w:color="CCEEFF"/>
            </w:tcBorders>
            <w:gridSpan w:val="6"/>
            <w:shd w:val="clear" w:color="auto" w:fill="CCEEFF"/>
          </w:tcPr>
          <w:p>
            <w:pPr>
              <w:ind w:left="20"/>
              <w:spacing w:after="0" w:line="161" w:lineRule="exact"/>
              <w:rPr>
                <w:sz w:val="20"/>
                <w:szCs w:val="20"/>
                <w:color w:val="auto"/>
              </w:rPr>
            </w:pPr>
            <w:r>
              <w:rPr>
                <w:rFonts w:ascii="Arial" w:cs="Arial" w:eastAsia="Arial" w:hAnsi="Arial"/>
                <w:sz w:val="18"/>
                <w:szCs w:val="18"/>
                <w:color w:val="auto"/>
                <w:w w:val="93"/>
              </w:rPr>
              <w:t>Wholesale vehicle sales, including vehicles exported to</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markets outside of China</w:t>
            </w: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7"/>
              </w:rPr>
              <w:t>1,581</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28"/>
        </w:trPr>
        <w:tc>
          <w:tcPr>
            <w:tcW w:w="2080" w:type="dxa"/>
            <w:vAlign w:val="bottom"/>
            <w:gridSpan w:val="2"/>
          </w:tcPr>
          <w:p>
            <w:pPr>
              <w:ind w:left="20"/>
              <w:spacing w:after="0"/>
              <w:rPr>
                <w:sz w:val="20"/>
                <w:szCs w:val="20"/>
                <w:color w:val="auto"/>
              </w:rPr>
            </w:pPr>
            <w:r>
              <w:rPr>
                <w:rFonts w:ascii="Arial" w:cs="Arial" w:eastAsia="Arial" w:hAnsi="Arial"/>
                <w:sz w:val="18"/>
                <w:szCs w:val="18"/>
                <w:color w:val="auto"/>
                <w:w w:val="91"/>
              </w:rPr>
              <w:t>Total net sales and revenue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7,858</w:t>
            </w:r>
          </w:p>
        </w:tc>
        <w:tc>
          <w:tcPr>
            <w:tcW w:w="40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10,393</w:t>
            </w:r>
          </w:p>
        </w:tc>
        <w:tc>
          <w:tcPr>
            <w:tcW w:w="4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8"/>
              <w:spacing w:after="0"/>
              <w:rPr>
                <w:sz w:val="20"/>
                <w:szCs w:val="20"/>
                <w:color w:val="auto"/>
              </w:rPr>
            </w:pPr>
            <w:r>
              <w:rPr>
                <w:rFonts w:ascii="Arial" w:cs="Arial" w:eastAsia="Arial" w:hAnsi="Arial"/>
                <w:sz w:val="18"/>
                <w:szCs w:val="18"/>
                <w:color w:val="auto"/>
              </w:rPr>
              <w:t>21,817</w:t>
            </w:r>
          </w:p>
        </w:tc>
        <w:tc>
          <w:tcPr>
            <w:tcW w:w="100" w:type="dxa"/>
            <w:vAlign w:val="bottom"/>
          </w:tcPr>
          <w:p>
            <w:pPr>
              <w:spacing w:after="0"/>
              <w:rPr>
                <w:sz w:val="19"/>
                <w:szCs w:val="19"/>
                <w:color w:val="auto"/>
              </w:rPr>
            </w:pPr>
          </w:p>
        </w:tc>
        <w:tc>
          <w:tcPr>
            <w:tcW w:w="620" w:type="dxa"/>
            <w:vAlign w:val="bottom"/>
          </w:tcPr>
          <w:p>
            <w:pPr>
              <w:jc w:val="center"/>
              <w:ind w:right="414"/>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25,467</w:t>
            </w:r>
          </w:p>
        </w:tc>
        <w:tc>
          <w:tcPr>
            <w:tcW w:w="0" w:type="dxa"/>
            <w:vAlign w:val="bottom"/>
          </w:tcPr>
          <w:p>
            <w:pPr>
              <w:spacing w:after="0"/>
              <w:rPr>
                <w:sz w:val="1"/>
                <w:szCs w:val="1"/>
                <w:color w:val="auto"/>
              </w:rPr>
            </w:pPr>
          </w:p>
        </w:tc>
      </w:tr>
      <w:tr>
        <w:trPr>
          <w:trHeight w:val="228"/>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w:t>
            </w:r>
          </w:p>
        </w:tc>
        <w:tc>
          <w:tcPr>
            <w:tcW w:w="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right="414"/>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538"/>
        </w:trPr>
        <w:tc>
          <w:tcPr>
            <w:tcW w:w="1760" w:type="dxa"/>
            <w:vAlign w:val="bottom"/>
          </w:tcPr>
          <w:p>
            <w:pPr>
              <w:spacing w:after="0"/>
              <w:rPr>
                <w:sz w:val="20"/>
                <w:szCs w:val="20"/>
                <w:color w:val="auto"/>
              </w:rPr>
            </w:pPr>
            <w:r>
              <w:rPr>
                <w:rFonts w:ascii="Arial" w:cs="Arial" w:eastAsia="Arial" w:hAnsi="Arial"/>
                <w:sz w:val="18"/>
                <w:szCs w:val="18"/>
                <w:b w:val="1"/>
                <w:bCs w:val="1"/>
                <w:color w:val="auto"/>
              </w:rPr>
              <w:t>Cruise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60" w:type="dxa"/>
            <w:vAlign w:val="bottom"/>
            <w:gridSpan w:val="4"/>
            <w:vMerge w:val="restart"/>
          </w:tcPr>
          <w:p>
            <w:pPr>
              <w:jc w:val="right"/>
              <w:ind w:right="45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gridSpan w:val="6"/>
            <w:vMerge w:val="restart"/>
          </w:tcPr>
          <w:p>
            <w:pPr>
              <w:jc w:val="right"/>
              <w:ind w:right="501"/>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6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4"/>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760" w:type="dxa"/>
            <w:vAlign w:val="bottom"/>
          </w:tcPr>
          <w:p>
            <w:pPr>
              <w:spacing w:after="0"/>
              <w:rPr>
                <w:sz w:val="13"/>
                <w:szCs w:val="13"/>
                <w:color w:val="auto"/>
              </w:rPr>
            </w:pPr>
          </w:p>
        </w:tc>
        <w:tc>
          <w:tcPr>
            <w:tcW w:w="1240" w:type="dxa"/>
            <w:vAlign w:val="bottom"/>
            <w:gridSpan w:val="3"/>
          </w:tcPr>
          <w:p>
            <w:pPr>
              <w:jc w:val="center"/>
              <w:ind w:right="100"/>
              <w:spacing w:after="0" w:line="159" w:lineRule="exact"/>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3"/>
                <w:szCs w:val="13"/>
                <w:color w:val="auto"/>
              </w:rPr>
            </w:pPr>
          </w:p>
        </w:tc>
        <w:tc>
          <w:tcPr>
            <w:tcW w:w="1020" w:type="dxa"/>
            <w:vAlign w:val="bottom"/>
          </w:tcPr>
          <w:p>
            <w:pPr>
              <w:jc w:val="center"/>
              <w:ind w:right="19"/>
              <w:spacing w:after="0" w:line="15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jc w:val="right"/>
              <w:ind w:right="162"/>
              <w:spacing w:after="0" w:line="159" w:lineRule="exact"/>
              <w:rPr>
                <w:sz w:val="20"/>
                <w:szCs w:val="20"/>
                <w:color w:val="auto"/>
              </w:rPr>
            </w:pPr>
            <w:r>
              <w:rPr>
                <w:rFonts w:ascii="Arial" w:cs="Arial" w:eastAsia="Arial" w:hAnsi="Arial"/>
                <w:sz w:val="14"/>
                <w:szCs w:val="14"/>
                <w:b w:val="1"/>
                <w:bCs w:val="1"/>
                <w:color w:val="auto"/>
              </w:rPr>
              <w:t>Favorable/</w:t>
            </w:r>
          </w:p>
        </w:tc>
        <w:tc>
          <w:tcPr>
            <w:tcW w:w="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41"/>
              <w:spacing w:after="0" w:line="15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3"/>
                <w:szCs w:val="13"/>
                <w:color w:val="auto"/>
              </w:rPr>
            </w:pPr>
          </w:p>
        </w:tc>
        <w:tc>
          <w:tcPr>
            <w:tcW w:w="1240" w:type="dxa"/>
            <w:vAlign w:val="bottom"/>
            <w:gridSpan w:val="4"/>
          </w:tcPr>
          <w:p>
            <w:pPr>
              <w:jc w:val="center"/>
              <w:ind w:right="100"/>
              <w:spacing w:after="0" w:line="159" w:lineRule="exact"/>
              <w:rPr>
                <w:sz w:val="20"/>
                <w:szCs w:val="20"/>
                <w:color w:val="auto"/>
              </w:rPr>
            </w:pPr>
            <w:r>
              <w:rPr>
                <w:rFonts w:ascii="Arial" w:cs="Arial" w:eastAsia="Arial" w:hAnsi="Arial"/>
                <w:sz w:val="14"/>
                <w:szCs w:val="14"/>
                <w:b w:val="1"/>
                <w:bCs w:val="1"/>
                <w:color w:val="auto"/>
                <w:w w:val="94"/>
              </w:rPr>
              <w:t>Favorable/</w:t>
            </w:r>
          </w:p>
        </w:tc>
        <w:tc>
          <w:tcPr>
            <w:tcW w:w="9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1"/>
        </w:trPr>
        <w:tc>
          <w:tcPr>
            <w:tcW w:w="1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w w:val="95"/>
              </w:rPr>
              <w:t>(Unfavorable)</w:t>
            </w:r>
          </w:p>
        </w:tc>
        <w:tc>
          <w:tcPr>
            <w:tcW w:w="6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(Unfavorable)</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76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8"/>
                <w:szCs w:val="18"/>
                <w:color w:val="auto"/>
              </w:rPr>
              <w:t>Total net sales and</w:t>
            </w:r>
          </w:p>
        </w:tc>
        <w:tc>
          <w:tcPr>
            <w:tcW w:w="3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revenue(a)</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20" w:type="dxa"/>
            <w:vAlign w:val="bottom"/>
            <w:tcBorders>
              <w:right w:val="single" w:sz="8" w:color="auto"/>
            </w:tcBorders>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7"/>
              </w:rPr>
              <w:t>— %</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8"/>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EBIT (loss)-adjusted(b) $</w:t>
            </w:r>
          </w:p>
        </w:tc>
        <w:tc>
          <w:tcPr>
            <w:tcW w:w="82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(1,904)</w:t>
            </w:r>
          </w:p>
        </w:tc>
        <w:tc>
          <w:tcPr>
            <w:tcW w:w="4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(1,365)</w:t>
            </w:r>
          </w:p>
        </w:tc>
        <w:tc>
          <w:tcPr>
            <w:tcW w:w="54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w w:val="95"/>
              </w:rPr>
              <w:t>(539)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line="247" w:lineRule="auto"/>
        <w:tabs>
          <w:tab w:leader="none" w:pos="331"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Primarily reclassified to Interest income and other non-operating income, net in our condensed consolidated income statements in the three and nine months ended September 30, 2023 and 2022.</w:t>
      </w:r>
    </w:p>
    <w:p>
      <w:pPr>
        <w:spacing w:after="0" w:line="1" w:lineRule="exact"/>
        <w:rPr>
          <w:rFonts w:ascii="Arial" w:cs="Arial" w:eastAsia="Arial" w:hAnsi="Arial"/>
          <w:sz w:val="16"/>
          <w:szCs w:val="16"/>
          <w:color w:val="auto"/>
        </w:rPr>
      </w:pPr>
    </w:p>
    <w:p>
      <w:pPr>
        <w:ind w:left="320" w:hanging="313"/>
        <w:spacing w:after="0"/>
        <w:tabs>
          <w:tab w:leader="none" w:pos="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Excludes $1.1 billion in compensation expense in the nine months ended September 30, 2022 resulting from modification of the Cruise stock incentive awards.</w:t>
      </w:r>
    </w:p>
    <w:p>
      <w:pPr>
        <w:spacing w:after="0" w:line="249" w:lineRule="exact"/>
        <w:rPr>
          <w:sz w:val="20"/>
          <w:szCs w:val="20"/>
          <w:color w:val="auto"/>
        </w:rPr>
      </w:pPr>
    </w:p>
    <w:p>
      <w:pPr>
        <w:jc w:val="both"/>
        <w:ind w:right="20" w:firstLine="161"/>
        <w:spacing w:after="0" w:line="275" w:lineRule="auto"/>
        <w:rPr>
          <w:sz w:val="20"/>
          <w:szCs w:val="20"/>
          <w:color w:val="auto"/>
        </w:rPr>
      </w:pPr>
      <w:r>
        <w:rPr>
          <w:rFonts w:ascii="Arial" w:cs="Arial" w:eastAsia="Arial" w:hAnsi="Arial"/>
          <w:sz w:val="18"/>
          <w:szCs w:val="18"/>
          <w:b w:val="1"/>
          <w:bCs w:val="1"/>
          <w:i w:val="1"/>
          <w:iCs w:val="1"/>
          <w:color w:val="auto"/>
        </w:rPr>
        <w:t xml:space="preserve">Cruise EBIT (Loss)-Adjusted </w:t>
      </w:r>
      <w:r>
        <w:rPr>
          <w:rFonts w:ascii="Arial" w:cs="Arial" w:eastAsia="Arial" w:hAnsi="Arial"/>
          <w:sz w:val="18"/>
          <w:szCs w:val="18"/>
          <w:color w:val="auto"/>
        </w:rPr>
        <w:t>In the three and nine months ended September 30, 2023, EBIT (loss)-adjusted increased primarily due to an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costs as we continue to make progress on commercialization of a network of on-demand AVs.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1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ind w:left="20"/>
              <w:spacing w:after="0" w:line="152"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1040" w:type="dxa"/>
            <w:vAlign w:val="bottom"/>
          </w:tcPr>
          <w:p>
            <w:pPr>
              <w:jc w:val="right"/>
              <w:ind w:right="56"/>
              <w:spacing w:after="0" w:line="152"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80"/>
              <w:spacing w:after="0" w:line="152" w:lineRule="exact"/>
              <w:rPr>
                <w:sz w:val="20"/>
                <w:szCs w:val="20"/>
                <w:color w:val="auto"/>
              </w:rPr>
            </w:pPr>
            <w:r>
              <w:rPr>
                <w:rFonts w:ascii="Arial" w:cs="Arial" w:eastAsia="Arial" w:hAnsi="Arial"/>
                <w:sz w:val="14"/>
                <w:szCs w:val="14"/>
                <w:b w:val="1"/>
                <w:bCs w:val="1"/>
                <w:color w:val="auto"/>
                <w:w w:val="92"/>
              </w:rPr>
              <w:t>Increase/</w:t>
            </w:r>
          </w:p>
        </w:tc>
        <w:tc>
          <w:tcPr>
            <w:tcW w:w="8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20"/>
              <w:spacing w:after="0" w:line="152"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040" w:type="dxa"/>
            <w:vAlign w:val="bottom"/>
          </w:tcPr>
          <w:p>
            <w:pPr>
              <w:jc w:val="right"/>
              <w:ind w:right="56"/>
              <w:spacing w:after="0" w:line="152"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2" w:lineRule="exact"/>
              <w:rPr>
                <w:sz w:val="20"/>
                <w:szCs w:val="20"/>
                <w:color w:val="auto"/>
              </w:rPr>
            </w:pPr>
            <w:r>
              <w:rPr>
                <w:rFonts w:ascii="Arial" w:cs="Arial" w:eastAsia="Arial" w:hAnsi="Arial"/>
                <w:sz w:val="14"/>
                <w:szCs w:val="14"/>
                <w:b w:val="1"/>
                <w:bCs w:val="1"/>
                <w:color w:val="auto"/>
                <w:w w:val="88"/>
              </w:rPr>
              <w:t>Increase/</w:t>
            </w:r>
          </w:p>
        </w:tc>
        <w:tc>
          <w:tcPr>
            <w:tcW w:w="8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1"/>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8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3,641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3,187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454</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10,482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9,489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993</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28"/>
        </w:trPr>
        <w:tc>
          <w:tcPr>
            <w:tcW w:w="1920" w:type="dxa"/>
            <w:vAlign w:val="bottom"/>
            <w:gridSpan w:val="2"/>
          </w:tcPr>
          <w:p>
            <w:pPr>
              <w:spacing w:after="0"/>
              <w:rPr>
                <w:sz w:val="20"/>
                <w:szCs w:val="20"/>
                <w:color w:val="auto"/>
              </w:rPr>
            </w:pPr>
            <w:r>
              <w:rPr>
                <w:rFonts w:ascii="Arial" w:cs="Arial" w:eastAsia="Arial" w:hAnsi="Arial"/>
                <w:sz w:val="18"/>
                <w:szCs w:val="18"/>
                <w:color w:val="auto"/>
                <w:w w:val="90"/>
              </w:rPr>
              <w:t>Provision for loan losses $</w:t>
            </w:r>
          </w:p>
        </w:tc>
        <w:tc>
          <w:tcPr>
            <w:tcW w:w="1040" w:type="dxa"/>
            <w:vAlign w:val="bottom"/>
          </w:tcPr>
          <w:p>
            <w:pPr>
              <w:jc w:val="right"/>
              <w:ind w:right="137"/>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180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7"/>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6"/>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28"/>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EBT-adjusted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911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2,278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3,301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175"/>
        </w:trPr>
        <w:tc>
          <w:tcPr>
            <w:tcW w:w="1800" w:type="dxa"/>
            <w:vAlign w:val="bottom"/>
          </w:tcPr>
          <w:p>
            <w:pPr>
              <w:spacing w:after="0" w:line="175" w:lineRule="exact"/>
              <w:rPr>
                <w:sz w:val="20"/>
                <w:szCs w:val="20"/>
                <w:color w:val="auto"/>
              </w:rPr>
            </w:pPr>
            <w:r>
              <w:rPr>
                <w:rFonts w:ascii="Arial" w:cs="Arial" w:eastAsia="Arial" w:hAnsi="Arial"/>
                <w:sz w:val="18"/>
                <w:szCs w:val="18"/>
                <w:color w:val="auto"/>
              </w:rPr>
              <w:t>Average debt</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800" w:type="dxa"/>
            <w:vAlign w:val="bottom"/>
          </w:tcPr>
          <w:p>
            <w:pPr>
              <w:ind w:left="160"/>
              <w:spacing w:after="0" w:line="188" w:lineRule="exact"/>
              <w:rPr>
                <w:sz w:val="20"/>
                <w:szCs w:val="20"/>
                <w:color w:val="auto"/>
              </w:rPr>
            </w:pPr>
            <w:r>
              <w:rPr>
                <w:rFonts w:ascii="Arial" w:cs="Arial" w:eastAsia="Arial" w:hAnsi="Arial"/>
                <w:sz w:val="18"/>
                <w:szCs w:val="18"/>
                <w:color w:val="auto"/>
                <w:w w:val="91"/>
              </w:rPr>
              <w:t>outstanding (dollars in</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800" w:type="dxa"/>
            <w:vAlign w:val="bottom"/>
          </w:tcPr>
          <w:p>
            <w:pPr>
              <w:ind w:left="160"/>
              <w:spacing w:after="0"/>
              <w:rPr>
                <w:sz w:val="20"/>
                <w:szCs w:val="20"/>
                <w:color w:val="auto"/>
              </w:rPr>
            </w:pPr>
            <w:r>
              <w:rPr>
                <w:rFonts w:ascii="Arial" w:cs="Arial" w:eastAsia="Arial" w:hAnsi="Arial"/>
                <w:sz w:val="18"/>
                <w:szCs w:val="18"/>
                <w:color w:val="auto"/>
              </w:rPr>
              <w:t>billions)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7"/>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93.7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7"/>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93.1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6"/>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w w:val="94"/>
              </w:rPr>
              <w:t>Effective rate of interest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161"/>
        <w:spacing w:after="0" w:line="277" w:lineRule="auto"/>
        <w:rPr>
          <w:sz w:val="20"/>
          <w:szCs w:val="20"/>
          <w:color w:val="auto"/>
        </w:rPr>
      </w:pPr>
      <w:r>
        <w:rPr>
          <w:rFonts w:ascii="Arial" w:cs="Arial" w:eastAsia="Arial" w:hAnsi="Arial"/>
          <w:sz w:val="17"/>
          <w:szCs w:val="17"/>
          <w:b w:val="1"/>
          <w:bCs w:val="1"/>
          <w:i w:val="1"/>
          <w:iCs w:val="1"/>
          <w:color w:val="auto"/>
        </w:rPr>
        <w:t xml:space="preserve">GM Financial Revenue </w:t>
      </w:r>
      <w:r>
        <w:rPr>
          <w:rFonts w:ascii="Arial" w:cs="Arial" w:eastAsia="Arial" w:hAnsi="Arial"/>
          <w:sz w:val="17"/>
          <w:szCs w:val="17"/>
          <w:color w:val="auto"/>
        </w:rPr>
        <w:t>In the three months ended September 30, 2023, Total revenue increased primarily due to: (1) increased finance charge income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$0.5 billion primarily due to an increase in the effective yield resulting from higher benchmark interest rates and growth in the size of the portfolio; (2) increased investment income of $0.1 billion primarily due to an increase in benchmark interest rates; partially offset by (3) decreased leased vehicle income of $0.1 billion primarily due to a decrease in the average balance of the leased vehicles portfolio.</w:t>
      </w:r>
    </w:p>
    <w:p>
      <w:pPr>
        <w:spacing w:after="0" w:line="19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nine months ended September 30, 2023, Total revenue increased primarily due to: (1) increased finance charge income of $1.3 billion primarily due to an increase in the effective yield resulting from higher benchmark interest rates and growth in the size of the portfolio; (2) increased investment income of $0.3 billion primarily due to an increase in benchmark interest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rates; partially offset by (3) decreased leased vehicle income of $0.5 billion primarily due to a decrease in the average balance of the leased vehicles portfolio.</w:t>
      </w:r>
    </w:p>
    <w:p>
      <w:pPr>
        <w:spacing w:after="0" w:line="197" w:lineRule="exact"/>
        <w:rPr>
          <w:sz w:val="20"/>
          <w:szCs w:val="20"/>
          <w:color w:val="auto"/>
        </w:rPr>
      </w:pPr>
    </w:p>
    <w:p>
      <w:pPr>
        <w:jc w:val="both"/>
        <w:ind w:firstLine="161"/>
        <w:spacing w:after="0" w:line="292" w:lineRule="auto"/>
        <w:rPr>
          <w:sz w:val="20"/>
          <w:szCs w:val="20"/>
          <w:color w:val="auto"/>
        </w:rPr>
      </w:pPr>
      <w:r>
        <w:rPr>
          <w:rFonts w:ascii="Arial" w:cs="Arial" w:eastAsia="Arial" w:hAnsi="Arial"/>
          <w:sz w:val="16"/>
          <w:szCs w:val="16"/>
          <w:b w:val="1"/>
          <w:bCs w:val="1"/>
          <w:i w:val="1"/>
          <w:iCs w:val="1"/>
          <w:color w:val="auto"/>
        </w:rPr>
        <w:t xml:space="preserve">GM Financial EBT-Adjusted </w:t>
      </w:r>
      <w:r>
        <w:rPr>
          <w:rFonts w:ascii="Arial" w:cs="Arial" w:eastAsia="Arial" w:hAnsi="Arial"/>
          <w:sz w:val="16"/>
          <w:szCs w:val="16"/>
          <w:color w:val="auto"/>
        </w:rPr>
        <w:t>In the three months ended September 30, 2023, EBT-adjusted decreased primarily due to: (1) increased interest expense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$0.5 billion primarily due to an increased effective rate of interest on debt, resulting from higher benchmark interest rates and increased credit spreads, as well as an increase in average debt outstanding; (2) decreased leased vehicle income net of leased vehicle expenses of $0.2 billion primarily due to decreased leased vehicle income resulting from a decrease in the average balance of the leased vehicles portfolio and decreased lease termination gains due to higher leased portfolio net book values at termination and fewer terminated leases; partially offset by (3) increased finance charge income of $0.5 billion primarily due to an increase in the effective yield resulting from higher benchmark interest rates and growth in the size of the portfolio.</w:t>
      </w:r>
    </w:p>
    <w:p>
      <w:pPr>
        <w:spacing w:after="0" w:line="189" w:lineRule="exact"/>
        <w:rPr>
          <w:sz w:val="20"/>
          <w:szCs w:val="20"/>
          <w:color w:val="auto"/>
        </w:rPr>
      </w:pPr>
    </w:p>
    <w:p>
      <w:pPr>
        <w:jc w:val="both"/>
        <w:ind w:firstLine="161"/>
        <w:spacing w:after="0" w:line="270" w:lineRule="auto"/>
        <w:rPr>
          <w:sz w:val="20"/>
          <w:szCs w:val="20"/>
          <w:color w:val="auto"/>
        </w:rPr>
      </w:pPr>
      <w:r>
        <w:rPr>
          <w:rFonts w:ascii="Arial" w:cs="Arial" w:eastAsia="Arial" w:hAnsi="Arial"/>
          <w:sz w:val="17"/>
          <w:szCs w:val="17"/>
          <w:color w:val="auto"/>
        </w:rPr>
        <w:t>In the nine months ended September 30, 2023, EBT-adjusted decreased primarily due to: (1) increased interest expense of $1.4 billion primarily due to an increased effective rate of interest on debt, resulting from higher benchmark interest rates and increased credit spreads, as well as an increase in average debt outstanding; (2) decreased leased vehicle income net of leased vehicle expenses of $0.9 billion primarily due to decreased leased vehicle income resulting from a decrease in the average balance of the leased vehicles portfolio and decreased lease termination gains due to higher leased portfolio net book values at termination and fewer terminated leases; partially offset by (3) increased finance charge income of $1.3 billion primarily due to an increase in the effective yield resulting from higher benchmark interest rates and growth in the size of the portfolio; and (4) increased investment income of $0.2 billion primarily due to an increase in benchmark interest rates.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We believe our current levels of cash, cash equivalents, marketable debt securities, available borrowing capacity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our revolving credit facilities and other liquidity actions currently available to us are sufficient to meet our liquidity requirements.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203" w:lineRule="exact"/>
        <w:rPr>
          <w:sz w:val="20"/>
          <w:szCs w:val="20"/>
          <w:color w:val="auto"/>
        </w:rPr>
      </w:pPr>
    </w:p>
    <w:p>
      <w:pPr>
        <w:jc w:val="both"/>
        <w:ind w:firstLine="161"/>
        <w:spacing w:after="0" w:line="268" w:lineRule="auto"/>
        <w:rPr>
          <w:sz w:val="20"/>
          <w:szCs w:val="20"/>
          <w:color w:val="auto"/>
        </w:rPr>
      </w:pPr>
      <w:r>
        <w:rPr>
          <w:rFonts w:ascii="Arial" w:cs="Arial" w:eastAsia="Arial" w:hAnsi="Arial"/>
          <w:sz w:val="17"/>
          <w:szCs w:val="17"/>
          <w:color w:val="auto"/>
        </w:rPr>
        <w:t>Our known current material uses of cash include, among other possible demands: (1) capital spending and our investments in our battery cell manufacturing joint ventures; (2) payments for engineering and product development activities; (3) payments associated with previously announced vehicle recalls and any other recall-related contingencies; (4) payments to service debt and other long-term obligations, including discretionary and mandatory contributions to our pension plans; (5) payments associated with the liquidity program for holders of equity-based incentive awards issued to employees of Cruise; (6) dividend payments on our common stock that are declared by our Board of Directors; and (7) payments to purchase shares of our common stock authorized by our Board of Directors. Our material future uses of cash, which may vary from time to time based on market conditions and other factors, are focused on the three objectives of our capital allocation program: (1) grow our business at an average target ROIC-adjusted rate of 20% or greater; (2) maintain a strong investment-grade balance sheet, including a target average automotive cash balance of $18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209"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and investments with joint venture partners as well as strategic alliances that we believe would generate significant advantages and substantially strengthen our business. To support our transition to EVs, we anticipate making investments in suppliers or providing funding towards the execution of strategic, multi-year supply agreements to secure critical materials. In addition, we have entered, and plan to continue to enter, into offtake agreements that generally obligate us to purchase defined quantities of output. These arrangements could have a short-term adverse impact on our cash and increase our inventory. In the three months ended June 30, 2023, we lowered our guidance on capital spending and investments in our battery cell manufacturing joint ventures for 2023 in response to our cost actions and product simplification initiatives.</w:t>
      </w:r>
    </w:p>
    <w:p>
      <w:pPr>
        <w:spacing w:after="0" w:line="209"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and Part I, Item 1A. Risk Factors of our 2022 Form 10-K, some of which are outside of our control.</w:t>
      </w:r>
    </w:p>
    <w:p>
      <w:pPr>
        <w:spacing w:after="0" w:line="197"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In 2022, our Board of Directors increased the capacity under our previously announced common stock repurchase program to $5.0 billion. In the nine months ended September 30, 2023, we completed $1.1 billion of repurchases under the program and</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retired 30 million shares of our common stock. We have completed $3.6 billion of the $5.0 billion program through September 30, 2023.</w:t>
      </w:r>
    </w:p>
    <w:p>
      <w:pPr>
        <w:spacing w:after="0" w:line="250"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In 2022, we reinstated a quarterly dividend on our common stock. In the nine months ended September 30, 2023, we paid dividends of $0.4 billion to holders of our common stock.</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March 2023, we redeemed our $1.5 billion, 4.875% senior unsecured notes with a maturity date of October 2023 and recorded an insignificant loss.</w:t>
      </w:r>
    </w:p>
    <w:p>
      <w:pPr>
        <w:spacing w:after="0" w:line="273"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17"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b w:val="1"/>
          <w:bCs w:val="1"/>
          <w:i w:val="1"/>
          <w:iCs w:val="1"/>
          <w:color w:val="auto"/>
        </w:rPr>
        <w:t xml:space="preserve">Automotive Liquidity </w:t>
      </w:r>
      <w:r>
        <w:rPr>
          <w:rFonts w:ascii="Arial" w:cs="Arial" w:eastAsia="Arial" w:hAnsi="Arial"/>
          <w:sz w:val="16"/>
          <w:szCs w:val="16"/>
          <w:color w:val="auto"/>
        </w:rPr>
        <w:t>Total available liquidity includes cash, cash equivalents, marketable debt securities and funds available under credit facilities.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2022. Refer to Part II, Item 7. MD&amp;A of our 2022 Form 10-K.</w:t>
      </w:r>
    </w:p>
    <w:p>
      <w:pPr>
        <w:spacing w:after="0" w:line="18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In March 2023, we renewed and reduced the total borrowing capacity of our five-year, $11.2 billion facility to $10.0 billion, which now matures March 31, 2028. We also renewed and reduced the total borrowing capacity of our three-year, $4.3 billion facility to $4.1 billion, which now matures March 31, 2026, and renewed our 364-day, $2.0 billion revolving credit facility allocated for the exclusive use of GM Financial, which now matures March 30, 2024. In October 2023, we entered into a new 364-day unsecured revolving credit facility with a borrowing capacity of $6.0 billion, which matures on October 1, 2024.</w:t>
      </w:r>
    </w:p>
    <w:p>
      <w:pPr>
        <w:spacing w:after="0" w:line="21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Our Automotive borrowing capacity under credit facilities totaled $14.1 billion at September 30, 2023 and $15.5 billion at December 31, 2022, which consisted primarily of two credit facilities. Total Automotive borrowing capacity under our credit facilities does not include our 364-day, $2.0 billion facility allocated for exclusive use of GM Financial. We did not have any borrowings against our primary facilities, but had letters of credit outstanding under our sub-facility of $0.6 billion and $0.4 billion at September 30, 2023 and December 31, 2022.</w:t>
      </w:r>
    </w:p>
    <w:p>
      <w:pPr>
        <w:spacing w:after="0" w:line="217" w:lineRule="exact"/>
        <w:rPr>
          <w:sz w:val="20"/>
          <w:szCs w:val="20"/>
          <w:color w:val="auto"/>
        </w:rPr>
      </w:pPr>
    </w:p>
    <w:p>
      <w:pPr>
        <w:jc w:val="both"/>
        <w:ind w:firstLine="161"/>
        <w:spacing w:after="0" w:line="277" w:lineRule="auto"/>
        <w:rPr>
          <w:sz w:val="20"/>
          <w:szCs w:val="20"/>
          <w:color w:val="auto"/>
        </w:rPr>
      </w:pPr>
      <w:r>
        <w:rPr>
          <w:rFonts w:ascii="Arial" w:cs="Arial" w:eastAsia="Arial" w:hAnsi="Arial"/>
          <w:sz w:val="17"/>
          <w:szCs w:val="17"/>
          <w:color w:val="auto"/>
        </w:rPr>
        <w:t>If available capacity permits, GM Financial continues to have access to our automotive credit facilities. GM Financial did not have borrowings outstanding against any of these facilities at September 30, 2023 and December 31, 2022. We had intercompany loans from GM Financial of $0.4 billion and $0.2 billion at September 30, 2023 and December 31, 2022. We did not have intercompany loans to GM Financial at September 30, 2023 and December 31, 2022. Refer to Note 4 to our condensed consolidated financial statements for additional information.</w:t>
      </w:r>
    </w:p>
    <w:p>
      <w:pPr>
        <w:spacing w:after="0" w:line="19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Several of our loan facilities, including our revolving credit facilities, require compliance with certain financial and operational covenants as well as regular reporting to lenders. We have reviewed our covenants in effect as of September 30, 2023 and determined we are in compliance and expect to remain in compliance in the future.</w:t>
      </w:r>
    </w:p>
    <w:p>
      <w:pPr>
        <w:spacing w:after="0" w:line="20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GM Financial's Board of Directors declared and paid dividends of $1.4 billion on its common stock in the nine months ended September 30, 2023. Future dividends from GM Financial will depend on several factors including business and economic conditions, its financial condition, earnings, liquidity requirements and leverage ratio.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our Automotive available liquidity (dollars in billions):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2022</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Marketable debt securities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cash, cash equivalents and marketable debt securities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Available under credit facilities(a)</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Automotive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We had letters of credit outstanding under our sub-facility of $0.6 billion and $0.4 billion at September 30, 2023 and December 31, 2022.</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changes in our Automotive available liquidity (dollars in billions):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6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67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Decrease in available credit facilities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Payment of senior unsecured notes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and payments to purchase common stock</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Investment in Ultium Cells Holdings LLC</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GM investment in Cruise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Investment in Lithium Americas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Total change in automotive available liquidity</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tcPr>
          <w:p>
            <w:pPr>
              <w:ind w:left="140"/>
              <w:spacing w:after="0"/>
              <w:rPr>
                <w:sz w:val="20"/>
                <w:szCs w:val="20"/>
                <w:color w:val="auto"/>
              </w:rPr>
            </w:pPr>
            <w:r>
              <w:rPr>
                <w:rFonts w:ascii="Arial" w:cs="Arial" w:eastAsia="Arial" w:hAnsi="Arial"/>
                <w:sz w:val="18"/>
                <w:szCs w:val="18"/>
                <w:i w:val="1"/>
                <w:iCs w:val="1"/>
                <w:color w:val="auto"/>
              </w:rPr>
              <w:t>Automotive Cash Flow (dollars in billions)</w:t>
            </w: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1"/>
        </w:trPr>
        <w:tc>
          <w:tcPr>
            <w:tcW w:w="2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6"/>
          </w:tcPr>
          <w:p>
            <w:pPr>
              <w:ind w:left="9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w w:val="94"/>
              </w:rPr>
              <w:t>September 30, 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Depreciation, amortization and impairment charges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OPEB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liabilities and income taxes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Other(a)</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provided by (used in) operating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6" w:lineRule="exact"/>
        <w:rPr>
          <w:sz w:val="20"/>
          <w:szCs w:val="20"/>
          <w:color w:val="auto"/>
        </w:rPr>
      </w:pPr>
    </w:p>
    <w:p>
      <w:pPr>
        <w:ind w:left="320" w:hanging="313"/>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$1.4 billion and $1.0 billion in dividends received from GM Financial in the nine months ended September 30, 2023 and 2022</w:t>
      </w:r>
      <w:r>
        <w:rPr>
          <w:rFonts w:ascii="Arial" w:cs="Arial" w:eastAsia="Arial" w:hAnsi="Arial"/>
          <w:sz w:val="17"/>
          <w:szCs w:val="17"/>
          <w:color w:val="auto"/>
        </w:rPr>
        <w:t>.</w:t>
      </w:r>
    </w:p>
    <w:p>
      <w:pPr>
        <w:spacing w:after="0" w:line="200" w:lineRule="exact"/>
        <w:rPr>
          <w:rFonts w:ascii="Arial" w:cs="Arial" w:eastAsia="Arial" w:hAnsi="Arial"/>
          <w:sz w:val="16"/>
          <w:szCs w:val="16"/>
          <w:color w:val="auto"/>
        </w:rPr>
      </w:pPr>
    </w:p>
    <w:p>
      <w:pPr>
        <w:spacing w:after="0" w:line="39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323"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60" w:type="dxa"/>
            <w:vAlign w:val="bottom"/>
            <w:gridSpan w:val="5"/>
          </w:tcPr>
          <w:p>
            <w:pPr>
              <w:ind w:left="9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September 30, 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1016"/>
              <w:spacing w:after="0"/>
              <w:rPr>
                <w:sz w:val="20"/>
                <w:szCs w:val="20"/>
                <w:color w:val="auto"/>
              </w:rPr>
            </w:pPr>
            <w:r>
              <w:rPr>
                <w:rFonts w:ascii="Arial" w:cs="Arial" w:eastAsia="Arial" w:hAnsi="Arial"/>
                <w:sz w:val="18"/>
                <w:szCs w:val="18"/>
                <w:color w:val="auto"/>
                <w:w w:val="91"/>
              </w:rPr>
              <w:t>(7.1)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Arial" w:cs="Arial" w:eastAsia="Arial" w:hAnsi="Arial"/>
                <w:sz w:val="18"/>
                <w:szCs w:val="18"/>
                <w:color w:val="auto"/>
              </w:rPr>
              <w:t>Acquisitions and liquidations of marketable securities, net</w:t>
            </w:r>
          </w:p>
        </w:tc>
        <w:tc>
          <w:tcPr>
            <w:tcW w:w="160" w:type="dxa"/>
            <w:vAlign w:val="bottom"/>
          </w:tcPr>
          <w:p>
            <w:pPr>
              <w:spacing w:after="0"/>
              <w:rPr>
                <w:sz w:val="19"/>
                <w:szCs w:val="19"/>
                <w:color w:val="auto"/>
              </w:rPr>
            </w:pPr>
          </w:p>
        </w:tc>
        <w:tc>
          <w:tcPr>
            <w:tcW w:w="1480" w:type="dxa"/>
            <w:vAlign w:val="bottom"/>
          </w:tcPr>
          <w:p>
            <w:pPr>
              <w:jc w:val="center"/>
              <w:ind w:left="1056"/>
              <w:spacing w:after="0"/>
              <w:rPr>
                <w:sz w:val="20"/>
                <w:szCs w:val="20"/>
                <w:color w:val="auto"/>
              </w:rPr>
            </w:pPr>
            <w:r>
              <w:rPr>
                <w:rFonts w:ascii="Arial" w:cs="Arial" w:eastAsia="Arial" w:hAnsi="Arial"/>
                <w:sz w:val="18"/>
                <w:szCs w:val="18"/>
                <w:color w:val="auto"/>
                <w:w w:val="87"/>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Other(a)</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1016"/>
              <w:spacing w:after="0"/>
              <w:rPr>
                <w:sz w:val="20"/>
                <w:szCs w:val="20"/>
                <w:color w:val="auto"/>
              </w:rPr>
            </w:pPr>
            <w:r>
              <w:rPr>
                <w:rFonts w:ascii="Arial" w:cs="Arial" w:eastAsia="Arial" w:hAnsi="Arial"/>
                <w:sz w:val="18"/>
                <w:szCs w:val="18"/>
                <w:color w:val="auto"/>
                <w:w w:val="91"/>
              </w:rPr>
              <w:t>(1.5)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Arial" w:cs="Arial" w:eastAsia="Arial" w:hAnsi="Arial"/>
                <w:sz w:val="18"/>
                <w:szCs w:val="18"/>
                <w:color w:val="auto"/>
              </w:rPr>
              <w:t>Net automotive cash provided by (used in) investing activities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center"/>
              <w:ind w:left="1016"/>
              <w:spacing w:after="0"/>
              <w:rPr>
                <w:sz w:val="20"/>
                <w:szCs w:val="20"/>
                <w:color w:val="auto"/>
              </w:rPr>
            </w:pPr>
            <w:r>
              <w:rPr>
                <w:rFonts w:ascii="Arial" w:cs="Arial" w:eastAsia="Arial" w:hAnsi="Arial"/>
                <w:sz w:val="18"/>
                <w:szCs w:val="18"/>
                <w:color w:val="auto"/>
                <w:w w:val="91"/>
              </w:rPr>
              <w:t>(7.1)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jc w:val="both"/>
        <w:ind w:left="340" w:right="100" w:hanging="333"/>
        <w:spacing w:after="0" w:line="276" w:lineRule="auto"/>
        <w:tabs>
          <w:tab w:leader="none" w:pos="331"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Includes $0.7 billion and $0.6 billion of GM's investment in Ultium Cells Holdings LLC in the nine months ended September 30, 2023 and 2022, $0.4 billion and $2.1 billion of GM's investment in Cruise in the nine months ended September 30, 2023 and 2022; $0.3 billion of GM's investment in Lithium Americas in the nine months ended September 30, 2023, $2.1 billion for the redemption of Cruise preferred shares from SoftBank in the nine months ended September 30, 2022; and $0.9 billion related to the sale of Stellantis common shares, excluding dividends received and tax withholding, in the nine months ended September 30, 2022.</w:t>
      </w:r>
    </w:p>
    <w:p>
      <w:pPr>
        <w:spacing w:after="0" w:line="255"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5"/>
          </w:tcPr>
          <w:p>
            <w:pPr>
              <w:ind w:left="92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September 30, 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(payments) from short-term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ind w:left="354"/>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Arial" w:cs="Arial" w:eastAsia="Arial" w:hAnsi="Arial"/>
                <w:sz w:val="18"/>
                <w:szCs w:val="18"/>
                <w:color w:val="auto"/>
              </w:rPr>
              <w:t>Issuance of senior unsecured notes</w:t>
            </w: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center"/>
              <w:ind w:left="354"/>
              <w:spacing w:after="0"/>
              <w:rPr>
                <w:sz w:val="20"/>
                <w:szCs w:val="20"/>
                <w:color w:val="auto"/>
              </w:rPr>
            </w:pPr>
            <w:r>
              <w:rPr>
                <w:rFonts w:ascii="Arial" w:cs="Arial" w:eastAsia="Arial" w:hAnsi="Arial"/>
                <w:sz w:val="18"/>
                <w:szCs w:val="18"/>
                <w:color w:val="auto"/>
                <w:w w:val="91"/>
              </w:rPr>
              <w:t>(2.2)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Other(a)</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center"/>
              <w:ind w:left="394"/>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Arial" w:cs="Arial" w:eastAsia="Arial" w:hAnsi="Arial"/>
                <w:sz w:val="18"/>
                <w:szCs w:val="18"/>
                <w:color w:val="auto"/>
              </w:rPr>
              <w:t>Net automotive cash provided by (used in) financing activities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center"/>
              <w:ind w:left="354"/>
              <w:spacing w:after="0"/>
              <w:rPr>
                <w:sz w:val="20"/>
                <w:szCs w:val="20"/>
                <w:color w:val="auto"/>
              </w:rPr>
            </w:pPr>
            <w:r>
              <w:rPr>
                <w:rFonts w:ascii="Arial" w:cs="Arial" w:eastAsia="Arial" w:hAnsi="Arial"/>
                <w:sz w:val="18"/>
                <w:szCs w:val="18"/>
                <w:color w:val="auto"/>
                <w:w w:val="91"/>
              </w:rPr>
              <w:t>(3.1)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$1.5 billion and $1.6 billion for dividends paid and payments to purchase common stock in the nine months ended September 30, 2023 and 2022.</w:t>
      </w:r>
    </w:p>
    <w:p>
      <w:pPr>
        <w:spacing w:after="0" w:line="237" w:lineRule="exact"/>
        <w:rPr>
          <w:sz w:val="20"/>
          <w:szCs w:val="20"/>
          <w:color w:val="auto"/>
        </w:rPr>
      </w:pPr>
    </w:p>
    <w:p>
      <w:pPr>
        <w:jc w:val="both"/>
        <w:ind w:right="100" w:firstLine="161"/>
        <w:spacing w:after="0" w:line="258" w:lineRule="auto"/>
        <w:rPr>
          <w:sz w:val="20"/>
          <w:szCs w:val="20"/>
          <w:color w:val="auto"/>
        </w:rPr>
      </w:pPr>
      <w:r>
        <w:rPr>
          <w:rFonts w:ascii="Arial" w:cs="Arial" w:eastAsia="Arial" w:hAnsi="Arial"/>
          <w:sz w:val="18"/>
          <w:szCs w:val="18"/>
          <w:i w:val="1"/>
          <w:iCs w:val="1"/>
          <w:color w:val="auto"/>
        </w:rPr>
        <w:t xml:space="preserve">Adjusted Automotive Free Cash Flow </w:t>
      </w:r>
      <w:r>
        <w:rPr>
          <w:rFonts w:ascii="Arial" w:cs="Arial" w:eastAsia="Arial" w:hAnsi="Arial"/>
          <w:sz w:val="18"/>
          <w:szCs w:val="18"/>
          <w:color w:val="auto"/>
        </w:rPr>
        <w:t>We measure adjusted automotive free cash flow as automotive operating cash flow from operations less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adjusted for management actions. In the nine months ended September 30, 2023, net automotive cash provided by operating activities under U.S. GAAP was $16.1 billion, capital expenditures were $7.1 billion and adjustments for management actions related to Buick dealer strategy and employee separation costs were $1.3 billion.</w:t>
      </w:r>
    </w:p>
    <w:p>
      <w:pPr>
        <w:spacing w:after="0" w:line="212" w:lineRule="exact"/>
        <w:rPr>
          <w:sz w:val="20"/>
          <w:szCs w:val="20"/>
          <w:color w:val="auto"/>
        </w:rPr>
      </w:pPr>
    </w:p>
    <w:p>
      <w:pPr>
        <w:jc w:val="both"/>
        <w:ind w:right="100" w:firstLine="161"/>
        <w:spacing w:after="0" w:line="275" w:lineRule="auto"/>
        <w:rPr>
          <w:sz w:val="20"/>
          <w:szCs w:val="20"/>
          <w:color w:val="auto"/>
        </w:rPr>
      </w:pPr>
      <w:r>
        <w:rPr>
          <w:rFonts w:ascii="Arial" w:cs="Arial" w:eastAsia="Arial" w:hAnsi="Arial"/>
          <w:sz w:val="18"/>
          <w:szCs w:val="18"/>
          <w:color w:val="auto"/>
        </w:rPr>
        <w:t>In the nine months ended September 30, 2022, net automotive cash provided by operating activities under U.S. GAAP was $11.6 billion, capital expenditures were $5.8 billion and adjustments for management actions were insignificant.</w:t>
      </w:r>
    </w:p>
    <w:p>
      <w:pPr>
        <w:spacing w:after="0" w:line="197" w:lineRule="exact"/>
        <w:rPr>
          <w:sz w:val="20"/>
          <w:szCs w:val="20"/>
          <w:color w:val="auto"/>
        </w:rPr>
      </w:pPr>
    </w:p>
    <w:p>
      <w:pPr>
        <w:jc w:val="both"/>
        <w:ind w:right="100" w:firstLine="161"/>
        <w:spacing w:after="0" w:line="300" w:lineRule="auto"/>
        <w:rPr>
          <w:sz w:val="20"/>
          <w:szCs w:val="20"/>
          <w:color w:val="auto"/>
        </w:rPr>
      </w:pPr>
      <w:r>
        <w:rPr>
          <w:rFonts w:ascii="Arial" w:cs="Arial" w:eastAsia="Arial" w:hAnsi="Arial"/>
          <w:sz w:val="16"/>
          <w:szCs w:val="16"/>
          <w:i w:val="1"/>
          <w:iCs w:val="1"/>
          <w:color w:val="auto"/>
        </w:rPr>
        <w:t xml:space="preserve">Status of Credit Ratings </w:t>
      </w:r>
      <w:r>
        <w:rPr>
          <w:rFonts w:ascii="Arial" w:cs="Arial" w:eastAsia="Arial" w:hAnsi="Arial"/>
          <w:sz w:val="16"/>
          <w:szCs w:val="16"/>
          <w:color w:val="auto"/>
        </w:rPr>
        <w:t>We receive ratings from four independent credit rating agencies: DBRS Limited, Fitch Ratings (Fitch), Moody's Investors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(Moody's) and Standard &amp; Poor's. All four credit rating agencies currently rate our corporate credit at investment grade. In March 2023, Moody's upgraded our senior unsecured notes to Baa2 from Baa3. In September 2023, Fitch upgraded our Corporate and Senior Unsecured ratings to BBB from BBB- and changed our outlook to Stable from Positive. As of October 16, 2023, all other credit ratings remained unchanged since December 31, 2022.</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Cruise Liquidity</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Cruise's available liquidity (dollars in billions):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2022</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Cruise 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Cruise marketable securities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Cruise available liquidity(a)(b)</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jc w:val="both"/>
        <w:ind w:left="340" w:right="100" w:hanging="333"/>
        <w:spacing w:after="0" w:line="252" w:lineRule="auto"/>
        <w:tabs>
          <w:tab w:leader="none" w:pos="331"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Excludes a multi-year credit agreement with GM Financial whereby Cruise can borrow, over time, up to an additional aggregate of $4.3 billion, through 2024, to fund the purchase of AVs from GM and all accessories, attachments, parts and other equipment acquired in connection with or otherwise relating to any AV. As of September 30, 2023, Cruise had total borrowings of $0.3 billion under this agreement.</w:t>
      </w:r>
    </w:p>
    <w:p>
      <w:pPr>
        <w:spacing w:after="0" w:line="2" w:lineRule="exact"/>
        <w:rPr>
          <w:rFonts w:ascii="Arial" w:cs="Arial" w:eastAsia="Arial" w:hAnsi="Arial"/>
          <w:sz w:val="16"/>
          <w:szCs w:val="16"/>
          <w:color w:val="auto"/>
        </w:rPr>
      </w:pPr>
    </w:p>
    <w:p>
      <w:pPr>
        <w:ind w:left="340" w:right="100" w:hanging="333"/>
        <w:spacing w:after="0" w:line="27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Excludes a multi-year framework agreement with us whereby Cruise can defer invoices received through 2024, up to $0.8 billion, related to engineering and capital spending incurred by us on behalf of Cruise. As of September 30, 2023, Cruise deferred $0.4 billion under this agreement.</w:t>
      </w:r>
    </w:p>
    <w:p>
      <w:pPr>
        <w:spacing w:after="0" w:line="200" w:lineRule="exact"/>
        <w:rPr>
          <w:sz w:val="20"/>
          <w:szCs w:val="20"/>
          <w:color w:val="auto"/>
        </w:rPr>
      </w:pPr>
    </w:p>
    <w:p>
      <w:pPr>
        <w:spacing w:after="0" w:line="34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changes in Cruise's available liquidity (dollars in billions):</w:t>
      </w:r>
    </w:p>
    <w:p>
      <w:pPr>
        <w:spacing w:after="0" w:line="40" w:lineRule="exact"/>
        <w:rPr>
          <w:sz w:val="20"/>
          <w:szCs w:val="20"/>
          <w:color w:val="auto"/>
        </w:rPr>
      </w:pPr>
    </w:p>
    <w:p>
      <w:pPr>
        <w:jc w:val="right"/>
        <w:ind w:right="280"/>
        <w:spacing w:after="0"/>
        <w:rPr>
          <w:sz w:val="20"/>
          <w:szCs w:val="20"/>
          <w:color w:val="auto"/>
        </w:rPr>
      </w:pPr>
      <w:r>
        <w:rPr>
          <w:rFonts w:ascii="Arial" w:cs="Arial" w:eastAsia="Arial" w:hAnsi="Arial"/>
          <w:sz w:val="14"/>
          <w:szCs w:val="14"/>
          <w:b w:val="1"/>
          <w:bCs w:val="1"/>
          <w:color w:val="auto"/>
        </w:rPr>
        <w:t>Nine Months Ended</w:t>
      </w:r>
    </w:p>
    <w:p>
      <w:pPr>
        <w:spacing w:after="0" w:line="3" w:lineRule="exact"/>
        <w:rPr>
          <w:sz w:val="20"/>
          <w:szCs w:val="20"/>
          <w:color w:val="auto"/>
        </w:rPr>
      </w:pPr>
    </w:p>
    <w:p>
      <w:pPr>
        <w:ind w:left="9760"/>
        <w:spacing w:after="0"/>
        <w:rPr>
          <w:sz w:val="20"/>
          <w:szCs w:val="20"/>
          <w:color w:val="auto"/>
        </w:rPr>
      </w:pPr>
      <w:r>
        <w:rPr>
          <w:rFonts w:ascii="Arial" w:cs="Arial" w:eastAsia="Arial" w:hAnsi="Arial"/>
          <w:sz w:val="12"/>
          <w:szCs w:val="12"/>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7132955" cy="1536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cash flow(a)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GM investment in Cruise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non-operating</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change in Cruise available liquidity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$0.2 billion cash outflows related to tendered Cruise Class B Common Shares classified as liabilities.</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Cruise Cash Flow (dollars in billions)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91"/>
              </w:rPr>
              <w:t>(1.4)</w:t>
            </w:r>
          </w:p>
        </w:tc>
      </w:tr>
      <w:tr>
        <w:trPr>
          <w:trHeight w:val="228"/>
        </w:trPr>
        <w:tc>
          <w:tcPr>
            <w:tcW w:w="760" w:type="dxa"/>
            <w:vAlign w:val="bottom"/>
          </w:tcPr>
          <w:p>
            <w:pPr>
              <w:spacing w:after="0"/>
              <w:rPr>
                <w:sz w:val="19"/>
                <w:szCs w:val="19"/>
                <w:color w:val="auto"/>
              </w:rPr>
            </w:pPr>
          </w:p>
        </w:tc>
        <w:tc>
          <w:tcPr>
            <w:tcW w:w="1020" w:type="dxa"/>
            <w:vAlign w:val="bottom"/>
          </w:tcPr>
          <w:p>
            <w:pPr>
              <w:jc w:val="center"/>
              <w:ind w:left="550"/>
              <w:spacing w:after="0"/>
              <w:rPr>
                <w:sz w:val="20"/>
                <w:szCs w:val="20"/>
                <w:color w:val="auto"/>
              </w:rPr>
            </w:pPr>
            <w:r>
              <w:rPr>
                <w:rFonts w:ascii="Arial" w:cs="Arial" w:eastAsia="Arial" w:hAnsi="Arial"/>
                <w:sz w:val="18"/>
                <w:szCs w:val="18"/>
                <w:color w:val="auto"/>
                <w:w w:val="87"/>
              </w:rPr>
              <w:t>0.4</w:t>
            </w:r>
          </w:p>
        </w:tc>
      </w:tr>
      <w:tr>
        <w:trPr>
          <w:trHeight w:val="229"/>
        </w:trPr>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1"/>
              </w:rPr>
              <w:t>(0.1)</w:t>
            </w:r>
          </w:p>
        </w:tc>
      </w:tr>
      <w:tr>
        <w:trPr>
          <w:trHeight w:val="222"/>
        </w:trPr>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1"/>
              </w:rPr>
              <w:t>(1.2)</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70" w:lineRule="exact"/>
        <w:rPr>
          <w:sz w:val="20"/>
          <w:szCs w:val="20"/>
          <w:color w:val="auto"/>
        </w:rPr>
      </w:pPr>
    </w:p>
    <w:p>
      <w:pPr>
        <w:sectPr>
          <w:pgSz w:w="11900" w:h="16838" w:orient="portrait"/>
          <w:cols w:equalWidth="0" w:num="2">
            <w:col w:w="9020" w:space="440"/>
            <w:col w:w="17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6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r>
        <w:trPr>
          <w:trHeight w:val="228"/>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center"/>
              <w:ind w:left="975"/>
              <w:spacing w:after="0"/>
              <w:rPr>
                <w:sz w:val="20"/>
                <w:szCs w:val="20"/>
                <w:color w:val="auto"/>
              </w:rPr>
            </w:pPr>
            <w:r>
              <w:rPr>
                <w:rFonts w:ascii="Arial" w:cs="Arial" w:eastAsia="Arial" w:hAnsi="Arial"/>
                <w:sz w:val="18"/>
                <w:szCs w:val="18"/>
                <w:color w:val="auto"/>
                <w:w w:val="91"/>
              </w:rPr>
              <w:t>(1.4)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center"/>
              <w:ind w:left="995"/>
              <w:spacing w:after="0"/>
              <w:rPr>
                <w:sz w:val="20"/>
                <w:szCs w:val="20"/>
                <w:color w:val="auto"/>
              </w:rPr>
            </w:pPr>
            <w:r>
              <w:rPr>
                <w:rFonts w:ascii="Arial" w:cs="Arial" w:eastAsia="Arial" w:hAnsi="Arial"/>
                <w:sz w:val="18"/>
                <w:szCs w:val="18"/>
                <w:color w:val="auto"/>
                <w:w w:val="97"/>
              </w:rPr>
              <w:t>(1.3)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center"/>
              <w:ind w:left="315"/>
              <w:spacing w:after="0"/>
              <w:rPr>
                <w:sz w:val="20"/>
                <w:szCs w:val="20"/>
                <w:color w:val="auto"/>
              </w:rPr>
            </w:pPr>
            <w:r>
              <w:rPr>
                <w:rFonts w:ascii="Arial" w:cs="Arial" w:eastAsia="Arial" w:hAnsi="Arial"/>
                <w:sz w:val="18"/>
                <w:szCs w:val="18"/>
                <w:color w:val="auto"/>
                <w:w w:val="91"/>
              </w:rPr>
              <w:t>(0.1)</w:t>
            </w:r>
          </w:p>
        </w:tc>
      </w:tr>
      <w:tr>
        <w:trPr>
          <w:trHeight w:val="228"/>
        </w:trPr>
        <w:tc>
          <w:tcPr>
            <w:tcW w:w="67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center"/>
              <w:ind w:left="1015"/>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center"/>
              <w:ind w:left="995"/>
              <w:spacing w:after="0"/>
              <w:rPr>
                <w:sz w:val="20"/>
                <w:szCs w:val="20"/>
                <w:color w:val="auto"/>
              </w:rPr>
            </w:pPr>
            <w:r>
              <w:rPr>
                <w:rFonts w:ascii="Arial" w:cs="Arial" w:eastAsia="Arial" w:hAnsi="Arial"/>
                <w:sz w:val="18"/>
                <w:szCs w:val="18"/>
                <w:color w:val="auto"/>
                <w:w w:val="97"/>
              </w:rPr>
              <w:t>(0.2)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left="355"/>
              <w:spacing w:after="0"/>
              <w:rPr>
                <w:sz w:val="20"/>
                <w:szCs w:val="20"/>
                <w:color w:val="auto"/>
              </w:rPr>
            </w:pPr>
            <w:r>
              <w:rPr>
                <w:rFonts w:ascii="Arial" w:cs="Arial" w:eastAsia="Arial" w:hAnsi="Arial"/>
                <w:sz w:val="18"/>
                <w:szCs w:val="18"/>
                <w:color w:val="auto"/>
                <w:w w:val="87"/>
              </w:rPr>
              <w:t>1.3</w:t>
            </w: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1015"/>
              <w:spacing w:after="0"/>
              <w:rPr>
                <w:sz w:val="20"/>
                <w:szCs w:val="20"/>
                <w:color w:val="auto"/>
              </w:rPr>
            </w:pPr>
            <w:r>
              <w:rPr>
                <w:rFonts w:ascii="Arial" w:cs="Arial" w:eastAsia="Arial" w:hAnsi="Arial"/>
                <w:sz w:val="18"/>
                <w:szCs w:val="18"/>
                <w:color w:val="auto"/>
                <w:w w:val="87"/>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1015"/>
              <w:spacing w:after="0"/>
              <w:rPr>
                <w:sz w:val="20"/>
                <w:szCs w:val="20"/>
                <w:color w:val="auto"/>
              </w:rPr>
            </w:pPr>
            <w:r>
              <w:rPr>
                <w:rFonts w:ascii="Arial" w:cs="Arial" w:eastAsia="Arial" w:hAnsi="Arial"/>
                <w:sz w:val="18"/>
                <w:szCs w:val="18"/>
                <w:color w:val="auto"/>
                <w:w w:val="87"/>
              </w:rPr>
              <w:t>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1"/>
              </w:rPr>
              <w:t>(1.3)</w:t>
            </w:r>
          </w:p>
        </w:tc>
      </w:tr>
    </w:tbl>
    <w:p>
      <w:pPr>
        <w:spacing w:after="0" w:line="308" w:lineRule="exact"/>
        <w:rPr>
          <w:sz w:val="20"/>
          <w:szCs w:val="20"/>
          <w:color w:val="auto"/>
        </w:rPr>
      </w:pPr>
    </w:p>
    <w:p>
      <w:pPr>
        <w:jc w:val="both"/>
        <w:ind w:firstLine="161"/>
        <w:spacing w:after="0" w:line="292" w:lineRule="auto"/>
        <w:rPr>
          <w:sz w:val="20"/>
          <w:szCs w:val="20"/>
          <w:color w:val="auto"/>
        </w:rPr>
      </w:pPr>
      <w:r>
        <w:rPr>
          <w:rFonts w:ascii="Arial" w:cs="Arial" w:eastAsia="Arial" w:hAnsi="Arial"/>
          <w:sz w:val="16"/>
          <w:szCs w:val="16"/>
          <w:b w:val="1"/>
          <w:bCs w:val="1"/>
          <w:i w:val="1"/>
          <w:iCs w:val="1"/>
          <w:color w:val="auto"/>
        </w:rPr>
        <w:t xml:space="preserve">Automotive Financing – GM Financial Liquidity </w:t>
      </w:r>
      <w:r>
        <w:rPr>
          <w:rFonts w:ascii="Arial" w:cs="Arial" w:eastAsia="Arial" w:hAnsi="Arial"/>
          <w:sz w:val="16"/>
          <w:szCs w:val="16"/>
          <w:color w:val="auto"/>
        </w:rPr>
        <w:t>GM Financial's primary sources of cash are finance charge income, leasing income and proceeds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sale of terminated leased vehicles, net proceeds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2022</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Borrowing capacity on unpledged eligible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 capacity on committed unsecured lines of credit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Borrowing capacity on revolving credit facility, exclusive to GM Financial</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GM Financial structures liquidity to support at least six months of GM Financial's expected net cash flows, including new originations, without access to new debt financing transactions or other capital markets activity. At September 30, 2023, available liquidity exceeded GM Financial's liquidity targets.</w:t>
      </w:r>
    </w:p>
    <w:p>
      <w:pPr>
        <w:spacing w:after="0" w:line="152" w:lineRule="exact"/>
        <w:rPr>
          <w:sz w:val="20"/>
          <w:szCs w:val="20"/>
          <w:color w:val="auto"/>
        </w:rPr>
      </w:pPr>
    </w:p>
    <w:p>
      <w:pPr>
        <w:jc w:val="both"/>
        <w:ind w:firstLine="161"/>
        <w:spacing w:after="0" w:line="305" w:lineRule="auto"/>
        <w:rPr>
          <w:sz w:val="20"/>
          <w:szCs w:val="20"/>
          <w:color w:val="auto"/>
        </w:rPr>
      </w:pPr>
      <w:r>
        <w:rPr>
          <w:rFonts w:ascii="Arial" w:cs="Arial" w:eastAsia="Arial" w:hAnsi="Arial"/>
          <w:sz w:val="17"/>
          <w:szCs w:val="17"/>
          <w:color w:val="auto"/>
        </w:rPr>
        <w:t>GM Financial did not have any borrowings outstanding against our credit facility designated for their exclusive use or the remainder of our revolving credit facilities at September 30, 2023 and December 31, 2022. Refer to the Automotive Liquidity section of this MD&amp;A for additional details.</w:t>
      </w:r>
    </w:p>
    <w:p>
      <w:pPr>
        <w:spacing w:after="0" w:line="175"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In the normal course of business, in addition to using its available cash, GM Financial utilizes borrowings under its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be secured or unsecured, and GM Financial repays these borrowings as appropriate under its cash management strategy. At September 30, 2023, secured, committed unsecured and uncommitted unsecured credit facilities totaled $26.9 billion, $0.6 billion and $1.8 billion with advances outstanding of $4.7 billion, an insignificant amount and $1.8 billion.</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4"/>
          </w:tcPr>
          <w:p>
            <w:pPr>
              <w:ind w:left="9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center"/>
              <w:ind w:left="1018"/>
              <w:spacing w:after="0"/>
              <w:rPr>
                <w:sz w:val="20"/>
                <w:szCs w:val="20"/>
                <w:color w:val="auto"/>
              </w:rPr>
            </w:pPr>
            <w:r>
              <w:rPr>
                <w:rFonts w:ascii="Arial" w:cs="Arial" w:eastAsia="Arial" w:hAnsi="Arial"/>
                <w:sz w:val="18"/>
                <w:szCs w:val="18"/>
                <w:color w:val="auto"/>
                <w:w w:val="95"/>
              </w:rPr>
              <w:t>4.9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center"/>
              <w:ind w:left="1015"/>
              <w:spacing w:after="0"/>
              <w:rPr>
                <w:sz w:val="20"/>
                <w:szCs w:val="20"/>
                <w:color w:val="auto"/>
              </w:rPr>
            </w:pPr>
            <w:r>
              <w:rPr>
                <w:rFonts w:ascii="Arial" w:cs="Arial" w:eastAsia="Arial" w:hAnsi="Arial"/>
                <w:sz w:val="18"/>
                <w:szCs w:val="18"/>
                <w:color w:val="auto"/>
                <w:w w:val="87"/>
              </w:rPr>
              <w:t>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center"/>
              <w:ind w:left="395"/>
              <w:spacing w:after="0"/>
              <w:rPr>
                <w:sz w:val="20"/>
                <w:szCs w:val="20"/>
                <w:color w:val="auto"/>
              </w:rPr>
            </w:pPr>
            <w:r>
              <w:rPr>
                <w:rFonts w:ascii="Arial" w:cs="Arial" w:eastAsia="Arial" w:hAnsi="Arial"/>
                <w:sz w:val="18"/>
                <w:szCs w:val="18"/>
                <w:color w:val="auto"/>
                <w:w w:val="87"/>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center"/>
              <w:ind w:left="998"/>
              <w:spacing w:after="0"/>
              <w:rPr>
                <w:sz w:val="20"/>
                <w:szCs w:val="20"/>
                <w:color w:val="auto"/>
              </w:rPr>
            </w:pPr>
            <w:r>
              <w:rPr>
                <w:rFonts w:ascii="Arial" w:cs="Arial" w:eastAsia="Arial" w:hAnsi="Arial"/>
                <w:sz w:val="18"/>
                <w:szCs w:val="18"/>
                <w:color w:val="auto"/>
                <w:w w:val="91"/>
              </w:rPr>
              <w:t>(7.9)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center"/>
              <w:ind w:left="975"/>
              <w:spacing w:after="0"/>
              <w:rPr>
                <w:sz w:val="20"/>
                <w:szCs w:val="20"/>
                <w:color w:val="auto"/>
              </w:rPr>
            </w:pPr>
            <w:r>
              <w:rPr>
                <w:rFonts w:ascii="Arial" w:cs="Arial" w:eastAsia="Arial" w:hAnsi="Arial"/>
                <w:sz w:val="18"/>
                <w:szCs w:val="18"/>
                <w:color w:val="auto"/>
                <w:w w:val="91"/>
              </w:rPr>
              <w:t>(6.7)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left="355"/>
              <w:spacing w:after="0"/>
              <w:rPr>
                <w:sz w:val="20"/>
                <w:szCs w:val="20"/>
                <w:color w:val="auto"/>
              </w:rPr>
            </w:pPr>
            <w:r>
              <w:rPr>
                <w:rFonts w:ascii="Arial" w:cs="Arial" w:eastAsia="Arial" w:hAnsi="Arial"/>
                <w:sz w:val="18"/>
                <w:szCs w:val="18"/>
                <w:color w:val="auto"/>
                <w:w w:val="91"/>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center"/>
              <w:ind w:left="1018"/>
              <w:spacing w:after="0"/>
              <w:rPr>
                <w:sz w:val="20"/>
                <w:szCs w:val="20"/>
                <w:color w:val="auto"/>
              </w:rPr>
            </w:pPr>
            <w:r>
              <w:rPr>
                <w:rFonts w:ascii="Arial" w:cs="Arial" w:eastAsia="Arial" w:hAnsi="Arial"/>
                <w:sz w:val="18"/>
                <w:szCs w:val="18"/>
                <w:color w:val="auto"/>
                <w:w w:val="95"/>
              </w:rPr>
              <w:t>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1015"/>
              <w:spacing w:after="0"/>
              <w:rPr>
                <w:sz w:val="20"/>
                <w:szCs w:val="20"/>
                <w:color w:val="auto"/>
              </w:rPr>
            </w:pPr>
            <w:r>
              <w:rPr>
                <w:rFonts w:ascii="Arial" w:cs="Arial" w:eastAsia="Arial" w:hAnsi="Arial"/>
                <w:sz w:val="18"/>
                <w:szCs w:val="18"/>
                <w:color w:val="auto"/>
                <w:w w:val="87"/>
              </w:rPr>
              <w:t>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95"/>
              <w:spacing w:after="0"/>
              <w:rPr>
                <w:sz w:val="20"/>
                <w:szCs w:val="20"/>
                <w:color w:val="auto"/>
              </w:rPr>
            </w:pPr>
            <w:r>
              <w:rPr>
                <w:rFonts w:ascii="Arial" w:cs="Arial" w:eastAsia="Arial" w:hAnsi="Arial"/>
                <w:sz w:val="18"/>
                <w:szCs w:val="18"/>
                <w:color w:val="auto"/>
                <w:w w:val="87"/>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120" w:type="dxa"/>
            <w:vAlign w:val="bottom"/>
          </w:tcPr>
          <w:p>
            <w:pPr>
              <w:jc w:val="right"/>
              <w:ind w:right="91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In the nine months ended September 30, 2023, Net cash provided by operating activities increased primarily due to: (1) an increase in finance charge income of $1.3 billion; (2) a net increase in cash provided by counterparty derivative collateral posting activities of $1.1 billion; (3) a decrease in taxes paid to GM of $0.4 billion; and (4) an increase in other income of $0.2 billion; partially offset by (5) an increase in interest paid of $1.4 billion; and (6) a decrease in leased vehicle income of $0.5 billion.</w:t>
      </w:r>
    </w:p>
    <w:p>
      <w:pPr>
        <w:spacing w:after="0" w:line="198" w:lineRule="exact"/>
        <w:rPr>
          <w:sz w:val="20"/>
          <w:szCs w:val="20"/>
          <w:color w:val="auto"/>
        </w:rPr>
      </w:pPr>
    </w:p>
    <w:p>
      <w:pPr>
        <w:jc w:val="both"/>
        <w:ind w:firstLine="161"/>
        <w:spacing w:after="0" w:line="268" w:lineRule="auto"/>
        <w:rPr>
          <w:sz w:val="20"/>
          <w:szCs w:val="20"/>
          <w:color w:val="auto"/>
        </w:rPr>
      </w:pPr>
      <w:r>
        <w:rPr>
          <w:rFonts w:ascii="Arial" w:cs="Arial" w:eastAsia="Arial" w:hAnsi="Arial"/>
          <w:sz w:val="17"/>
          <w:szCs w:val="17"/>
          <w:color w:val="auto"/>
        </w:rPr>
        <w:t>In the nine months ended September 30, 2023, Net cash used in investing activities increased primarily due to: (1) an increase in purchases of leased vehicles of $1.2 billion; and (2) a decrease in the proceeds from termination of leased vehicles of $1.2 billion; partially offset by (3) a decrease in purchases of finance receivables of $0.8 billion; and (4) an increase in collections and recoveries on finance receivables of $0.5 billion.</w:t>
      </w:r>
    </w:p>
    <w:p>
      <w:pPr>
        <w:spacing w:after="0" w:line="205"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In the nine months ended September 30, 2023, Net cash provided by financing activities increased primarily due to: (1) an increase in debt borrowings and issuances of $2.3 billion; partially offset by (2) an increase in dividend payments of $0.3 billion; and (3) an increase in debt repayments of $0.3 billion.</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Critical Accounting Estimates </w:t>
      </w:r>
      <w:r>
        <w:rPr>
          <w:rFonts w:ascii="Arial" w:cs="Arial" w:eastAsia="Arial" w:hAnsi="Arial"/>
          <w:sz w:val="16"/>
          <w:szCs w:val="16"/>
          <w:color w:val="auto"/>
        </w:rPr>
        <w:t>The condensed consolidated financial statements are prepared in conformity with U.S. GAAP, which requires the use of</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2022 Form 10-K.</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This report and the other reports filed by us with the SEC from time to time, as well as statements incorporated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w:t>
      </w:r>
    </w:p>
    <w:p>
      <w:pPr>
        <w:spacing w:after="0" w:line="7" w:lineRule="exact"/>
        <w:rPr>
          <w:sz w:val="20"/>
          <w:szCs w:val="20"/>
          <w:color w:val="auto"/>
        </w:rPr>
      </w:pPr>
    </w:p>
    <w:p>
      <w:pPr>
        <w:jc w:val="both"/>
        <w:ind w:firstLine="7"/>
        <w:spacing w:after="0" w:line="282" w:lineRule="auto"/>
        <w:tabs>
          <w:tab w:leader="none" w:pos="282"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ability to deliver new products, services, technologies and customer experiences in response to increased competition and changing consumer preferences in the automotive industry; (2) our ability to timely fund and introduce new and improved vehicle models, including EVs, that are able to attract a sufficient number of consumers; (3) our ability to profitably deliver a broad portfolio of EVs that will help drive consumer adoption; (4) the success of our current line of full-size SUVs and full-size pickup trucks; (5) our highly competitive industry, which has been historically characterized by excess manufacturing capacity and the use of incentives, and the introduction of new and improved vehicle models by our competitors; (6) the unique technological, operational, regulatory and competitive risks related to the timing and commercialization of AVs, including the various regulatory approvals and permits required for operating driverless AVs in multiple markets; (7) risks associated with climate change, including increased regulation of GHG emissions, our transition to EVs and the potential increased impacts of severe weather events; (8) global automobile market sales volume, which can be volatile; (9) inflationary pressures and persistently high prices and uncertain availability of raw materials and commodities used by us and our suppliers, and instability in logistics and related costs; (10) our business in China, which is subject to unique operational, competitive, regulatory and economic risks; (11) the success of our ongoing strategic business relationships and of our joint ventures, which we cannot operate solely for our benefit and over which we may have limited control; (12) the international scale and footprint of our operations, which exposes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or illness, such as the COVID-19 pandemic; (13) any significant disruption, including any work stoppages, at any of our manufacturing facilities; (14) the ability of our suppliers to deliver parts, systems and components without disruption and at such times to allow us to meet production schedules; (15) pandemics, epidemics, disease outbreaks and other public health crises, including the COVID-19 pandemic; (16) the possibility that competitors may independently develop products and services similar to ours, or that our intellectual property rights are not sufficient to prevent competitors from developing or selling those products or services; (17) our ability to manage risks related to security breaches and other disruptions to our information technology systems and networked products, including connected vehicles and in-vehicle systems; (18) our ability to comply with increasingly complex, restrictive and punitive regulations relating to our enterprise data practices, including the collection, use, sharing and security of the Personal Identifiable Information of our customers, employees, or suppliers; (19) our ability to comply with extensive laws, regulations and policies applicable to our operations and products, including those relating to fuel economy, emissions and AVs; (20) costs and risks associated with litigation and government investigations; (21) the costs and effect on our reputation of product safety recalls and alleged defects in products and services; (22) any additional tax expense or exposure or failure to fully realize available tax incentives; (23) our continued ability to develop captive financing capability through GM Financial; and (24) any significant increase in our pension funding requirements. A further list and description of these risks, uncertainties and other factors can be found in our 2022 Form 10-K and our subsequent filings with the SEC.</w:t>
      </w:r>
    </w:p>
    <w:p>
      <w:pPr>
        <w:spacing w:after="0" w:line="210"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0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4"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There have been no significant changes in our exposure to market risk since December 31, 2022. For further discussion on market risk, refer to Part II, Item 7A. of our 2022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0" w:lineRule="exact"/>
        <w:rPr>
          <w:sz w:val="20"/>
          <w:szCs w:val="20"/>
          <w:color w:val="auto"/>
        </w:rPr>
      </w:pPr>
    </w:p>
    <w:p>
      <w:pPr>
        <w:jc w:val="both"/>
        <w:ind w:firstLine="161"/>
        <w:spacing w:after="0" w:line="259"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12"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Our management, with the participation of our CEO and CFO, evaluated the effectiveness of our disclosure controls and procedures (as defined in Rules 13a-15(e) or 15d-15(e) promulgated under the Exchange Act) as of September 30, 2023 as required by paragraph (b) of Rules 13a-15 or 15d-15. Based on this evaluation, our CEO and CFO concluded that our disclosure controls and procedures were effective as of September 30, 2023.</w:t>
      </w:r>
    </w:p>
    <w:p>
      <w:pPr>
        <w:spacing w:after="0" w:line="189" w:lineRule="exact"/>
        <w:rPr>
          <w:sz w:val="20"/>
          <w:szCs w:val="20"/>
          <w:color w:val="auto"/>
        </w:rPr>
      </w:pPr>
    </w:p>
    <w:p>
      <w:pPr>
        <w:jc w:val="both"/>
        <w:ind w:firstLine="161"/>
        <w:spacing w:after="0" w:line="264"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There have not been any changes in our internal control over financial reporting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ended September 30, 2023 that have materially affected, or are reasonably likely to materially affect, our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5"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 million for purposes of determining whether disclosure of any such proceedings is required.</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discussion under Note 13 to our condensed consolidated financial statements is incorporated by reference into this Part II, Item 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4"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2022 Form 10-K.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Purchases of Equity Securities </w:t>
      </w:r>
      <w:r>
        <w:rPr>
          <w:rFonts w:ascii="Arial" w:cs="Arial" w:eastAsia="Arial" w:hAnsi="Arial"/>
          <w:sz w:val="17"/>
          <w:szCs w:val="17"/>
          <w:color w:val="auto"/>
        </w:rPr>
        <w:t>The following table summarizes our purchases of common stock in the three months ended September 30,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92"/>
              </w:rPr>
              <w:t>Average Price</w:t>
            </w:r>
          </w:p>
        </w:tc>
        <w:tc>
          <w:tcPr>
            <w:tcW w:w="1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Purchased Under</w:t>
            </w:r>
          </w:p>
        </w:tc>
        <w:tc>
          <w:tcPr>
            <w:tcW w:w="120" w:type="dxa"/>
            <w:vAlign w:val="bottom"/>
          </w:tcPr>
          <w:p>
            <w:pPr>
              <w:spacing w:after="0"/>
              <w:rPr>
                <w:sz w:val="12"/>
                <w:szCs w:val="12"/>
                <w:color w:val="auto"/>
              </w:rPr>
            </w:pPr>
          </w:p>
        </w:tc>
        <w:tc>
          <w:tcPr>
            <w:tcW w:w="1880" w:type="dxa"/>
            <w:vAlign w:val="bottom"/>
          </w:tcPr>
          <w:p>
            <w:pPr>
              <w:ind w:left="560"/>
              <w:spacing w:after="0" w:line="148" w:lineRule="exact"/>
              <w:rPr>
                <w:sz w:val="20"/>
                <w:szCs w:val="20"/>
                <w:color w:val="auto"/>
              </w:rPr>
            </w:pPr>
            <w:r>
              <w:rPr>
                <w:rFonts w:ascii="Arial" w:cs="Arial" w:eastAsia="Arial" w:hAnsi="Arial"/>
                <w:sz w:val="14"/>
                <w:szCs w:val="14"/>
                <w:b w:val="1"/>
                <w:bCs w:val="1"/>
                <w:color w:val="auto"/>
              </w:rPr>
              <w:t>Shares That</w:t>
            </w:r>
          </w:p>
        </w:tc>
        <w:tc>
          <w:tcPr>
            <w:tcW w:w="0" w:type="dxa"/>
            <w:vAlign w:val="bottom"/>
          </w:tcPr>
          <w:p>
            <w:pPr>
              <w:spacing w:after="0"/>
              <w:rPr>
                <w:sz w:val="1"/>
                <w:szCs w:val="1"/>
                <w:color w:val="auto"/>
              </w:rPr>
            </w:pPr>
          </w:p>
        </w:tc>
      </w:tr>
      <w:tr>
        <w:trPr>
          <w:trHeight w:val="139"/>
        </w:trPr>
        <w:tc>
          <w:tcPr>
            <w:tcW w:w="5080" w:type="dxa"/>
            <w:vAlign w:val="bottom"/>
          </w:tcPr>
          <w:p>
            <w:pPr>
              <w:spacing w:after="0"/>
              <w:rPr>
                <w:sz w:val="12"/>
                <w:szCs w:val="12"/>
                <w:color w:val="auto"/>
              </w:rPr>
            </w:pPr>
          </w:p>
        </w:tc>
        <w:tc>
          <w:tcPr>
            <w:tcW w:w="14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0"/>
              </w:rPr>
              <w:t>Shares Purchased(a)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4"/>
              </w:rPr>
              <w:t>Paid per</w:t>
            </w:r>
          </w:p>
        </w:tc>
        <w:tc>
          <w:tcPr>
            <w:tcW w:w="15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2"/>
                <w:szCs w:val="12"/>
                <w:color w:val="auto"/>
              </w:rPr>
            </w:pPr>
          </w:p>
        </w:tc>
        <w:tc>
          <w:tcPr>
            <w:tcW w:w="18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Share(c)</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Programs(b)</w:t>
            </w: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5"/>
        </w:trPr>
        <w:tc>
          <w:tcPr>
            <w:tcW w:w="50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2023 through July 31, 2023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4,248,465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4,212,017</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$1.5 billion</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Arial" w:cs="Arial" w:eastAsia="Arial" w:hAnsi="Arial"/>
                <w:sz w:val="18"/>
                <w:szCs w:val="18"/>
                <w:color w:val="auto"/>
              </w:rPr>
              <w:t>August 1, 2023 through August 31, 2023</w:t>
            </w:r>
          </w:p>
        </w:tc>
        <w:tc>
          <w:tcPr>
            <w:tcW w:w="1460" w:type="dxa"/>
            <w:vAlign w:val="bottom"/>
          </w:tcPr>
          <w:p>
            <w:pPr>
              <w:jc w:val="right"/>
              <w:spacing w:after="0"/>
              <w:rPr>
                <w:sz w:val="20"/>
                <w:szCs w:val="20"/>
                <w:color w:val="auto"/>
              </w:rPr>
            </w:pPr>
            <w:r>
              <w:rPr>
                <w:rFonts w:ascii="Arial" w:cs="Arial" w:eastAsia="Arial" w:hAnsi="Arial"/>
                <w:sz w:val="18"/>
                <w:szCs w:val="18"/>
                <w:color w:val="auto"/>
              </w:rPr>
              <w:t>2,326,203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37.83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2,326,203</w:t>
            </w:r>
          </w:p>
        </w:tc>
        <w:tc>
          <w:tcPr>
            <w:tcW w:w="120" w:type="dxa"/>
            <w:vAlign w:val="bottom"/>
          </w:tcPr>
          <w:p>
            <w:pPr>
              <w:spacing w:after="0"/>
              <w:rPr>
                <w:sz w:val="19"/>
                <w:szCs w:val="19"/>
                <w:color w:val="auto"/>
              </w:rPr>
            </w:pPr>
          </w:p>
        </w:tc>
        <w:tc>
          <w:tcPr>
            <w:tcW w:w="1880" w:type="dxa"/>
            <w:vAlign w:val="bottom"/>
          </w:tcPr>
          <w:p>
            <w:pPr>
              <w:ind w:left="540"/>
              <w:spacing w:after="0"/>
              <w:rPr>
                <w:sz w:val="20"/>
                <w:szCs w:val="20"/>
                <w:color w:val="auto"/>
              </w:rPr>
            </w:pPr>
            <w:r>
              <w:rPr>
                <w:rFonts w:ascii="Arial" w:cs="Arial" w:eastAsia="Arial" w:hAnsi="Arial"/>
                <w:sz w:val="18"/>
                <w:szCs w:val="18"/>
                <w:color w:val="auto"/>
              </w:rPr>
              <w:t>$1.4 billion</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2023 through September 30,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$1.4 billion</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6,574,668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38.23</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6,538,220</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22" w:lineRule="exact"/>
        <w:rPr>
          <w:sz w:val="20"/>
          <w:szCs w:val="20"/>
          <w:color w:val="auto"/>
        </w:rPr>
      </w:pPr>
    </w:p>
    <w:p>
      <w:pPr>
        <w:ind w:left="340" w:right="20" w:hanging="333"/>
        <w:spacing w:after="0" w:line="251" w:lineRule="auto"/>
        <w:tabs>
          <w:tab w:leader="none" w:pos="331" w:val="left"/>
        </w:tabs>
        <w:numPr>
          <w:ilvl w:val="0"/>
          <w:numId w:val="29"/>
        </w:numPr>
        <w:rPr>
          <w:rFonts w:ascii="Arial" w:cs="Arial" w:eastAsia="Arial" w:hAnsi="Arial"/>
          <w:sz w:val="16"/>
          <w:szCs w:val="16"/>
          <w:color w:val="auto"/>
        </w:rPr>
      </w:pPr>
      <w:r>
        <w:rPr>
          <w:rFonts w:ascii="Arial" w:cs="Arial" w:eastAsia="Arial" w:hAnsi="Arial"/>
          <w:sz w:val="16"/>
          <w:szCs w:val="16"/>
          <w:color w:val="auto"/>
        </w:rPr>
        <w:t>Shares purchased consist of shares delivered by employees or directors to us for the payment of taxes resulting from the issuance of common stock upon the vesting of RSUs relating to compensation plans. Refer to our 2022 Form 10-K for additional details on employee stock incentive plans.</w:t>
      </w:r>
    </w:p>
    <w:p>
      <w:pPr>
        <w:spacing w:after="0" w:line="1" w:lineRule="exact"/>
        <w:rPr>
          <w:rFonts w:ascii="Arial" w:cs="Arial" w:eastAsia="Arial" w:hAnsi="Arial"/>
          <w:sz w:val="16"/>
          <w:szCs w:val="16"/>
          <w:color w:val="auto"/>
        </w:rPr>
      </w:pPr>
    </w:p>
    <w:p>
      <w:pPr>
        <w:ind w:left="340" w:right="20" w:hanging="333"/>
        <w:spacing w:after="0" w:line="254"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January 2017, we announced that our Board of Directors had authorized the purchase of up to $5.0 billion of our common stock with no expiration date. In August 2022, the Board of Directors increased the capacity to $5.0 billion from the $3.3 billion that remained as of June 30, 2022, with no expiration.</w:t>
      </w:r>
    </w:p>
    <w:p>
      <w:pPr>
        <w:ind w:left="320" w:hanging="313"/>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weighted-average price paid per share excludes broker commissions.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4" w:lineRule="exact"/>
        <w:rPr>
          <w:sz w:val="20"/>
          <w:szCs w:val="20"/>
          <w:color w:val="auto"/>
        </w:rPr>
      </w:pPr>
    </w:p>
    <w:p>
      <w:pPr>
        <w:jc w:val="both"/>
        <w:ind w:firstLine="161"/>
        <w:spacing w:after="0" w:line="287" w:lineRule="auto"/>
        <w:rPr>
          <w:sz w:val="20"/>
          <w:szCs w:val="20"/>
          <w:color w:val="auto"/>
        </w:rPr>
      </w:pPr>
      <w:r>
        <w:rPr>
          <w:rFonts w:ascii="Arial" w:cs="Arial" w:eastAsia="Arial" w:hAnsi="Arial"/>
          <w:sz w:val="16"/>
          <w:szCs w:val="16"/>
          <w:color w:val="auto"/>
        </w:rPr>
        <w:t>During the three months ended September 30, 2023, the following directors or officers of the Company adopted a "Rule 10b5-1 trading arrangement" or "non-Rule 10b5-1 trading arrangement," as each term is defined in Item 408(a) of Regulation S-K: (1) on August 11, 2023, Christopher Hatto, Vice President, Global Business Solutions and Chief Accounting Officer, adopted a trading plan intended to satisfy Rule 10b5-1(c) to sell up to 29,397 shares of GM common stock and the exercise of vested stock options and the associated sale of up to 50,293 shares of GM common stock between November 15, 2023 and April 12, 2024, subject to certain conditions; (2) on August 28, 2023, Craig Glidden, Executive Vice President, Legal, Policy, Cybersecurity, and Corporate Secretary, adopted a trading plan intended to satisfy Rule 10b5-1(c) to sell up to 154,294 shares of GM common stock and the exercise of vested stock options and the associated sale of up to 244,147 shares of GM common stock between November 30, 2023 and July 26, 2024, subject to certain conditions; and (3) on August 31, 2023, Gerald Johnson, Executive Vice President, Global Manufacturing and Sustainability, adopted a trading plan intended to satisfy Rule 10b5-1(c) to sell up to 42,312 shares of GM common stock and the exercise of vested stock options and the associated sale of up to 171,277 shares of GM common stock between December 1, 2023 and July 26, 2024, subject to certain conditions.</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80" w:type="dxa"/>
            <w:vAlign w:val="bottom"/>
            <w:gridSpan w:val="7"/>
          </w:tcPr>
          <w:p>
            <w:pPr>
              <w:ind w:left="880"/>
              <w:spacing w:after="0"/>
              <w:rPr>
                <w:sz w:val="20"/>
                <w:szCs w:val="20"/>
                <w:color w:val="auto"/>
              </w:rPr>
            </w:pPr>
            <w:r>
              <w:rPr>
                <w:rFonts w:ascii="Arial" w:cs="Arial" w:eastAsia="Arial" w:hAnsi="Arial"/>
                <w:sz w:val="18"/>
                <w:szCs w:val="18"/>
                <w:b w:val="1"/>
                <w:bCs w:val="1"/>
                <w:color w:val="auto"/>
              </w:rPr>
              <w:t>GENERAL MOTORS COMPANY AND SUBSIDIARIES</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0"/>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80" w:type="dxa"/>
            <w:vAlign w:val="bottom"/>
            <w:gridSpan w:val="7"/>
          </w:tcPr>
          <w:p>
            <w:pPr>
              <w:ind w:left="2480"/>
              <w:spacing w:after="0"/>
              <w:rPr>
                <w:sz w:val="20"/>
                <w:szCs w:val="20"/>
                <w:color w:val="auto"/>
              </w:rPr>
            </w:pPr>
            <w:r>
              <w:rPr>
                <w:rFonts w:ascii="Arial" w:cs="Arial" w:eastAsia="Arial" w:hAnsi="Arial"/>
                <w:sz w:val="18"/>
                <w:szCs w:val="18"/>
                <w:b w:val="1"/>
                <w:bCs w:val="1"/>
                <w:color w:val="auto"/>
              </w:rPr>
              <w:t>Exhibit Name</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100" w:type="dxa"/>
            <w:vAlign w:val="bottom"/>
            <w:tcBorders>
              <w:top w:val="single" w:sz="8" w:color="auto"/>
            </w:tcBorders>
            <w:gridSpan w:val="10"/>
            <w:shd w:val="clear" w:color="auto" w:fill="CCEEFF"/>
          </w:tcPr>
          <w:p>
            <w:pPr>
              <w:spacing w:after="0" w:line="168" w:lineRule="exact"/>
              <w:rPr>
                <w:rFonts w:ascii="Arial" w:cs="Arial" w:eastAsia="Arial" w:hAnsi="Arial"/>
                <w:sz w:val="18"/>
                <w:szCs w:val="18"/>
                <w:color w:val="0000FF"/>
                <w:w w:val="94"/>
              </w:rPr>
            </w:pPr>
            <w:hyperlink r:id="rId78">
              <w:r>
                <w:rPr>
                  <w:rFonts w:ascii="Arial" w:cs="Arial" w:eastAsia="Arial" w:hAnsi="Arial"/>
                  <w:sz w:val="18"/>
                  <w:szCs w:val="18"/>
                  <w:color w:val="0000FF"/>
                  <w:w w:val="94"/>
                </w:rPr>
                <w:t>Restated Certificate of Incorporation of General Motors Company dated December 7, 2010, incorporated by</w:t>
              </w:r>
            </w:hyperlink>
          </w:p>
        </w:tc>
        <w:tc>
          <w:tcPr>
            <w:tcW w:w="1620" w:type="dxa"/>
            <w:vAlign w:val="bottom"/>
            <w:tcBorders>
              <w:top w:val="single" w:sz="8" w:color="CCEEFF"/>
            </w:tcBorders>
            <w:shd w:val="clear" w:color="auto" w:fill="CCEEFF"/>
          </w:tcPr>
          <w:p>
            <w:pPr>
              <w:ind w:left="100"/>
              <w:spacing w:after="0" w:line="168"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80" w:type="dxa"/>
            <w:vAlign w:val="bottom"/>
            <w:tcBorders>
              <w:top w:val="single" w:sz="8" w:color="0000FF"/>
            </w:tcBorders>
            <w:gridSpan w:val="9"/>
            <w:shd w:val="clear" w:color="auto" w:fill="CCEEFF"/>
          </w:tcPr>
          <w:p>
            <w:pPr>
              <w:spacing w:after="0" w:line="161" w:lineRule="exact"/>
              <w:rPr>
                <w:rFonts w:ascii="Arial" w:cs="Arial" w:eastAsia="Arial" w:hAnsi="Arial"/>
                <w:sz w:val="18"/>
                <w:szCs w:val="18"/>
                <w:color w:val="0000FF"/>
                <w:w w:val="94"/>
              </w:rPr>
            </w:pPr>
            <w:hyperlink r:id="rId78">
              <w:r>
                <w:rPr>
                  <w:rFonts w:ascii="Arial" w:cs="Arial" w:eastAsia="Arial" w:hAnsi="Arial"/>
                  <w:sz w:val="18"/>
                  <w:szCs w:val="18"/>
                  <w:color w:val="0000FF"/>
                  <w:w w:val="94"/>
                </w:rPr>
                <w:t>reference to Exhibit 3.2 to the Current Report on Form 8-K of General Motors Company filed December 13,</w:t>
              </w:r>
            </w:hyperlink>
          </w:p>
        </w:tc>
        <w:tc>
          <w:tcPr>
            <w:tcW w:w="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CCEEFF"/>
            </w:tcBorders>
            <w:shd w:val="clear" w:color="auto" w:fill="CCEEFF"/>
          </w:tcPr>
          <w:p>
            <w:pPr>
              <w:ind w:left="100"/>
              <w:spacing w:after="0" w:line="161" w:lineRule="exact"/>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0000FF"/>
            </w:tcBorders>
            <w:gridSpan w:val="2"/>
            <w:shd w:val="clear" w:color="auto" w:fill="CCEEFF"/>
          </w:tcPr>
          <w:p>
            <w:pPr>
              <w:spacing w:after="0" w:line="168" w:lineRule="exact"/>
              <w:rPr>
                <w:rFonts w:ascii="Arial" w:cs="Arial" w:eastAsia="Arial" w:hAnsi="Arial"/>
                <w:sz w:val="18"/>
                <w:szCs w:val="18"/>
                <w:color w:val="0000FF"/>
              </w:rPr>
            </w:pPr>
            <w:hyperlink r:id="rId78">
              <w:r>
                <w:rPr>
                  <w:rFonts w:ascii="Arial" w:cs="Arial" w:eastAsia="Arial" w:hAnsi="Arial"/>
                  <w:sz w:val="18"/>
                  <w:szCs w:val="18"/>
                  <w:color w:val="0000FF"/>
                </w:rPr>
                <w:t>2010</w:t>
              </w:r>
            </w:hyperlink>
          </w:p>
        </w:tc>
        <w:tc>
          <w:tcPr>
            <w:tcW w:w="180" w:type="dxa"/>
            <w:vAlign w:val="bottom"/>
            <w:tcBorders>
              <w:top w:val="single" w:sz="8" w:color="0000FF"/>
            </w:tcBorders>
            <w:shd w:val="clear" w:color="auto" w:fill="CCEEFF"/>
          </w:tcPr>
          <w:p>
            <w:pPr>
              <w:spacing w:after="0"/>
              <w:rPr>
                <w:sz w:val="14"/>
                <w:szCs w:val="14"/>
                <w:color w:val="auto"/>
              </w:rPr>
            </w:pPr>
          </w:p>
        </w:tc>
        <w:tc>
          <w:tcPr>
            <w:tcW w:w="29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380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00" w:type="dxa"/>
            <w:vAlign w:val="bottom"/>
            <w:gridSpan w:val="10"/>
          </w:tcPr>
          <w:p>
            <w:pPr>
              <w:spacing w:after="0" w:line="189" w:lineRule="exact"/>
              <w:rPr>
                <w:rFonts w:ascii="Arial" w:cs="Arial" w:eastAsia="Arial" w:hAnsi="Arial"/>
                <w:sz w:val="18"/>
                <w:szCs w:val="18"/>
                <w:color w:val="0000FF"/>
                <w:w w:val="98"/>
              </w:rPr>
            </w:pPr>
            <w:hyperlink r:id="rId79">
              <w:r>
                <w:rPr>
                  <w:rFonts w:ascii="Arial" w:cs="Arial" w:eastAsia="Arial" w:hAnsi="Arial"/>
                  <w:sz w:val="18"/>
                  <w:szCs w:val="18"/>
                  <w:color w:val="0000FF"/>
                  <w:w w:val="98"/>
                </w:rPr>
                <w:t>General Motors Company Amended and Restated Bylaws, as amended April 20, 2023, incorporated by</w:t>
              </w:r>
            </w:hyperlink>
          </w:p>
        </w:tc>
        <w:tc>
          <w:tcPr>
            <w:tcW w:w="1620" w:type="dxa"/>
            <w:vAlign w:val="bottom"/>
          </w:tcPr>
          <w:p>
            <w:pPr>
              <w:ind w:left="100"/>
              <w:spacing w:after="0" w:line="189"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40" w:type="dxa"/>
            <w:vAlign w:val="bottom"/>
            <w:tcBorders>
              <w:top w:val="single" w:sz="8" w:color="0000FF"/>
            </w:tcBorders>
            <w:gridSpan w:val="7"/>
          </w:tcPr>
          <w:p>
            <w:pPr>
              <w:spacing w:after="0" w:line="154" w:lineRule="exact"/>
              <w:rPr>
                <w:rFonts w:ascii="Arial" w:cs="Arial" w:eastAsia="Arial" w:hAnsi="Arial"/>
                <w:sz w:val="17"/>
                <w:szCs w:val="17"/>
                <w:color w:val="0000FF"/>
                <w:w w:val="99"/>
              </w:rPr>
            </w:pPr>
            <w:hyperlink r:id="rId79">
              <w:r>
                <w:rPr>
                  <w:rFonts w:ascii="Arial" w:cs="Arial" w:eastAsia="Arial" w:hAnsi="Arial"/>
                  <w:sz w:val="17"/>
                  <w:szCs w:val="17"/>
                  <w:color w:val="0000FF"/>
                  <w:w w:val="99"/>
                </w:rPr>
                <w:t>reference to Exhibit 3.1 to the Current Report on Form 8-K of General Motors Company filed April 21, 2023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20" w:type="dxa"/>
            <w:vAlign w:val="bottom"/>
          </w:tcPr>
          <w:p>
            <w:pPr>
              <w:ind w:left="100"/>
              <w:spacing w:after="0" w:line="154" w:lineRule="exact"/>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9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100" w:type="dxa"/>
            <w:vAlign w:val="bottom"/>
            <w:gridSpan w:val="10"/>
            <w:shd w:val="clear" w:color="auto" w:fill="CCEEFF"/>
          </w:tcPr>
          <w:p>
            <w:pPr>
              <w:spacing w:after="0" w:line="189" w:lineRule="exact"/>
              <w:rPr>
                <w:sz w:val="20"/>
                <w:szCs w:val="20"/>
                <w:color w:val="auto"/>
              </w:rPr>
            </w:pPr>
            <w:r>
              <w:rPr>
                <w:rFonts w:ascii="Arial" w:cs="Arial" w:eastAsia="Arial" w:hAnsi="Arial"/>
                <w:sz w:val="18"/>
                <w:szCs w:val="18"/>
                <w:color w:val="0000FF"/>
                <w:w w:val="93"/>
              </w:rPr>
              <w:t>Form of Restricted Stock Unit Award Agreement No. 2 under the General Motors Company 2020 Long-Term</w:t>
            </w:r>
          </w:p>
        </w:tc>
        <w:tc>
          <w:tcPr>
            <w:tcW w:w="16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0000FF"/>
              <w:bottom w:val="single" w:sz="8" w:color="0000FF"/>
            </w:tcBorders>
            <w:gridSpan w:val="3"/>
            <w:shd w:val="clear" w:color="auto" w:fill="CCEEFF"/>
          </w:tcPr>
          <w:p>
            <w:pPr>
              <w:spacing w:after="0" w:line="154" w:lineRule="exact"/>
              <w:rPr>
                <w:sz w:val="20"/>
                <w:szCs w:val="20"/>
                <w:color w:val="auto"/>
              </w:rPr>
            </w:pPr>
            <w:r>
              <w:rPr>
                <w:rFonts w:ascii="Arial" w:cs="Arial" w:eastAsia="Arial" w:hAnsi="Arial"/>
                <w:sz w:val="17"/>
                <w:szCs w:val="17"/>
                <w:color w:val="0000FF"/>
                <w:w w:val="93"/>
              </w:rPr>
              <w:t>Incentive Plan</w:t>
            </w:r>
          </w:p>
        </w:tc>
        <w:tc>
          <w:tcPr>
            <w:tcW w:w="704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Pr>
          <w:p>
            <w:pPr>
              <w:spacing w:after="0" w:line="189"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00" w:type="dxa"/>
            <w:vAlign w:val="bottom"/>
            <w:gridSpan w:val="10"/>
          </w:tcPr>
          <w:p>
            <w:pPr>
              <w:spacing w:after="0" w:line="189" w:lineRule="exact"/>
              <w:rPr>
                <w:sz w:val="20"/>
                <w:szCs w:val="20"/>
                <w:color w:val="auto"/>
              </w:rPr>
            </w:pPr>
            <w:r>
              <w:rPr>
                <w:rFonts w:ascii="Arial" w:cs="Arial" w:eastAsia="Arial" w:hAnsi="Arial"/>
                <w:sz w:val="18"/>
                <w:szCs w:val="18"/>
                <w:color w:val="0000FF"/>
              </w:rPr>
              <w:t>Section 302 Certification of the Chief Executive Officer</w:t>
            </w:r>
          </w:p>
        </w:tc>
        <w:tc>
          <w:tcPr>
            <w:tcW w:w="1620" w:type="dxa"/>
            <w:vAlign w:val="bottom"/>
          </w:tcPr>
          <w:p>
            <w:pPr>
              <w:ind w:left="100"/>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9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100" w:type="dxa"/>
            <w:vAlign w:val="bottom"/>
            <w:gridSpan w:val="10"/>
            <w:shd w:val="clear" w:color="auto" w:fill="CCEEFF"/>
          </w:tcPr>
          <w:p>
            <w:pPr>
              <w:spacing w:after="0" w:line="189" w:lineRule="exact"/>
              <w:rPr>
                <w:sz w:val="20"/>
                <w:szCs w:val="20"/>
                <w:color w:val="auto"/>
              </w:rPr>
            </w:pPr>
            <w:r>
              <w:rPr>
                <w:rFonts w:ascii="Arial" w:cs="Arial" w:eastAsia="Arial" w:hAnsi="Arial"/>
                <w:sz w:val="18"/>
                <w:szCs w:val="18"/>
                <w:color w:val="0000FF"/>
              </w:rPr>
              <w:t>Section 302 Certification of the Chief Financial Officer</w:t>
            </w:r>
          </w:p>
        </w:tc>
        <w:tc>
          <w:tcPr>
            <w:tcW w:w="16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9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00" w:type="dxa"/>
            <w:vAlign w:val="bottom"/>
            <w:gridSpan w:val="10"/>
          </w:tcPr>
          <w:p>
            <w:pPr>
              <w:spacing w:after="0" w:line="189" w:lineRule="exact"/>
              <w:rPr>
                <w:sz w:val="20"/>
                <w:szCs w:val="20"/>
                <w:color w:val="auto"/>
              </w:rPr>
            </w:pPr>
            <w:r>
              <w:rPr>
                <w:rFonts w:ascii="Arial" w:cs="Arial" w:eastAsia="Arial" w:hAnsi="Arial"/>
                <w:sz w:val="18"/>
                <w:szCs w:val="18"/>
                <w:color w:val="0000FF"/>
                <w:w w:val="92"/>
              </w:rPr>
              <w:t>Certification Pursuant to 18 U.S.C. Section 1350, As Adopted Pursuant to Section 906 of the Sarbanes-Oxley</w:t>
            </w:r>
          </w:p>
        </w:tc>
        <w:tc>
          <w:tcPr>
            <w:tcW w:w="1620" w:type="dxa"/>
            <w:vAlign w:val="bottom"/>
          </w:tcPr>
          <w:p>
            <w:pPr>
              <w:ind w:left="100"/>
              <w:spacing w:after="0" w:line="189" w:lineRule="exact"/>
              <w:rPr>
                <w:sz w:val="20"/>
                <w:szCs w:val="20"/>
                <w:color w:val="auto"/>
              </w:rPr>
            </w:pPr>
            <w:r>
              <w:rPr>
                <w:rFonts w:ascii="Arial" w:cs="Arial" w:eastAsia="Arial" w:hAnsi="Arial"/>
                <w:sz w:val="18"/>
                <w:szCs w:val="18"/>
                <w:color w:val="auto"/>
                <w:w w:val="99"/>
              </w:rPr>
              <w:t>Furnished with this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40" w:type="dxa"/>
            <w:vAlign w:val="bottom"/>
            <w:tcBorders>
              <w:top w:val="single" w:sz="8" w:color="0000FF"/>
            </w:tcBorders>
            <w:gridSpan w:val="7"/>
          </w:tcPr>
          <w:p>
            <w:pPr>
              <w:spacing w:after="0" w:line="154" w:lineRule="exact"/>
              <w:rPr>
                <w:sz w:val="20"/>
                <w:szCs w:val="20"/>
                <w:color w:val="auto"/>
              </w:rPr>
            </w:pPr>
            <w:r>
              <w:rPr>
                <w:rFonts w:ascii="Arial" w:cs="Arial" w:eastAsia="Arial" w:hAnsi="Arial"/>
                <w:sz w:val="17"/>
                <w:szCs w:val="17"/>
                <w:color w:val="0000FF"/>
              </w:rPr>
              <w:t>Act of 2002</w:t>
            </w:r>
          </w:p>
        </w:tc>
        <w:tc>
          <w:tcPr>
            <w:tcW w:w="60" w:type="dxa"/>
            <w:vAlign w:val="bottom"/>
            <w:gridSpan w:val="3"/>
          </w:tcPr>
          <w:p>
            <w:pPr>
              <w:spacing w:after="0"/>
              <w:rPr>
                <w:sz w:val="13"/>
                <w:szCs w:val="13"/>
                <w:color w:val="auto"/>
              </w:rPr>
            </w:pPr>
          </w:p>
        </w:tc>
        <w:tc>
          <w:tcPr>
            <w:tcW w:w="1620" w:type="dxa"/>
            <w:vAlign w:val="bottom"/>
          </w:tcPr>
          <w:p>
            <w:pPr>
              <w:ind w:left="100"/>
              <w:spacing w:after="0" w:line="154" w:lineRule="exact"/>
              <w:rPr>
                <w:sz w:val="20"/>
                <w:szCs w:val="20"/>
                <w:color w:val="auto"/>
              </w:rPr>
            </w:pPr>
            <w:r>
              <w:rPr>
                <w:rFonts w:ascii="Arial" w:cs="Arial" w:eastAsia="Arial" w:hAnsi="Arial"/>
                <w:sz w:val="17"/>
                <w:szCs w:val="17"/>
                <w:color w:val="auto"/>
              </w:rPr>
              <w:t>Report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4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00" w:type="dxa"/>
            <w:vAlign w:val="bottom"/>
            <w:gridSpan w:val="10"/>
            <w:shd w:val="clear" w:color="auto" w:fill="CCEEFF"/>
          </w:tcPr>
          <w:p>
            <w:pPr>
              <w:spacing w:after="0" w:line="175" w:lineRule="exact"/>
              <w:rPr>
                <w:sz w:val="20"/>
                <w:szCs w:val="20"/>
                <w:color w:val="auto"/>
              </w:rPr>
            </w:pPr>
            <w:r>
              <w:rPr>
                <w:rFonts w:ascii="Arial" w:cs="Arial" w:eastAsia="Arial" w:hAnsi="Arial"/>
                <w:sz w:val="18"/>
                <w:szCs w:val="18"/>
                <w:color w:val="auto"/>
                <w:w w:val="93"/>
              </w:rPr>
              <w:t>The following financial information from the Company’s Quarterly Report on Form 10-Q for the quarter ended</w:t>
            </w:r>
          </w:p>
        </w:tc>
        <w:tc>
          <w:tcPr>
            <w:tcW w:w="1620" w:type="dxa"/>
            <w:vAlign w:val="bottom"/>
            <w:shd w:val="clear" w:color="auto" w:fill="CCEEFF"/>
          </w:tcPr>
          <w:p>
            <w:pPr>
              <w:ind w:left="100"/>
              <w:spacing w:after="0" w:line="175"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100" w:type="dxa"/>
            <w:vAlign w:val="bottom"/>
            <w:gridSpan w:val="10"/>
            <w:shd w:val="clear" w:color="auto" w:fill="CCEEFF"/>
          </w:tcPr>
          <w:p>
            <w:pPr>
              <w:spacing w:after="0" w:line="188" w:lineRule="exact"/>
              <w:rPr>
                <w:sz w:val="20"/>
                <w:szCs w:val="20"/>
                <w:color w:val="auto"/>
              </w:rPr>
            </w:pPr>
            <w:r>
              <w:rPr>
                <w:rFonts w:ascii="Arial" w:cs="Arial" w:eastAsia="Arial" w:hAnsi="Arial"/>
                <w:sz w:val="18"/>
                <w:szCs w:val="18"/>
                <w:color w:val="auto"/>
                <w:w w:val="95"/>
              </w:rPr>
              <w:t>September 30, 2023, formatted in Inline Extensible Business Reporting Language (iXBRL) includes: (i) the</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0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auto"/>
                <w:w w:val="92"/>
              </w:rPr>
              <w:t>Condensed Consolidated Income Statements, (ii) the Condensed Consolidated Statements of Comprehensive</w:t>
            </w: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00" w:type="dxa"/>
            <w:vAlign w:val="bottom"/>
            <w:gridSpan w:val="10"/>
            <w:shd w:val="clear" w:color="auto" w:fill="CCEEFF"/>
          </w:tcPr>
          <w:p>
            <w:pPr>
              <w:spacing w:after="0" w:line="175" w:lineRule="exact"/>
              <w:rPr>
                <w:sz w:val="20"/>
                <w:szCs w:val="20"/>
                <w:color w:val="auto"/>
              </w:rPr>
            </w:pPr>
            <w:r>
              <w:rPr>
                <w:rFonts w:ascii="Arial" w:cs="Arial" w:eastAsia="Arial" w:hAnsi="Arial"/>
                <w:sz w:val="18"/>
                <w:szCs w:val="18"/>
                <w:color w:val="auto"/>
                <w:w w:val="90"/>
              </w:rPr>
              <w:t>Income, (iii) the Condensed Consolidated Balance Sheets, (iv) the Condensed Consolidated Statements of Cash</w:t>
            </w: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100" w:type="dxa"/>
            <w:vAlign w:val="bottom"/>
            <w:gridSpan w:val="10"/>
            <w:shd w:val="clear" w:color="auto" w:fill="CCEEFF"/>
          </w:tcPr>
          <w:p>
            <w:pPr>
              <w:spacing w:after="0" w:line="188" w:lineRule="exact"/>
              <w:rPr>
                <w:sz w:val="20"/>
                <w:szCs w:val="20"/>
                <w:color w:val="auto"/>
              </w:rPr>
            </w:pPr>
            <w:r>
              <w:rPr>
                <w:rFonts w:ascii="Arial" w:cs="Arial" w:eastAsia="Arial" w:hAnsi="Arial"/>
                <w:sz w:val="18"/>
                <w:szCs w:val="18"/>
                <w:color w:val="auto"/>
                <w:w w:val="93"/>
              </w:rPr>
              <w:t>Flows, (v) the Condensed Consolidated Statements of Equity and (vi) Notes to the Condensed Consolidated</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1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line="175"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00" w:type="dxa"/>
            <w:vAlign w:val="bottom"/>
            <w:gridSpan w:val="10"/>
          </w:tcPr>
          <w:p>
            <w:pPr>
              <w:spacing w:after="0" w:line="175" w:lineRule="exact"/>
              <w:rPr>
                <w:sz w:val="20"/>
                <w:szCs w:val="20"/>
                <w:color w:val="auto"/>
              </w:rPr>
            </w:pPr>
            <w:r>
              <w:rPr>
                <w:rFonts w:ascii="Arial" w:cs="Arial" w:eastAsia="Arial" w:hAnsi="Arial"/>
                <w:sz w:val="18"/>
                <w:szCs w:val="18"/>
                <w:color w:val="auto"/>
                <w:w w:val="90"/>
              </w:rPr>
              <w:t>The cover page from the Company's Quarterly Report on Form 10-Q for the quarter ended September 30, 2023,</w:t>
            </w:r>
          </w:p>
        </w:tc>
        <w:tc>
          <w:tcPr>
            <w:tcW w:w="1620" w:type="dxa"/>
            <w:vAlign w:val="bottom"/>
          </w:tcPr>
          <w:p>
            <w:pPr>
              <w:ind w:left="100"/>
              <w:spacing w:after="0" w:line="175"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00" w:type="dxa"/>
            <w:vAlign w:val="bottom"/>
            <w:gridSpan w:val="10"/>
          </w:tcPr>
          <w:p>
            <w:pPr>
              <w:spacing w:after="0"/>
              <w:rPr>
                <w:sz w:val="20"/>
                <w:szCs w:val="20"/>
                <w:color w:val="auto"/>
              </w:rPr>
            </w:pPr>
            <w:r>
              <w:rPr>
                <w:rFonts w:ascii="Arial" w:cs="Arial" w:eastAsia="Arial" w:hAnsi="Arial"/>
                <w:sz w:val="18"/>
                <w:szCs w:val="18"/>
                <w:color w:val="auto"/>
              </w:rPr>
              <w:t>formatted as Inline XBRL and contained in Exhibit 101</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 Management contracts or compensatory plans and arrangements.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w:t>
      </w:r>
    </w:p>
    <w:p>
      <w:pPr>
        <w:spacing w:after="0" w:line="246"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332"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13970</wp:posOffset>
            </wp:positionV>
            <wp:extent cx="32594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Christopher T. Hatto, Vice President, Global Business Solutions and</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Accounting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October 24, 2023</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Motors Company</w:t>
      </w:r>
    </w:p>
    <w:p>
      <w:pPr>
        <w:jc w:val="center"/>
        <w:spacing w:after="0" w:line="210" w:lineRule="auto"/>
        <w:rPr>
          <w:sz w:val="20"/>
          <w:szCs w:val="20"/>
          <w:color w:val="auto"/>
        </w:rPr>
      </w:pPr>
      <w:r>
        <w:rPr>
          <w:rFonts w:ascii="Arial" w:cs="Arial" w:eastAsia="Arial" w:hAnsi="Arial"/>
          <w:sz w:val="20"/>
          <w:szCs w:val="20"/>
          <w:b w:val="1"/>
          <w:bCs w:val="1"/>
          <w:color w:val="auto"/>
        </w:rPr>
        <w:t>2020 Long-Term Incentive Plan</w:t>
      </w:r>
    </w:p>
    <w:p>
      <w:pPr>
        <w:jc w:val="center"/>
        <w:spacing w:after="0"/>
        <w:rPr>
          <w:sz w:val="20"/>
          <w:szCs w:val="20"/>
          <w:color w:val="auto"/>
        </w:rPr>
      </w:pPr>
      <w:r>
        <w:rPr>
          <w:rFonts w:ascii="Arial" w:cs="Arial" w:eastAsia="Arial" w:hAnsi="Arial"/>
          <w:sz w:val="20"/>
          <w:szCs w:val="20"/>
          <w:b w:val="1"/>
          <w:bCs w:val="1"/>
          <w:color w:val="auto"/>
        </w:rPr>
        <w:t>RSU Award Document for [Insert Date] Grant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[Insert Name]</w:t>
      </w:r>
    </w:p>
    <w:p>
      <w:pPr>
        <w:ind w:right="20"/>
        <w:spacing w:after="0" w:line="225" w:lineRule="auto"/>
        <w:rPr>
          <w:sz w:val="20"/>
          <w:szCs w:val="20"/>
          <w:color w:val="auto"/>
        </w:rPr>
      </w:pPr>
      <w:r>
        <w:rPr>
          <w:rFonts w:ascii="Arial" w:cs="Arial" w:eastAsia="Arial" w:hAnsi="Arial"/>
          <w:sz w:val="18"/>
          <w:szCs w:val="18"/>
          <w:color w:val="auto"/>
        </w:rPr>
        <w:t>This letter (“</w:t>
      </w:r>
      <w:r>
        <w:rPr>
          <w:rFonts w:ascii="Arial" w:cs="Arial" w:eastAsia="Arial" w:hAnsi="Arial"/>
          <w:sz w:val="18"/>
          <w:szCs w:val="18"/>
          <w:b w:val="1"/>
          <w:bCs w:val="1"/>
          <w:color w:val="auto"/>
        </w:rPr>
        <w:t>Award Document</w:t>
      </w:r>
      <w:r>
        <w:rPr>
          <w:rFonts w:ascii="Arial" w:cs="Arial" w:eastAsia="Arial" w:hAnsi="Arial"/>
          <w:sz w:val="18"/>
          <w:szCs w:val="18"/>
          <w:color w:val="auto"/>
        </w:rPr>
        <w:t>”) describes the details under which you are being granted an Award of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under the General Motors Company 2020 Long-Term Incentive Plan (as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 A copy of the Plan can be found</w:t>
      </w:r>
    </w:p>
    <w:p>
      <w:pPr>
        <w:spacing w:after="0" w:line="2" w:lineRule="exact"/>
        <w:rPr>
          <w:sz w:val="20"/>
          <w:szCs w:val="20"/>
          <w:color w:val="auto"/>
        </w:rPr>
      </w:pPr>
    </w:p>
    <w:p>
      <w:pPr>
        <w:ind w:right="100"/>
        <w:spacing w:after="0" w:line="219" w:lineRule="auto"/>
        <w:rPr>
          <w:sz w:val="20"/>
          <w:szCs w:val="20"/>
          <w:color w:val="auto"/>
        </w:rPr>
      </w:pPr>
      <w:r>
        <w:rPr>
          <w:rFonts w:ascii="Arial" w:cs="Arial" w:eastAsia="Arial" w:hAnsi="Arial"/>
          <w:sz w:val="20"/>
          <w:szCs w:val="20"/>
          <w:color w:val="auto"/>
        </w:rPr>
        <w:t>on the Shareworks by Morgan Stanley site. Capitalized terms used in this Award Document have the meanings given in the Plan unless noted otherwise.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full terms of your Award are set out in this Award Document, the Plan and any policy adopted by the Committee in respect of the Plan</w:t>
      </w:r>
    </w:p>
    <w:p>
      <w:pPr>
        <w:spacing w:after="0" w:line="11" w:lineRule="exact"/>
        <w:rPr>
          <w:sz w:val="20"/>
          <w:szCs w:val="20"/>
          <w:color w:val="auto"/>
        </w:rPr>
      </w:pPr>
    </w:p>
    <w:p>
      <w:pPr>
        <w:ind w:right="160"/>
        <w:spacing w:after="0" w:line="219" w:lineRule="auto"/>
        <w:rPr>
          <w:sz w:val="20"/>
          <w:szCs w:val="20"/>
          <w:color w:val="auto"/>
        </w:rPr>
      </w:pPr>
      <w:r>
        <w:rPr>
          <w:rFonts w:ascii="Arial" w:cs="Arial" w:eastAsia="Arial" w:hAnsi="Arial"/>
          <w:sz w:val="20"/>
          <w:szCs w:val="20"/>
          <w:color w:val="auto"/>
        </w:rPr>
        <w:t>and Awards thereunder that is applicable to this Award. In the event of any conflict between this Award Document and the Plan, the terms of this Award Document shall prevail.</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w:t>
      </w:r>
    </w:p>
    <w:p>
      <w:pPr>
        <w:spacing w:after="0"/>
        <w:rPr>
          <w:sz w:val="20"/>
          <w:szCs w:val="20"/>
          <w:color w:val="auto"/>
        </w:rPr>
      </w:pPr>
      <w:r>
        <w:rPr>
          <w:rFonts w:ascii="Arial" w:cs="Arial" w:eastAsia="Arial" w:hAnsi="Arial"/>
          <w:sz w:val="20"/>
          <w:szCs w:val="20"/>
          <w:color w:val="auto"/>
        </w:rPr>
        <w:t>General Motors Company, a Delaware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Number of RSUs Granted to You</w:t>
      </w:r>
    </w:p>
    <w:p>
      <w:pPr>
        <w:spacing w:after="0"/>
        <w:rPr>
          <w:sz w:val="20"/>
          <w:szCs w:val="20"/>
          <w:color w:val="auto"/>
        </w:rPr>
      </w:pPr>
      <w:r>
        <w:rPr>
          <w:rFonts w:ascii="Arial" w:cs="Arial" w:eastAsia="Arial" w:hAnsi="Arial"/>
          <w:sz w:val="20"/>
          <w:szCs w:val="20"/>
          <w:color w:val="auto"/>
        </w:rPr>
        <w:t>[Insert Number]</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 Date</w:t>
      </w:r>
    </w:p>
    <w:p>
      <w:pPr>
        <w:spacing w:after="0"/>
        <w:rPr>
          <w:sz w:val="20"/>
          <w:szCs w:val="20"/>
          <w:color w:val="auto"/>
        </w:rPr>
      </w:pPr>
      <w:r>
        <w:rPr>
          <w:rFonts w:ascii="Arial" w:cs="Arial" w:eastAsia="Arial" w:hAnsi="Arial"/>
          <w:sz w:val="20"/>
          <w:szCs w:val="20"/>
          <w:color w:val="auto"/>
        </w:rPr>
        <w:t>[Insert Date]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Settlement Conditions and Settlement Date(s)</w:t>
      </w:r>
    </w:p>
    <w:p>
      <w:pPr>
        <w:spacing w:after="0"/>
        <w:rPr>
          <w:sz w:val="20"/>
          <w:szCs w:val="20"/>
          <w:color w:val="auto"/>
        </w:rPr>
      </w:pPr>
      <w:r>
        <w:rPr>
          <w:rFonts w:ascii="Arial" w:cs="Arial" w:eastAsia="Arial" w:hAnsi="Arial"/>
          <w:sz w:val="20"/>
          <w:szCs w:val="20"/>
          <w:color w:val="auto"/>
        </w:rPr>
        <w:t>Except as provided below, the RSUs will vest and settle (each a “</w:t>
      </w:r>
      <w:r>
        <w:rPr>
          <w:rFonts w:ascii="Arial" w:cs="Arial" w:eastAsia="Arial" w:hAnsi="Arial"/>
          <w:sz w:val="20"/>
          <w:szCs w:val="20"/>
          <w:b w:val="1"/>
          <w:bCs w:val="1"/>
          <w:color w:val="auto"/>
        </w:rPr>
        <w:t>Settlement Date</w:t>
      </w:r>
      <w:r>
        <w:rPr>
          <w:rFonts w:ascii="Arial" w:cs="Arial" w:eastAsia="Arial" w:hAnsi="Arial"/>
          <w:sz w:val="20"/>
          <w:szCs w:val="20"/>
          <w:color w:val="auto"/>
        </w:rPr>
        <w:t>”) as follows: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[Insert Vesting Schedule]</w:t>
      </w:r>
    </w:p>
    <w:p>
      <w:pPr>
        <w:spacing w:after="0" w:line="213"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auto"/>
        </w:rPr>
        <w:t>If the Settlement Date falls on a non-trading day of the New York Stock Exchange, then the preceding trading day’s closing price will be used to determine the Fair Market Value of the Shares to be settled (subject to applicable withholding).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If you experience a Full Career Status Termination of Service prior to the first anniversary of the Grant Date, your Award will be prorated.</w:t>
      </w:r>
    </w:p>
    <w:p>
      <w:pPr>
        <w:spacing w:after="0" w:line="11"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The pro-rata portion of the Award that is retained shall continue to vest in accordance with the existing vesting schedule, with the remaining portion of the Award being forfeited. The retained pro-rata portion of the Award is calculated based on the month in which your Full Career</w:t>
      </w:r>
    </w:p>
    <w:p>
      <w:pPr>
        <w:spacing w:after="0"/>
        <w:rPr>
          <w:sz w:val="20"/>
          <w:szCs w:val="20"/>
          <w:color w:val="auto"/>
        </w:rPr>
      </w:pPr>
      <w:r>
        <w:rPr>
          <w:rFonts w:ascii="Arial" w:cs="Arial" w:eastAsia="Arial" w:hAnsi="Arial"/>
          <w:sz w:val="20"/>
          <w:szCs w:val="20"/>
          <w:color w:val="auto"/>
        </w:rPr>
        <w:t>Status Termination of Service occurs as follows: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[Insert Pro-Ration Schedule]</w:t>
      </w:r>
    </w:p>
    <w:p>
      <w:pPr>
        <w:spacing w:after="0" w:line="160" w:lineRule="exact"/>
        <w:rPr>
          <w:sz w:val="20"/>
          <w:szCs w:val="20"/>
          <w:color w:val="auto"/>
        </w:rPr>
      </w:pPr>
    </w:p>
    <w:p>
      <w:pPr>
        <w:ind w:right="200"/>
        <w:spacing w:after="0" w:line="235" w:lineRule="auto"/>
        <w:rPr>
          <w:sz w:val="20"/>
          <w:szCs w:val="20"/>
          <w:color w:val="auto"/>
        </w:rPr>
      </w:pPr>
      <w:r>
        <w:rPr>
          <w:rFonts w:ascii="Arial" w:cs="Arial" w:eastAsia="Arial" w:hAnsi="Arial"/>
          <w:sz w:val="20"/>
          <w:szCs w:val="20"/>
          <w:color w:val="auto"/>
        </w:rPr>
        <w:t>Except as otherwise provided in the Plan and this Award Document, any portion of the RSUs not vested as of a Termination of Service shall be forfeited.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of Settlement</w:t>
      </w:r>
    </w:p>
    <w:p>
      <w:pPr>
        <w:spacing w:after="0" w:line="233" w:lineRule="auto"/>
        <w:rPr>
          <w:sz w:val="20"/>
          <w:szCs w:val="20"/>
          <w:color w:val="auto"/>
        </w:rPr>
      </w:pPr>
      <w:r>
        <w:rPr>
          <w:rFonts w:ascii="Arial" w:cs="Arial" w:eastAsia="Arial" w:hAnsi="Arial"/>
          <w:sz w:val="18"/>
          <w:szCs w:val="18"/>
          <w:color w:val="auto"/>
        </w:rPr>
        <w:t>Your Award will be settled in shares of common stock of the Company (“</w:t>
      </w:r>
      <w:r>
        <w:rPr>
          <w:rFonts w:ascii="Arial" w:cs="Arial" w:eastAsia="Arial" w:hAnsi="Arial"/>
          <w:sz w:val="18"/>
          <w:szCs w:val="18"/>
          <w:b w:val="1"/>
          <w:bCs w:val="1"/>
          <w:color w:val="auto"/>
        </w:rPr>
        <w:t>Shares</w:t>
      </w:r>
      <w:r>
        <w:rPr>
          <w:rFonts w:ascii="Arial" w:cs="Arial" w:eastAsia="Arial" w:hAnsi="Arial"/>
          <w:sz w:val="18"/>
          <w:szCs w:val="18"/>
          <w:color w:val="auto"/>
        </w:rPr>
        <w:t>”). Each RSU will be settled for one Share. Vested RSUs</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shall convey the right to receive dividend equivalents on the Shares underlying the RSU Award with respect to any dividends declared during the period from Grant Date to Settlement Date. Accumulated dividend equivalents shall vest and be paid in cash on the Settlement Date,</w:t>
      </w:r>
    </w:p>
    <w:p>
      <w:pPr>
        <w:ind w:right="220"/>
        <w:spacing w:after="0" w:line="227" w:lineRule="auto"/>
        <w:rPr>
          <w:sz w:val="20"/>
          <w:szCs w:val="20"/>
          <w:color w:val="auto"/>
        </w:rPr>
      </w:pPr>
      <w:r>
        <w:rPr>
          <w:rFonts w:ascii="Arial" w:cs="Arial" w:eastAsia="Arial" w:hAnsi="Arial"/>
          <w:sz w:val="20"/>
          <w:szCs w:val="20"/>
          <w:color w:val="auto"/>
        </w:rPr>
        <w:t>subject to the satisfaction of the vesting and other conditions of the underlying RSU Award. No dividend equivalents shall be provided with respect to any Shares subject to RSUs that do not vest or settle pursuant to their terms.</w:t>
      </w:r>
    </w:p>
    <w:p>
      <w:pPr>
        <w:spacing w:after="0" w:line="180" w:lineRule="exact"/>
        <w:rPr>
          <w:sz w:val="20"/>
          <w:szCs w:val="20"/>
          <w:color w:val="auto"/>
        </w:rPr>
      </w:pPr>
    </w:p>
    <w:p>
      <w:pPr>
        <w:ind w:right="520"/>
        <w:spacing w:after="0" w:line="235" w:lineRule="auto"/>
        <w:rPr>
          <w:sz w:val="20"/>
          <w:szCs w:val="20"/>
          <w:color w:val="auto"/>
        </w:rPr>
      </w:pPr>
      <w:r>
        <w:rPr>
          <w:rFonts w:ascii="Arial" w:cs="Arial" w:eastAsia="Arial" w:hAnsi="Arial"/>
          <w:sz w:val="20"/>
          <w:szCs w:val="20"/>
          <w:color w:val="auto"/>
        </w:rPr>
        <w:t xml:space="preserve">Notwithstanding the forgoing and the terms of the Plan, the Company reserves the right to further modify the form of settlement of your Award. For example, </w:t>
      </w:r>
      <w:r>
        <w:rPr>
          <w:rFonts w:ascii="Arial" w:cs="Arial" w:eastAsia="Arial" w:hAnsi="Arial"/>
          <w:sz w:val="20"/>
          <w:szCs w:val="20"/>
          <w:b w:val="1"/>
          <w:bCs w:val="1"/>
          <w:color w:val="auto"/>
        </w:rPr>
        <w:t>if your work location at the time of any Settlement Date</w:t>
      </w:r>
    </w:p>
    <w:p>
      <w:pPr>
        <w:sectPr>
          <w:pgSz w:w="11900" w:h="16838" w:orient="portrait"/>
          <w:cols w:equalWidth="0" w:num="1">
            <w:col w:w="11240"/>
          </w:cols>
          <w:pgMar w:left="320" w:top="98" w:right="339" w:bottom="1440" w:gutter="0" w:footer="0" w:header="0"/>
        </w:sectPr>
      </w:pPr>
    </w:p>
    <w:bookmarkStart w:id="54" w:name="page55"/>
    <w:bookmarkEnd w:id="54"/>
    <w:p>
      <w:pPr>
        <w:ind w:right="180"/>
        <w:spacing w:after="0" w:line="229" w:lineRule="auto"/>
        <w:rPr>
          <w:sz w:val="20"/>
          <w:szCs w:val="20"/>
          <w:color w:val="auto"/>
        </w:rPr>
      </w:pPr>
      <w:r>
        <w:rPr>
          <w:rFonts w:ascii="Arial" w:cs="Arial" w:eastAsia="Arial" w:hAnsi="Arial"/>
          <w:sz w:val="20"/>
          <w:szCs w:val="20"/>
          <w:b w:val="1"/>
          <w:bCs w:val="1"/>
          <w:color w:val="auto"/>
        </w:rPr>
        <w:t>noted above is in India</w:t>
      </w:r>
      <w:r>
        <w:rPr>
          <w:rFonts w:ascii="Arial" w:cs="Arial" w:eastAsia="Arial" w:hAnsi="Arial"/>
          <w:sz w:val="20"/>
          <w:szCs w:val="20"/>
          <w:color w:val="auto"/>
        </w:rPr>
        <w:t>, your RSUs will only be settled by a cash payment to you equal to the Fair Market Value of the Shares that would</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be settled (subject to applicable withholding). Your RSUs will not be settled by the issue of any Shares unless your work location changes to a jurisdiction that permits settlement in Shares.</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As required by law, the Company will withhold any applicable federal, state, local or foreign tax. You are responsible for any taxes due upon vesting and/or settlement. Note: If you are a local national of Israel, your RSUs are being granted as a Section 102 Trustee Award (Capital</w:t>
      </w:r>
    </w:p>
    <w:p>
      <w:pPr>
        <w:spacing w:after="0" w:line="1" w:lineRule="exact"/>
        <w:rPr>
          <w:sz w:val="20"/>
          <w:szCs w:val="20"/>
          <w:color w:val="auto"/>
        </w:rPr>
      </w:pPr>
    </w:p>
    <w:p>
      <w:pPr>
        <w:ind w:right="200"/>
        <w:spacing w:after="0" w:line="219" w:lineRule="auto"/>
        <w:rPr>
          <w:sz w:val="20"/>
          <w:szCs w:val="20"/>
          <w:color w:val="auto"/>
        </w:rPr>
      </w:pPr>
      <w:r>
        <w:rPr>
          <w:rFonts w:ascii="Arial" w:cs="Arial" w:eastAsia="Arial" w:hAnsi="Arial"/>
          <w:sz w:val="20"/>
          <w:szCs w:val="20"/>
          <w:color w:val="auto"/>
        </w:rPr>
        <w:t>Gains Track) under the Israeli Tax Ordinance pursuant to the Sub-Plan for Participants subject to Israeli Taxation under the General Motors Company 2020 Long-Term Incentive Plan (“Israeli Sub-Plan”).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Conditions Precedent</w:t>
      </w:r>
    </w:p>
    <w:p>
      <w:pPr>
        <w:ind w:right="280"/>
        <w:spacing w:after="0" w:line="227" w:lineRule="auto"/>
        <w:rPr>
          <w:sz w:val="20"/>
          <w:szCs w:val="20"/>
          <w:color w:val="auto"/>
        </w:rPr>
      </w:pPr>
      <w:r>
        <w:rPr>
          <w:rFonts w:ascii="Arial" w:cs="Arial" w:eastAsia="Arial" w:hAnsi="Arial"/>
          <w:sz w:val="20"/>
          <w:szCs w:val="20"/>
          <w:color w:val="auto"/>
        </w:rPr>
        <w:t>Pursuant and subject to Section 11 of the Plan, as a condition precedent to the vesting and/or settlement of any portion of your Award, you shall:</w:t>
      </w:r>
    </w:p>
    <w:p>
      <w:pPr>
        <w:spacing w:after="0" w:line="194" w:lineRule="exact"/>
        <w:rPr>
          <w:sz w:val="20"/>
          <w:szCs w:val="20"/>
          <w:color w:val="auto"/>
        </w:rPr>
      </w:pPr>
    </w:p>
    <w:p>
      <w:pPr>
        <w:ind w:left="660" w:right="140" w:hanging="330"/>
        <w:spacing w:after="0" w:line="211"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Refrain from engaging in any activity which will cause damage to the Company or is in any manner inimical or in any way contrary to the best interests of the Company, as determined pursuant to the Plan;</w:t>
      </w:r>
    </w:p>
    <w:p>
      <w:pPr>
        <w:spacing w:after="0" w:line="1" w:lineRule="exact"/>
        <w:rPr>
          <w:rFonts w:ascii="Arial" w:cs="Arial" w:eastAsia="Arial" w:hAnsi="Arial"/>
          <w:sz w:val="20"/>
          <w:szCs w:val="20"/>
          <w:color w:val="auto"/>
        </w:rPr>
      </w:pPr>
    </w:p>
    <w:p>
      <w:pPr>
        <w:ind w:left="640" w:hanging="310"/>
        <w:spacing w:after="0" w:line="210" w:lineRule="auto"/>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Comply with the Restrictive Covenants below; and</w:t>
      </w:r>
    </w:p>
    <w:p>
      <w:pPr>
        <w:jc w:val="both"/>
        <w:ind w:right="40" w:firstLine="330"/>
        <w:spacing w:after="0" w:line="278" w:lineRule="auto"/>
        <w:tabs>
          <w:tab w:leader="none" w:pos="633" w:val="left"/>
        </w:tabs>
        <w:numPr>
          <w:ilvl w:val="0"/>
          <w:numId w:val="30"/>
        </w:numPr>
        <w:rPr>
          <w:rFonts w:ascii="Arial" w:cs="Arial" w:eastAsia="Arial" w:hAnsi="Arial"/>
          <w:sz w:val="16"/>
          <w:szCs w:val="16"/>
          <w:color w:val="auto"/>
        </w:rPr>
      </w:pPr>
      <w:r>
        <w:rPr>
          <w:rFonts w:ascii="Arial" w:cs="Arial" w:eastAsia="Arial" w:hAnsi="Arial"/>
          <w:sz w:val="16"/>
          <w:szCs w:val="16"/>
          <w:color w:val="auto"/>
        </w:rPr>
        <w:t>Furnish to the Company such information with respect to the satisfaction of the foregoing as the Committee may reasonably request. In addition, the Committee may require you to enter into such agreements as the Committee considers appropriate. Your failure to satisfy any of the foregoing conditions precedent will result in the immediate cancellation of the unvested portion of your Award and any vested portion of your Award that has not yet been settled, and you will not be entitled to receive any consideration with respect to such cancellation.</w:t>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Restrictive Covenants</w:t>
      </w:r>
    </w:p>
    <w:p>
      <w:pPr>
        <w:spacing w:after="0"/>
        <w:rPr>
          <w:sz w:val="20"/>
          <w:szCs w:val="20"/>
          <w:color w:val="auto"/>
        </w:rPr>
      </w:pPr>
      <w:r>
        <w:rPr>
          <w:rFonts w:ascii="Arial" w:cs="Arial" w:eastAsia="Arial" w:hAnsi="Arial"/>
          <w:sz w:val="16"/>
          <w:szCs w:val="16"/>
          <w:color w:val="auto"/>
        </w:rPr>
        <w:t>In exchange for the RSUs described in this Award Document, except to the extent this provision is expressly unenforceable or unlawful under</w:t>
      </w:r>
    </w:p>
    <w:p>
      <w:pPr>
        <w:spacing w:after="0" w:line="18" w:lineRule="exact"/>
        <w:rPr>
          <w:sz w:val="20"/>
          <w:szCs w:val="20"/>
          <w:color w:val="auto"/>
        </w:rPr>
      </w:pPr>
    </w:p>
    <w:p>
      <w:pPr>
        <w:ind w:right="460"/>
        <w:spacing w:after="0" w:line="254" w:lineRule="auto"/>
        <w:rPr>
          <w:sz w:val="20"/>
          <w:szCs w:val="20"/>
          <w:color w:val="auto"/>
        </w:rPr>
      </w:pPr>
      <w:r>
        <w:rPr>
          <w:rFonts w:ascii="Arial" w:cs="Arial" w:eastAsia="Arial" w:hAnsi="Arial"/>
          <w:sz w:val="16"/>
          <w:szCs w:val="16"/>
          <w:color w:val="auto"/>
        </w:rPr>
        <w:t>applicable law, you agree to the following restrictive covenants (“</w:t>
      </w:r>
      <w:r>
        <w:rPr>
          <w:rFonts w:ascii="Arial" w:cs="Arial" w:eastAsia="Arial" w:hAnsi="Arial"/>
          <w:sz w:val="16"/>
          <w:szCs w:val="16"/>
          <w:b w:val="1"/>
          <w:bCs w:val="1"/>
          <w:color w:val="auto"/>
        </w:rPr>
        <w:t>Restrictive Covenants</w:t>
      </w:r>
      <w:r>
        <w:rPr>
          <w:rFonts w:ascii="Arial" w:cs="Arial" w:eastAsia="Arial" w:hAnsi="Arial"/>
          <w:sz w:val="16"/>
          <w:szCs w:val="16"/>
          <w:color w:val="auto"/>
        </w:rPr>
        <w:t>”) that apply during your employment with the Company and its Subsidiaries, and for the 12-month period commencing on your Termination of Service, including a Full Career Status</w:t>
      </w:r>
    </w:p>
    <w:p>
      <w:pPr>
        <w:spacing w:after="0"/>
        <w:rPr>
          <w:sz w:val="20"/>
          <w:szCs w:val="20"/>
          <w:color w:val="auto"/>
        </w:rPr>
      </w:pPr>
      <w:r>
        <w:rPr>
          <w:rFonts w:ascii="Arial" w:cs="Arial" w:eastAsia="Arial" w:hAnsi="Arial"/>
          <w:sz w:val="20"/>
          <w:szCs w:val="20"/>
          <w:color w:val="auto"/>
        </w:rPr>
        <w:t>Termination:</w:t>
      </w:r>
    </w:p>
    <w:p>
      <w:pPr>
        <w:spacing w:after="0" w:line="197" w:lineRule="exact"/>
        <w:rPr>
          <w:sz w:val="20"/>
          <w:szCs w:val="20"/>
          <w:color w:val="auto"/>
        </w:rPr>
      </w:pPr>
    </w:p>
    <w:p>
      <w:pPr>
        <w:ind w:left="660" w:right="40" w:hanging="330"/>
        <w:spacing w:after="0" w:line="219" w:lineRule="auto"/>
        <w:tabs>
          <w:tab w:leader="none" w:pos="648" w:val="left"/>
        </w:tabs>
        <w:numPr>
          <w:ilvl w:val="0"/>
          <w:numId w:val="31"/>
        </w:numPr>
        <w:rPr>
          <w:rFonts w:ascii="Arial" w:cs="Arial" w:eastAsia="Arial" w:hAnsi="Arial"/>
          <w:sz w:val="19"/>
          <w:szCs w:val="19"/>
          <w:color w:val="auto"/>
        </w:rPr>
      </w:pPr>
      <w:r>
        <w:rPr>
          <w:rFonts w:ascii="Arial" w:cs="Arial" w:eastAsia="Arial" w:hAnsi="Arial"/>
          <w:sz w:val="19"/>
          <w:szCs w:val="19"/>
          <w:color w:val="auto"/>
        </w:rPr>
        <w:t>During your employment and for one year after it ends, anywhere within the world where you have, within the last two years of your employment, worked, had management responsibilities or had access to confidential information, you will not directly or indirectly provide services to any business that competes with the Company if such services involve (i) the potential use or disclosure of Company confidential information or trade secrets; (ii) substantially the same functions/responsibilities as yours for the Company during your last two years of employment; or (iii) supervision over substantially the same functions, responsibilities or business units as those you supervised for the Company during your last two years of employment;</w:t>
      </w:r>
    </w:p>
    <w:p>
      <w:pPr>
        <w:spacing w:after="0" w:line="2" w:lineRule="exact"/>
        <w:rPr>
          <w:rFonts w:ascii="Arial" w:cs="Arial" w:eastAsia="Arial" w:hAnsi="Arial"/>
          <w:sz w:val="19"/>
          <w:szCs w:val="19"/>
          <w:color w:val="auto"/>
        </w:rPr>
      </w:pPr>
    </w:p>
    <w:p>
      <w:pPr>
        <w:ind w:left="660" w:right="20" w:hanging="330"/>
        <w:spacing w:after="0" w:line="205"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During your employment and for one year after it ends, you will not directly or indirectly, knowingly induce any employee of the Company or any Subsidiary to leave his/her employment for participation, directly or indirectly, with any existing or future employer or business venture associated with you; and</w:t>
      </w:r>
    </w:p>
    <w:p>
      <w:pPr>
        <w:spacing w:after="0" w:line="1" w:lineRule="exact"/>
        <w:rPr>
          <w:rFonts w:ascii="Arial" w:cs="Arial" w:eastAsia="Arial" w:hAnsi="Arial"/>
          <w:sz w:val="20"/>
          <w:szCs w:val="20"/>
          <w:color w:val="auto"/>
        </w:rPr>
      </w:pPr>
    </w:p>
    <w:p>
      <w:pPr>
        <w:ind w:left="660" w:right="260" w:hanging="330"/>
        <w:spacing w:after="0" w:line="241"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your employment and for one year after it ends, you will not directly or indirectly solicit or attempt to solicit any client, customer, or supplier of, or provider to the Company or its Subsidiaries who was a client, customer, supplier or provider for which you provided services or supervised services during the 12-month period immediately prior to your Termination of Service.</w:t>
      </w:r>
    </w:p>
    <w:p>
      <w:pPr>
        <w:spacing w:after="0" w:line="194"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You may seek permission from the Company to take action that would otherwise violate one or more aspects of these Restrictive Covenants, but the Company may either approve or deny such request in its unfettered discretion and otherwise enforce the provisions of the Restrictive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Covenants.</w:t>
      </w:r>
    </w:p>
    <w:p>
      <w:pPr>
        <w:spacing w:after="0" w:line="197"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If you violate any of the Restrictive Covenants during its effective period without the Company’s consent, your entire Award, whether unvested or earned and vested but unsettled, will immediately be cancelled. In addition, you agree to repay to the Company the value of all</w:t>
      </w:r>
    </w:p>
    <w:p>
      <w:pPr>
        <w:spacing w:after="0" w:line="1" w:lineRule="exact"/>
        <w:rPr>
          <w:sz w:val="20"/>
          <w:szCs w:val="20"/>
          <w:color w:val="auto"/>
        </w:rPr>
      </w:pPr>
    </w:p>
    <w:p>
      <w:pPr>
        <w:ind w:right="620"/>
        <w:spacing w:after="0" w:line="254" w:lineRule="auto"/>
        <w:rPr>
          <w:sz w:val="20"/>
          <w:szCs w:val="20"/>
          <w:color w:val="auto"/>
        </w:rPr>
      </w:pPr>
      <w:r>
        <w:rPr>
          <w:rFonts w:ascii="Arial" w:cs="Arial" w:eastAsia="Arial" w:hAnsi="Arial"/>
          <w:sz w:val="16"/>
          <w:szCs w:val="16"/>
          <w:color w:val="auto"/>
        </w:rPr>
        <w:t>RSUs that were delivered pursuant to this Award Document during the period commencing on the date that is 12 months prior to your Termination of Service and ending on the date that is 12 months following your Termination of Service. To the extent permitted under</w:t>
      </w:r>
    </w:p>
    <w:p>
      <w:pPr>
        <w:spacing w:after="0"/>
        <w:rPr>
          <w:sz w:val="20"/>
          <w:szCs w:val="20"/>
          <w:color w:val="auto"/>
        </w:rPr>
      </w:pPr>
      <w:r>
        <w:rPr>
          <w:rFonts w:ascii="Arial" w:cs="Arial" w:eastAsia="Arial" w:hAnsi="Arial"/>
          <w:sz w:val="20"/>
          <w:szCs w:val="20"/>
          <w:color w:val="auto"/>
        </w:rPr>
        <w:t>applicable law, the Company may also take action at equity or in law to enforce the provisions of the applicable Restrictive</w:t>
      </w:r>
    </w:p>
    <w:p>
      <w:pPr>
        <w:sectPr>
          <w:pgSz w:w="11900" w:h="16838" w:orient="portrait"/>
          <w:cols w:equalWidth="0" w:num="1">
            <w:col w:w="11180"/>
          </w:cols>
          <w:pgMar w:left="320" w:top="990" w:right="399" w:bottom="1440" w:gutter="0" w:footer="0" w:header="0"/>
        </w:sectPr>
      </w:pPr>
    </w:p>
    <w:bookmarkStart w:id="55" w:name="page56"/>
    <w:bookmarkEnd w:id="55"/>
    <w:p>
      <w:pPr>
        <w:ind w:right="220"/>
        <w:spacing w:after="0" w:line="235" w:lineRule="auto"/>
        <w:rPr>
          <w:sz w:val="20"/>
          <w:szCs w:val="20"/>
          <w:color w:val="auto"/>
        </w:rPr>
      </w:pPr>
      <w:r>
        <w:rPr>
          <w:rFonts w:ascii="Arial" w:cs="Arial" w:eastAsia="Arial" w:hAnsi="Arial"/>
          <w:sz w:val="20"/>
          <w:szCs w:val="20"/>
          <w:color w:val="auto"/>
        </w:rPr>
        <w:t>Covenants. Following application of this provision of the Award Document, you will continue to be bound by the obligations, promises and other agreements contained in the Plan and the Award Document.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Terms and Conditions of the Award</w:t>
      </w:r>
    </w:p>
    <w:p>
      <w:pPr>
        <w:spacing w:after="0"/>
        <w:rPr>
          <w:sz w:val="20"/>
          <w:szCs w:val="20"/>
          <w:color w:val="auto"/>
        </w:rPr>
      </w:pPr>
      <w:r>
        <w:rPr>
          <w:rFonts w:ascii="Arial" w:cs="Arial" w:eastAsia="Arial" w:hAnsi="Arial"/>
          <w:sz w:val="20"/>
          <w:szCs w:val="20"/>
          <w:color w:val="auto"/>
        </w:rPr>
        <w:t>Refer to the Plan for additional terms and conditions applicable to your Award, including but not limited to, those relating to:</w:t>
      </w:r>
    </w:p>
    <w:p>
      <w:pPr>
        <w:spacing w:after="0" w:line="197" w:lineRule="exact"/>
        <w:rPr>
          <w:sz w:val="20"/>
          <w:szCs w:val="20"/>
          <w:color w:val="auto"/>
        </w:rPr>
      </w:pPr>
    </w:p>
    <w:p>
      <w:pPr>
        <w:ind w:left="660" w:right="180" w:hanging="330"/>
        <w:spacing w:after="0" w:line="211"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Effect of your Termination of Service on your Award, including upon Death, Disability, achievement of Full Career Status and other Termination of Service scenarios;</w:t>
      </w:r>
    </w:p>
    <w:p>
      <w:pPr>
        <w:spacing w:after="0" w:line="1" w:lineRule="exact"/>
        <w:rPr>
          <w:rFonts w:ascii="Arial" w:cs="Arial" w:eastAsia="Arial" w:hAnsi="Arial"/>
          <w:sz w:val="20"/>
          <w:szCs w:val="20"/>
          <w:color w:val="auto"/>
        </w:rPr>
      </w:pPr>
    </w:p>
    <w:p>
      <w:pPr>
        <w:ind w:left="640" w:hanging="310"/>
        <w:spacing w:after="0" w:line="221" w:lineRule="auto"/>
        <w:tabs>
          <w:tab w:leader="none" w:pos="6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Your Award being subject to any clawback or recoupment policies of the Company as may be in effect from time to time;</w:t>
      </w:r>
    </w:p>
    <w:p>
      <w:pPr>
        <w:ind w:left="640" w:hanging="310"/>
        <w:spacing w:after="0" w:line="196" w:lineRule="auto"/>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impact of a Change in Control or other specified corporate event on your Award; and</w:t>
      </w:r>
    </w:p>
    <w:p>
      <w:pPr>
        <w:ind w:left="640" w:hanging="310"/>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Jurisdiction and governing law.</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Acknowledgments</w:t>
      </w:r>
    </w:p>
    <w:p>
      <w:pPr>
        <w:ind w:right="20"/>
        <w:spacing w:after="0" w:line="225" w:lineRule="auto"/>
        <w:rPr>
          <w:sz w:val="20"/>
          <w:szCs w:val="20"/>
          <w:color w:val="auto"/>
        </w:rPr>
      </w:pPr>
      <w:r>
        <w:rPr>
          <w:rFonts w:ascii="Arial" w:cs="Arial" w:eastAsia="Arial" w:hAnsi="Arial"/>
          <w:sz w:val="18"/>
          <w:szCs w:val="18"/>
          <w:color w:val="auto"/>
        </w:rPr>
        <w:t>The following additional terms apply to your Award, your participation in the Plan and the grant of RSUs (and issuance of any Shares) to you. By accepting the Award you irrevocably agree and acknowledge in favor of the Company (on its own behalf and as an agent for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Subsidiaries) that:</w:t>
      </w:r>
    </w:p>
    <w:p>
      <w:pPr>
        <w:spacing w:after="0" w:line="197" w:lineRule="exact"/>
        <w:rPr>
          <w:sz w:val="20"/>
          <w:szCs w:val="20"/>
          <w:color w:val="auto"/>
        </w:rPr>
      </w:pPr>
    </w:p>
    <w:p>
      <w:pPr>
        <w:ind w:left="340" w:right="180" w:hanging="333"/>
        <w:spacing w:after="0" w:line="222" w:lineRule="auto"/>
        <w:tabs>
          <w:tab w:leader="none" w:pos="332" w:val="left"/>
        </w:tabs>
        <w:numPr>
          <w:ilvl w:val="0"/>
          <w:numId w:val="33"/>
        </w:numPr>
        <w:rPr>
          <w:rFonts w:ascii="Arial" w:cs="Arial" w:eastAsia="Arial" w:hAnsi="Arial"/>
          <w:sz w:val="20"/>
          <w:szCs w:val="20"/>
          <w:color w:val="auto"/>
        </w:rPr>
      </w:pPr>
      <w:r>
        <w:rPr>
          <w:rFonts w:ascii="Arial" w:cs="Arial" w:eastAsia="Arial" w:hAnsi="Arial"/>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194" w:lineRule="exact"/>
        <w:rPr>
          <w:rFonts w:ascii="Arial" w:cs="Arial" w:eastAsia="Arial" w:hAnsi="Arial"/>
          <w:sz w:val="20"/>
          <w:szCs w:val="20"/>
          <w:color w:val="auto"/>
        </w:rPr>
      </w:pPr>
    </w:p>
    <w:p>
      <w:pPr>
        <w:ind w:left="340" w:right="100" w:hanging="333"/>
        <w:spacing w:after="0" w:line="214" w:lineRule="auto"/>
        <w:tabs>
          <w:tab w:leader="none" w:pos="329" w:val="left"/>
        </w:tabs>
        <w:numPr>
          <w:ilvl w:val="0"/>
          <w:numId w:val="33"/>
        </w:numPr>
        <w:rPr>
          <w:rFonts w:ascii="Arial" w:cs="Arial" w:eastAsia="Arial" w:hAnsi="Arial"/>
          <w:sz w:val="20"/>
          <w:szCs w:val="20"/>
          <w:color w:val="auto"/>
        </w:rPr>
      </w:pPr>
      <w:r>
        <w:rPr>
          <w:rFonts w:ascii="Arial" w:cs="Arial" w:eastAsia="Arial" w:hAnsi="Arial"/>
          <w:sz w:val="20"/>
          <w:szCs w:val="20"/>
          <w:color w:val="auto"/>
        </w:rPr>
        <w:t>You will not have any claim or right to be granted any Award under the Plan, and there is no obligation for uniformity of treatment of employees, consultants, advisors, Participants or holders or Beneficiaries of Awards under the Plan. The terms and conditions of Awards may vary and need not be the same with respect to each recipient. Any Award granted under the Plan shall be a single, discretionary, and voluntary grant and does not constitute a promise, a contractual right or other right to receive future grants. The Committee maintains the right to make available future grants under the Plan.</w:t>
      </w:r>
    </w:p>
    <w:p>
      <w:pPr>
        <w:spacing w:after="0" w:line="197" w:lineRule="exact"/>
        <w:rPr>
          <w:rFonts w:ascii="Arial" w:cs="Arial" w:eastAsia="Arial" w:hAnsi="Arial"/>
          <w:sz w:val="20"/>
          <w:szCs w:val="20"/>
          <w:color w:val="auto"/>
        </w:rPr>
      </w:pPr>
    </w:p>
    <w:p>
      <w:pPr>
        <w:ind w:left="340" w:right="120" w:hanging="333"/>
        <w:spacing w:after="0" w:line="208" w:lineRule="auto"/>
        <w:tabs>
          <w:tab w:leader="none" w:pos="332"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ind w:left="340" w:hanging="333"/>
        <w:spacing w:after="0" w:line="214" w:lineRule="auto"/>
        <w:tabs>
          <w:tab w:leader="none" w:pos="329" w:val="left"/>
        </w:tabs>
        <w:numPr>
          <w:ilvl w:val="0"/>
          <w:numId w:val="33"/>
        </w:numPr>
        <w:rPr>
          <w:rFonts w:ascii="Arial" w:cs="Arial" w:eastAsia="Arial" w:hAnsi="Arial"/>
          <w:sz w:val="20"/>
          <w:szCs w:val="20"/>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severance payments, leave entitlements, or any other compensation payable to you.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194" w:lineRule="exact"/>
        <w:rPr>
          <w:rFonts w:ascii="Arial" w:cs="Arial" w:eastAsia="Arial" w:hAnsi="Arial"/>
          <w:sz w:val="20"/>
          <w:szCs w:val="20"/>
          <w:color w:val="auto"/>
        </w:rPr>
      </w:pPr>
    </w:p>
    <w:p>
      <w:pPr>
        <w:ind w:left="340" w:right="80" w:hanging="333"/>
        <w:spacing w:after="0" w:line="219" w:lineRule="auto"/>
        <w:tabs>
          <w:tab w:leader="none" w:pos="332"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This Award includes Restrictive Covenants and conditions precedent that apply during and following your termination of employment, and the RSUs described in this Award constitute one element of the good and valuable consideration provided in exchange for those Restrictive Covenants. You may be subject to other Agreements that contain restrictive covenants and those covenants are independent of these Restrictive Covenants.</w:t>
      </w:r>
    </w:p>
    <w:p>
      <w:pPr>
        <w:spacing w:after="0" w:line="181" w:lineRule="exact"/>
        <w:rPr>
          <w:rFonts w:ascii="Arial" w:cs="Arial" w:eastAsia="Arial" w:hAnsi="Arial"/>
          <w:sz w:val="20"/>
          <w:szCs w:val="20"/>
          <w:color w:val="auto"/>
        </w:rPr>
      </w:pPr>
    </w:p>
    <w:p>
      <w:pPr>
        <w:ind w:left="340" w:right="40" w:hanging="333"/>
        <w:spacing w:after="0" w:line="227" w:lineRule="auto"/>
        <w:tabs>
          <w:tab w:leader="none" w:pos="337" w:val="left"/>
        </w:tabs>
        <w:numPr>
          <w:ilvl w:val="0"/>
          <w:numId w:val="33"/>
        </w:numPr>
        <w:rPr>
          <w:rFonts w:ascii="Arial" w:cs="Arial" w:eastAsia="Arial" w:hAnsi="Arial"/>
          <w:sz w:val="20"/>
          <w:szCs w:val="20"/>
          <w:color w:val="auto"/>
        </w:rPr>
      </w:pPr>
      <w:r>
        <w:rPr>
          <w:rFonts w:ascii="Arial" w:cs="Arial" w:eastAsia="Arial" w:hAnsi="Arial"/>
          <w:sz w:val="20"/>
          <w:szCs w:val="20"/>
          <w:color w:val="auto"/>
        </w:rPr>
        <w:t>If you are subject to U.S. taxation and if any portion of this Award becomes non-forfeitable (e.g., due to your attaining Full Career Status) prior to settlement of the Award, it will be subject to the U.S. Federal Insurance Contributions Act (“FICA”) tax at the time such portion becomes non-forfeitable.</w:t>
      </w:r>
    </w:p>
    <w:p>
      <w:pPr>
        <w:spacing w:after="0" w:line="180" w:lineRule="exact"/>
        <w:rPr>
          <w:rFonts w:ascii="Arial" w:cs="Arial" w:eastAsia="Arial" w:hAnsi="Arial"/>
          <w:sz w:val="20"/>
          <w:szCs w:val="20"/>
          <w:color w:val="auto"/>
        </w:rPr>
      </w:pPr>
    </w:p>
    <w:p>
      <w:pPr>
        <w:ind w:left="340" w:right="100" w:hanging="333"/>
        <w:spacing w:after="0" w:line="250" w:lineRule="auto"/>
        <w:tabs>
          <w:tab w:leader="none" w:pos="3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you are a local national of Israel, you have carefully read the Israeli Sub-Plan and the trust agreement between General Motors and its trustee, which are provided on the Shareworks by Morgan Stanley site, and agree that in order to qualify for a Section 102 Trustee Award you will not release the RSUs from the trust prior to the lapse of the restricted period as outlined under the Israeli Sub-Plan.</w:t>
      </w:r>
    </w:p>
    <w:p>
      <w:pPr>
        <w:sectPr>
          <w:pgSz w:w="11900" w:h="16838" w:orient="portrait"/>
          <w:cols w:equalWidth="0" w:num="1">
            <w:col w:w="11240"/>
          </w:cols>
          <w:pgMar w:left="320" w:top="996" w:right="339" w:bottom="1440" w:gutter="0" w:footer="0" w:header="0"/>
        </w:sectPr>
      </w:pPr>
    </w:p>
    <w:bookmarkStart w:id="56" w:name="page57"/>
    <w:bookmarkEnd w:id="56"/>
    <w:p>
      <w:pPr>
        <w:ind w:left="340" w:right="20" w:hanging="333"/>
        <w:spacing w:after="0" w:line="211" w:lineRule="auto"/>
        <w:tabs>
          <w:tab w:leader="none" w:pos="329" w:val="left"/>
        </w:tabs>
        <w:numPr>
          <w:ilvl w:val="0"/>
          <w:numId w:val="34"/>
        </w:numPr>
        <w:rPr>
          <w:rFonts w:ascii="Arial" w:cs="Arial" w:eastAsia="Arial" w:hAnsi="Arial"/>
          <w:sz w:val="20"/>
          <w:szCs w:val="20"/>
          <w:color w:val="auto"/>
        </w:rPr>
      </w:pPr>
      <w:r>
        <w:rPr>
          <w:rFonts w:ascii="Arial" w:cs="Arial" w:eastAsia="Arial" w:hAnsi="Arial"/>
          <w:sz w:val="20"/>
          <w:szCs w:val="20"/>
          <w:color w:val="auto"/>
        </w:rPr>
        <w:t>If you are a local national of the People’s Republic of China (“PRC”), you are subject to exchange control restrictions and regulations in the PRC including the requirements imposed by the State Administration of Foreign Exchange (“SAFE”). As provided on the Shareworks by Morgan Stanley site, you have carefully read the SAFE terms and conditions that apply to your Award and agree to comply with these requirements.</w:t>
      </w:r>
    </w:p>
    <w:p>
      <w:pPr>
        <w:jc w:val="both"/>
        <w:ind w:left="340" w:right="320" w:hanging="333"/>
        <w:spacing w:after="0" w:line="205" w:lineRule="auto"/>
        <w:tabs>
          <w:tab w:leader="none" w:pos="339"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1" w:lineRule="exact"/>
        <w:rPr>
          <w:rFonts w:ascii="Arial" w:cs="Arial" w:eastAsia="Arial" w:hAnsi="Arial"/>
          <w:sz w:val="20"/>
          <w:szCs w:val="20"/>
          <w:color w:val="auto"/>
        </w:rPr>
      </w:pPr>
    </w:p>
    <w:p>
      <w:pPr>
        <w:ind w:left="340" w:right="160" w:hanging="333"/>
        <w:spacing w:after="0" w:line="203" w:lineRule="auto"/>
        <w:tabs>
          <w:tab w:leader="none" w:pos="339"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and cannot be predicted with certainty and the Shares may increase or decrease in value.</w:t>
      </w:r>
    </w:p>
    <w:p>
      <w:pPr>
        <w:ind w:left="340" w:hanging="333"/>
        <w:spacing w:after="0" w:line="229" w:lineRule="auto"/>
        <w:tabs>
          <w:tab w:leader="none" w:pos="329"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will have no claim or entitlement to compensation or damages arising from the forfeiture of the RSUs, the termination of the Plan, or the diminution in value of the RSUs or Shares, including, without limitation, as a result of the termination of your employment or services by the Company or any Subsidiary for any reason whatsoever and whether or not in breach of contract. You irrevocably release the Company, its Subsidiaries, Affiliates, the Plan Administrator and their respective affiliates from any such claim that may arise.</w:t>
      </w:r>
    </w:p>
    <w:p>
      <w:pPr>
        <w:spacing w:after="0" w:line="2" w:lineRule="exact"/>
        <w:rPr>
          <w:rFonts w:ascii="Arial" w:cs="Arial" w:eastAsia="Arial" w:hAnsi="Arial"/>
          <w:sz w:val="18"/>
          <w:szCs w:val="18"/>
          <w:color w:val="auto"/>
        </w:rPr>
      </w:pPr>
    </w:p>
    <w:p>
      <w:pPr>
        <w:ind w:left="340" w:right="60" w:hanging="333"/>
        <w:spacing w:after="0" w:line="219" w:lineRule="auto"/>
        <w:tabs>
          <w:tab w:leader="none" w:pos="339"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Company has adopted a stock ownership requirement policy, and if your position is covered, you shall be subject to and comply with this policy as may be in effect from time to time.</w:t>
      </w:r>
    </w:p>
    <w:p>
      <w:pPr>
        <w:spacing w:after="0" w:line="195" w:lineRule="exact"/>
        <w:rPr>
          <w:rFonts w:ascii="Arial" w:cs="Arial" w:eastAsia="Arial" w:hAnsi="Arial"/>
          <w:sz w:val="20"/>
          <w:szCs w:val="20"/>
          <w:color w:val="auto"/>
        </w:rPr>
      </w:pPr>
    </w:p>
    <w:p>
      <w:pPr>
        <w:ind w:left="340" w:right="200" w:hanging="333"/>
        <w:spacing w:after="0" w:line="234" w:lineRule="auto"/>
        <w:tabs>
          <w:tab w:leader="none" w:pos="3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1" w:lineRule="exact"/>
        <w:rPr>
          <w:rFonts w:ascii="Arial" w:cs="Arial" w:eastAsia="Arial" w:hAnsi="Arial"/>
          <w:sz w:val="18"/>
          <w:szCs w:val="18"/>
          <w:color w:val="auto"/>
        </w:rPr>
      </w:pPr>
    </w:p>
    <w:p>
      <w:pPr>
        <w:ind w:left="340" w:right="60" w:hanging="333"/>
        <w:spacing w:after="0" w:line="222" w:lineRule="auto"/>
        <w:tabs>
          <w:tab w:leader="none" w:pos="329" w:val="left"/>
        </w:tabs>
        <w:numPr>
          <w:ilvl w:val="0"/>
          <w:numId w:val="34"/>
        </w:numPr>
        <w:rPr>
          <w:rFonts w:ascii="Arial" w:cs="Arial" w:eastAsia="Arial" w:hAnsi="Arial"/>
          <w:sz w:val="19"/>
          <w:szCs w:val="19"/>
          <w:color w:val="auto"/>
        </w:rPr>
      </w:pPr>
      <w:r>
        <w:rPr>
          <w:rFonts w:ascii="Arial" w:cs="Arial" w:eastAsia="Arial" w:hAnsi="Arial"/>
          <w:sz w:val="19"/>
          <w:szCs w:val="19"/>
          <w:color w:val="auto"/>
        </w:rPr>
        <w:t>You agree this Plan and this Award are governed by the laws of the State of Delaware, without regard to the conflicts of law provisions thereof, and further consent to the exclusive personal jurisdiction and venue of the Chancery Court of the State of Delaware and the United States District Court for the District of Delaware for any action, claim or dispute arising out of or relating to this Award, the Plan or the subject matter contained in this Award Document. The Company will make reasonable efforts so that the Award complies with all applicable federal and state laws; provided, however, notwithstanding any other provision of the Award Document, the RSUs shall not be settled if the settlement thereof would result in a violation of any such law.</w:t>
      </w:r>
    </w:p>
    <w:p>
      <w:pPr>
        <w:spacing w:after="0" w:line="195" w:lineRule="exact"/>
        <w:rPr>
          <w:rFonts w:ascii="Arial" w:cs="Arial" w:eastAsia="Arial" w:hAnsi="Arial"/>
          <w:sz w:val="19"/>
          <w:szCs w:val="19"/>
          <w:color w:val="auto"/>
        </w:rPr>
      </w:pPr>
    </w:p>
    <w:p>
      <w:pPr>
        <w:ind w:left="340" w:right="680" w:hanging="333"/>
        <w:spacing w:after="0" w:line="228" w:lineRule="auto"/>
        <w:tabs>
          <w:tab w:leader="none" w:pos="329" w:val="left"/>
        </w:tabs>
        <w:numPr>
          <w:ilvl w:val="0"/>
          <w:numId w:val="34"/>
        </w:numPr>
        <w:rPr>
          <w:rFonts w:ascii="Arial" w:cs="Arial" w:eastAsia="Arial" w:hAnsi="Arial"/>
          <w:sz w:val="20"/>
          <w:szCs w:val="20"/>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194" w:lineRule="exact"/>
        <w:rPr>
          <w:rFonts w:ascii="Arial" w:cs="Arial" w:eastAsia="Arial" w:hAnsi="Arial"/>
          <w:sz w:val="20"/>
          <w:szCs w:val="20"/>
          <w:color w:val="auto"/>
        </w:rPr>
      </w:pPr>
    </w:p>
    <w:p>
      <w:pPr>
        <w:ind w:left="340" w:right="100" w:hanging="333"/>
        <w:spacing w:after="0" w:line="219" w:lineRule="auto"/>
        <w:tabs>
          <w:tab w:leader="none" w:pos="329" w:val="left"/>
        </w:tabs>
        <w:numPr>
          <w:ilvl w:val="0"/>
          <w:numId w:val="34"/>
        </w:numPr>
        <w:rPr>
          <w:rFonts w:ascii="Arial" w:cs="Arial" w:eastAsia="Arial" w:hAnsi="Arial"/>
          <w:sz w:val="20"/>
          <w:szCs w:val="20"/>
          <w:color w:val="auto"/>
        </w:rPr>
      </w:pPr>
      <w:r>
        <w:rPr>
          <w:rFonts w:ascii="Arial" w:cs="Arial" w:eastAsia="Arial" w:hAnsi="Arial"/>
          <w:sz w:val="20"/>
          <w:szCs w:val="20"/>
          <w:color w:val="auto"/>
        </w:rPr>
        <w:t>You have read this Award Document and the Plan, including the Israeli Sub-Plan and trustee agreement if you are a local national of Israel and the SAFE requirements if you are a local national of the PRC, carefully and understand their terms including but not limited to the Restrictive Covenants herein. By indicating your acceptance of these terms, you are expressly accepting the terms and conditions of the Award, and the Company may rely on your acceptance.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Award</w:t>
      </w:r>
    </w:p>
    <w:p>
      <w:pPr>
        <w:spacing w:after="0"/>
        <w:rPr>
          <w:sz w:val="20"/>
          <w:szCs w:val="20"/>
          <w:color w:val="auto"/>
        </w:rPr>
      </w:pPr>
      <w:r>
        <w:rPr>
          <w:rFonts w:ascii="Arial" w:cs="Arial" w:eastAsia="Arial" w:hAnsi="Arial"/>
          <w:sz w:val="19"/>
          <w:szCs w:val="19"/>
          <w:color w:val="auto"/>
        </w:rPr>
        <w:t>To accept this Award, you will need to follow the link at the bottom of this page. Your electronic acceptance confirms the following:</w:t>
      </w:r>
    </w:p>
    <w:p>
      <w:pPr>
        <w:spacing w:after="0" w:line="209" w:lineRule="exact"/>
        <w:rPr>
          <w:sz w:val="20"/>
          <w:szCs w:val="20"/>
          <w:color w:val="auto"/>
        </w:rPr>
      </w:pPr>
    </w:p>
    <w:p>
      <w:pPr>
        <w:ind w:right="240"/>
        <w:spacing w:after="0" w:line="211"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these documents I irrevocably agree to:</w:t>
      </w:r>
    </w:p>
    <w:p>
      <w:pPr>
        <w:spacing w:after="0" w:line="1" w:lineRule="exact"/>
        <w:rPr>
          <w:sz w:val="20"/>
          <w:szCs w:val="20"/>
          <w:color w:val="auto"/>
        </w:rPr>
      </w:pPr>
    </w:p>
    <w:p>
      <w:pPr>
        <w:ind w:left="340" w:right="700" w:hanging="333"/>
        <w:spacing w:after="0" w:line="210" w:lineRule="auto"/>
        <w:tabs>
          <w:tab w:leader="none" w:pos="332" w:val="left"/>
        </w:tabs>
        <w:numPr>
          <w:ilvl w:val="0"/>
          <w:numId w:val="35"/>
        </w:numPr>
        <w:rPr>
          <w:rFonts w:ascii="Arial" w:cs="Arial" w:eastAsia="Arial" w:hAnsi="Arial"/>
          <w:sz w:val="20"/>
          <w:szCs w:val="20"/>
          <w:color w:val="auto"/>
        </w:rPr>
      </w:pPr>
      <w:r>
        <w:rPr>
          <w:rFonts w:ascii="Arial" w:cs="Arial" w:eastAsia="Arial" w:hAnsi="Arial"/>
          <w:sz w:val="20"/>
          <w:szCs w:val="20"/>
          <w:color w:val="auto"/>
        </w:rPr>
        <w:t>Accept the RSUs (and any Shares) that are issued by the Company to me in accordance with the terms of the Plan and this Award Document; and</w:t>
      </w:r>
    </w:p>
    <w:p>
      <w:pPr>
        <w:ind w:left="320" w:hanging="313"/>
        <w:spacing w:after="0"/>
        <w:tabs>
          <w:tab w:leader="none" w:pos="3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ectPr>
          <w:pgSz w:w="11900" w:h="16838" w:orient="portrait"/>
          <w:cols w:equalWidth="0" w:num="1">
            <w:col w:w="11220"/>
          </w:cols>
          <w:pgMar w:left="320" w:top="1238" w:right="359" w:bottom="1440" w:gutter="0" w:footer="0" w:header="0"/>
        </w:sectPr>
      </w:pPr>
    </w:p>
    <w:bookmarkStart w:id="57" w:name="page58"/>
    <w:bookmarkEnd w:id="57"/>
    <w:p>
      <w:pPr>
        <w:spacing w:after="0" w:line="235" w:lineRule="auto"/>
        <w:rPr>
          <w:sz w:val="20"/>
          <w:szCs w:val="20"/>
          <w:color w:val="auto"/>
        </w:rPr>
      </w:pPr>
      <w:r>
        <w:rPr>
          <w:rFonts w:ascii="Arial" w:cs="Arial" w:eastAsia="Arial" w:hAnsi="Arial"/>
          <w:sz w:val="20"/>
          <w:szCs w:val="20"/>
          <w:color w:val="auto"/>
        </w:rPr>
        <w:t>If you do not accept this Award by [Insert Grant Acceptance Date], this Award will lapse and be incapable of acceptance (unless otherwise agreed to by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Award or the Plan, contact [Insert Contact Information].</w:t>
      </w:r>
    </w:p>
    <w:p>
      <w:pPr>
        <w:sectPr>
          <w:pgSz w:w="11900" w:h="16838" w:orient="portrait"/>
          <w:cols w:equalWidth="0" w:num="1">
            <w:col w:w="10920"/>
          </w:cols>
          <w:pgMar w:left="320" w:top="996" w:right="6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50" w:lineRule="exact"/>
        <w:rPr>
          <w:sz w:val="20"/>
          <w:szCs w:val="20"/>
          <w:color w:val="auto"/>
        </w:rPr>
      </w:pPr>
    </w:p>
    <w:p>
      <w:pPr>
        <w:ind w:left="380" w:hanging="171"/>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49" w:lineRule="exact"/>
        <w:rPr>
          <w:rFonts w:ascii="Arial" w:cs="Arial" w:eastAsia="Arial" w:hAnsi="Arial"/>
          <w:sz w:val="18"/>
          <w:szCs w:val="18"/>
          <w:color w:val="auto"/>
        </w:rPr>
      </w:pPr>
    </w:p>
    <w:p>
      <w:pPr>
        <w:ind w:firstLine="209"/>
        <w:spacing w:after="0" w:line="339" w:lineRule="auto"/>
        <w:tabs>
          <w:tab w:leader="none" w:pos="397"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firstLine="209"/>
        <w:spacing w:after="0" w:line="275" w:lineRule="auto"/>
        <w:tabs>
          <w:tab w:leader="none" w:pos="3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09"/>
        <w:spacing w:after="0" w:line="262" w:lineRule="auto"/>
        <w:tabs>
          <w:tab w:leader="none" w:pos="4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78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81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80" w:firstLine="192"/>
        <w:spacing w:after="0" w:line="305" w:lineRule="auto"/>
        <w:tabs>
          <w:tab w:leader="none" w:pos="81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jc w:val="both"/>
        <w:ind w:left="380" w:firstLine="192"/>
        <w:spacing w:after="0" w:line="262" w:lineRule="auto"/>
        <w:tabs>
          <w:tab w:leader="none" w:pos="7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209"/>
        <w:spacing w:after="0" w:line="305" w:lineRule="auto"/>
        <w:tabs>
          <w:tab w:leader="none" w:pos="3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ind w:left="380" w:right="20" w:firstLine="192"/>
        <w:spacing w:after="0" w:line="275" w:lineRule="auto"/>
        <w:tabs>
          <w:tab w:leader="none" w:pos="776"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2"/>
        <w:spacing w:after="0" w:line="275" w:lineRule="auto"/>
        <w:tabs>
          <w:tab w:leader="none" w:pos="78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25768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5768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Mary T. Barra</w:t>
      </w:r>
    </w:p>
    <w:p>
      <w:pPr>
        <w:ind w:left="5620"/>
        <w:spacing w:after="0"/>
        <w:rPr>
          <w:sz w:val="20"/>
          <w:szCs w:val="20"/>
          <w:color w:val="auto"/>
        </w:rPr>
      </w:pPr>
      <w:r>
        <w:rPr>
          <w:rFonts w:ascii="Arial" w:cs="Arial" w:eastAsia="Arial" w:hAnsi="Arial"/>
          <w:sz w:val="18"/>
          <w:szCs w:val="18"/>
          <w:color w:val="auto"/>
        </w:rPr>
        <w:t>Chair and Chief Executive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October 24, 2023</w:t>
      </w:r>
    </w:p>
    <w:p>
      <w:pPr>
        <w:sectPr>
          <w:pgSz w:w="11900" w:h="16838" w:orient="portrait"/>
          <w:cols w:equalWidth="0" w:num="1">
            <w:col w:w="11240"/>
          </w:cols>
          <w:pgMar w:left="320" w:top="363"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 Paul A. Jacobson, certify that:</w:t>
      </w:r>
    </w:p>
    <w:p>
      <w:pPr>
        <w:spacing w:after="0" w:line="250" w:lineRule="exact"/>
        <w:rPr>
          <w:sz w:val="20"/>
          <w:szCs w:val="20"/>
          <w:color w:val="auto"/>
        </w:rPr>
      </w:pPr>
    </w:p>
    <w:p>
      <w:pPr>
        <w:ind w:left="380" w:hanging="171"/>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49" w:lineRule="exact"/>
        <w:rPr>
          <w:rFonts w:ascii="Arial" w:cs="Arial" w:eastAsia="Arial" w:hAnsi="Arial"/>
          <w:sz w:val="18"/>
          <w:szCs w:val="18"/>
          <w:color w:val="auto"/>
        </w:rPr>
      </w:pPr>
    </w:p>
    <w:p>
      <w:pPr>
        <w:ind w:firstLine="209"/>
        <w:spacing w:after="0" w:line="339" w:lineRule="auto"/>
        <w:tabs>
          <w:tab w:leader="none" w:pos="397"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firstLine="209"/>
        <w:spacing w:after="0" w:line="275" w:lineRule="auto"/>
        <w:tabs>
          <w:tab w:leader="none" w:pos="3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09"/>
        <w:spacing w:after="0" w:line="262" w:lineRule="auto"/>
        <w:tabs>
          <w:tab w:leader="none" w:pos="4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782"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81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80" w:firstLine="192"/>
        <w:spacing w:after="0" w:line="305" w:lineRule="auto"/>
        <w:tabs>
          <w:tab w:leader="none" w:pos="81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jc w:val="both"/>
        <w:ind w:left="380" w:firstLine="192"/>
        <w:spacing w:after="0" w:line="262" w:lineRule="auto"/>
        <w:tabs>
          <w:tab w:leader="none" w:pos="792"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209"/>
        <w:spacing w:after="0" w:line="305" w:lineRule="auto"/>
        <w:tabs>
          <w:tab w:leader="none" w:pos="39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ind w:left="380" w:right="20" w:firstLine="192"/>
        <w:spacing w:after="0" w:line="275" w:lineRule="auto"/>
        <w:tabs>
          <w:tab w:leader="none" w:pos="776"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2"/>
        <w:spacing w:after="0" w:line="275" w:lineRule="auto"/>
        <w:tabs>
          <w:tab w:leader="none" w:pos="78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13970</wp:posOffset>
            </wp:positionV>
            <wp:extent cx="32766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27660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Paul A. Jacobson</w:t>
      </w:r>
    </w:p>
    <w:p>
      <w:pPr>
        <w:ind w:left="560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October 24, 2023</w:t>
      </w:r>
    </w:p>
    <w:p>
      <w:pPr>
        <w:sectPr>
          <w:pgSz w:w="11900" w:h="16838" w:orient="portrait"/>
          <w:cols w:equalWidth="0" w:num="1">
            <w:col w:w="11240"/>
          </w:cols>
          <w:pgMar w:left="320" w:top="363"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jc w:val="both"/>
        <w:ind w:firstLine="202"/>
        <w:spacing w:after="0" w:line="284" w:lineRule="auto"/>
        <w:rPr>
          <w:sz w:val="20"/>
          <w:szCs w:val="20"/>
          <w:color w:val="auto"/>
        </w:rPr>
      </w:pPr>
      <w:r>
        <w:rPr>
          <w:rFonts w:ascii="Arial" w:cs="Arial" w:eastAsia="Arial" w:hAnsi="Arial"/>
          <w:sz w:val="17"/>
          <w:szCs w:val="17"/>
          <w:color w:val="auto"/>
        </w:rPr>
        <w:t>In connection with the Quarterly Report of General Motors Company (the “Company”) on Form 10-Q for the period ended September 30, 2023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93" w:lineRule="exact"/>
        <w:rPr>
          <w:sz w:val="20"/>
          <w:szCs w:val="20"/>
          <w:color w:val="auto"/>
        </w:rPr>
      </w:pPr>
    </w:p>
    <w:p>
      <w:pPr>
        <w:ind w:left="760" w:hanging="18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9" w:lineRule="exact"/>
        <w:rPr>
          <w:rFonts w:ascii="Arial" w:cs="Arial" w:eastAsia="Arial" w:hAnsi="Arial"/>
          <w:sz w:val="18"/>
          <w:szCs w:val="18"/>
          <w:color w:val="auto"/>
        </w:rPr>
      </w:pPr>
    </w:p>
    <w:p>
      <w:pPr>
        <w:ind w:left="760" w:hanging="188"/>
        <w:spacing w:after="0"/>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2937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Mary T. Barra</w:t>
      </w:r>
    </w:p>
    <w:p>
      <w:pPr>
        <w:ind w:left="5620"/>
        <w:spacing w:after="0"/>
        <w:rPr>
          <w:sz w:val="20"/>
          <w:szCs w:val="20"/>
          <w:color w:val="auto"/>
        </w:rPr>
      </w:pPr>
      <w:r>
        <w:rPr>
          <w:rFonts w:ascii="Arial" w:cs="Arial" w:eastAsia="Arial" w:hAnsi="Arial"/>
          <w:sz w:val="18"/>
          <w:szCs w:val="18"/>
          <w:color w:val="auto"/>
        </w:rPr>
        <w:t>Chair and Chief Executive Officer</w:t>
      </w:r>
    </w:p>
    <w:p>
      <w:pPr>
        <w:spacing w:after="0" w:line="200" w:lineRule="exact"/>
        <w:rPr>
          <w:sz w:val="20"/>
          <w:szCs w:val="20"/>
          <w:color w:val="auto"/>
        </w:rPr>
      </w:pP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2937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Paul A. Jacobson</w:t>
      </w: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1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October 24, 2023</w:t>
      </w:r>
    </w:p>
    <w:sectPr>
      <w:pgSz w:w="11900" w:h="16838" w:orient="portrait"/>
      <w:cols w:equalWidth="0" w:num="1">
        <w:col w:w="11240"/>
      </w:cols>
      <w:pgMar w:left="320" w:top="3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lowerLetter"/>
      <w:start w:val="1"/>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lowerLetter"/>
      <w:start w:val="1"/>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lowerLetter"/>
      <w:start w:val="1"/>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decimal"/>
      <w:start w:val="3"/>
    </w:lvl>
  </w:abstractNum>
  <w:abstractNum w:abstractNumId="22">
    <w:nsid w:val="1E7FF521"/>
    <w:multiLevelType w:val="hybridMultilevel"/>
    <w:lvl w:ilvl="0">
      <w:lvlJc w:val="left"/>
      <w:lvlText w:val="(%1)"/>
      <w:numFmt w:val="decimal"/>
      <w:start w:val="4"/>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8"/>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78" Type="http://schemas.openxmlformats.org/officeDocument/2006/relationships/hyperlink" Target="http://www.sec.gov/Archives/edgar/data/1467858/000119312510279214/dex32.htm" TargetMode="External"/><Relationship Id="rId79" Type="http://schemas.openxmlformats.org/officeDocument/2006/relationships/hyperlink" Target="https://www.sec.gov/Archives/edgar/data/1467858/000119312523110552/d415489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2023-10-24T14:47:58Z</dcterms:created>
  <dcterms:modified xsi:type="dcterms:W3CDTF">2023-10-24T14:47:58Z</dcterms:modified>
</cp:coreProperties>
</file>