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467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46735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Jacoby Stefan</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000"/>
        <w:spacing w:after="0" w:line="317" w:lineRule="auto"/>
        <w:rPr>
          <w:sz w:val="20"/>
          <w:szCs w:val="20"/>
          <w:color w:val="auto"/>
        </w:rPr>
      </w:pPr>
      <w:r>
        <w:rPr>
          <w:rFonts w:ascii="Arial" w:cs="Arial" w:eastAsia="Arial" w:hAnsi="Arial"/>
          <w:sz w:val="17"/>
          <w:szCs w:val="17"/>
          <w:color w:val="0000FF"/>
        </w:rPr>
        <w:t>300 RENAISSANCE CENTER M/C: 482-C23-D24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12/05/2017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6"/>
        <w:spacing w:after="0"/>
        <w:rPr>
          <w:sz w:val="20"/>
          <w:szCs w:val="20"/>
          <w:color w:val="auto"/>
        </w:rPr>
      </w:pPr>
      <w:r>
        <w:rPr>
          <w:rFonts w:ascii="Arial" w:cs="Arial" w:eastAsia="Arial" w:hAnsi="Arial"/>
          <w:sz w:val="17"/>
          <w:szCs w:val="17"/>
          <w:color w:val="0000FF"/>
        </w:rPr>
        <w:t>Executive Vice President</w:t>
      </w:r>
    </w:p>
    <w:p>
      <w:pPr>
        <w:spacing w:after="0" w:line="456"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20" w:type="dxa"/>
            <w:vAlign w:val="bottom"/>
            <w:gridSpan w:val="6"/>
          </w:tcPr>
          <w:p>
            <w:pPr>
              <w:jc w:val="center"/>
              <w:ind w:right="34"/>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2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4380" w:type="dxa"/>
            <w:vAlign w:val="bottom"/>
            <w:tcBorders>
              <w:bottom w:val="single" w:sz="8" w:color="2C2C2C"/>
            </w:tcBorders>
            <w:gridSpan w:val="7"/>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3"/>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72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10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0" w:type="dxa"/>
            <w:vAlign w:val="bottom"/>
            <w:gridSpan w:val="3"/>
          </w:tcPr>
          <w:p>
            <w:pPr>
              <w:ind w:left="720"/>
              <w:spacing w:after="0" w:line="134"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800" w:type="dxa"/>
            <w:vAlign w:val="bottom"/>
            <w:gridSpan w:val="3"/>
          </w:tcPr>
          <w:p>
            <w:pPr>
              <w:ind w:left="820"/>
              <w:spacing w:after="0"/>
              <w:rPr>
                <w:sz w:val="20"/>
                <w:szCs w:val="20"/>
                <w:color w:val="auto"/>
              </w:rPr>
            </w:pPr>
            <w:r>
              <w:rPr>
                <w:rFonts w:ascii="Arial" w:cs="Arial" w:eastAsia="Arial" w:hAnsi="Arial"/>
                <w:sz w:val="17"/>
                <w:szCs w:val="17"/>
                <w:color w:val="0000FF"/>
              </w:rPr>
              <w:t>12/05/2017</w:t>
            </w: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80" w:type="dxa"/>
            <w:vAlign w:val="bottom"/>
          </w:tcPr>
          <w:p>
            <w:pPr>
              <w:jc w:val="center"/>
              <w:ind w:right="279"/>
              <w:spacing w:after="0"/>
              <w:rPr>
                <w:sz w:val="20"/>
                <w:szCs w:val="20"/>
                <w:color w:val="auto"/>
              </w:rPr>
            </w:pPr>
            <w:r>
              <w:rPr>
                <w:rFonts w:ascii="Arial" w:cs="Arial" w:eastAsia="Arial" w:hAnsi="Arial"/>
                <w:sz w:val="13"/>
                <w:szCs w:val="13"/>
                <w:color w:val="0000FF"/>
              </w:rPr>
              <w:t>M</w:t>
            </w:r>
          </w:p>
        </w:tc>
        <w:tc>
          <w:tcPr>
            <w:tcW w:w="780" w:type="dxa"/>
            <w:vAlign w:val="bottom"/>
          </w:tcPr>
          <w:p>
            <w:pPr>
              <w:jc w:val="right"/>
              <w:ind w:right="12"/>
              <w:spacing w:after="0"/>
              <w:rPr>
                <w:sz w:val="20"/>
                <w:szCs w:val="20"/>
                <w:color w:val="auto"/>
              </w:rPr>
            </w:pPr>
            <w:r>
              <w:rPr>
                <w:rFonts w:ascii="Arial" w:cs="Arial" w:eastAsia="Arial" w:hAnsi="Arial"/>
                <w:sz w:val="17"/>
                <w:szCs w:val="17"/>
                <w:color w:val="0000FF"/>
              </w:rPr>
              <w:t>37,961</w:t>
            </w:r>
          </w:p>
        </w:tc>
        <w:tc>
          <w:tcPr>
            <w:tcW w:w="660" w:type="dxa"/>
            <w:vAlign w:val="bottom"/>
          </w:tcPr>
          <w:p>
            <w:pPr>
              <w:jc w:val="right"/>
              <w:ind w:right="154"/>
              <w:spacing w:after="0"/>
              <w:rPr>
                <w:sz w:val="20"/>
                <w:szCs w:val="20"/>
                <w:color w:val="auto"/>
              </w:rPr>
            </w:pPr>
            <w:r>
              <w:rPr>
                <w:rFonts w:ascii="Arial" w:cs="Arial" w:eastAsia="Arial" w:hAnsi="Arial"/>
                <w:sz w:val="17"/>
                <w:szCs w:val="17"/>
                <w:color w:val="0000FF"/>
              </w:rPr>
              <w:t>A</w:t>
            </w:r>
          </w:p>
        </w:tc>
        <w:tc>
          <w:tcPr>
            <w:tcW w:w="62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31.32</w:t>
            </w:r>
          </w:p>
        </w:tc>
        <w:tc>
          <w:tcPr>
            <w:tcW w:w="120" w:type="dxa"/>
            <w:vAlign w:val="bottom"/>
          </w:tcPr>
          <w:p>
            <w:pPr>
              <w:spacing w:after="0"/>
              <w:rPr>
                <w:sz w:val="23"/>
                <w:szCs w:val="23"/>
                <w:color w:val="auto"/>
              </w:rPr>
            </w:pPr>
          </w:p>
        </w:tc>
        <w:tc>
          <w:tcPr>
            <w:tcW w:w="1220" w:type="dxa"/>
            <w:vAlign w:val="bottom"/>
            <w:gridSpan w:val="2"/>
          </w:tcPr>
          <w:p>
            <w:pPr>
              <w:ind w:left="340"/>
              <w:spacing w:after="0"/>
              <w:rPr>
                <w:sz w:val="20"/>
                <w:szCs w:val="20"/>
                <w:color w:val="auto"/>
              </w:rPr>
            </w:pPr>
            <w:r>
              <w:rPr>
                <w:rFonts w:ascii="Arial" w:cs="Arial" w:eastAsia="Arial" w:hAnsi="Arial"/>
                <w:sz w:val="17"/>
                <w:szCs w:val="17"/>
                <w:color w:val="0000FF"/>
              </w:rPr>
              <w:t>98,340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20"/>
              <w:spacing w:after="0"/>
              <w:rPr>
                <w:sz w:val="20"/>
                <w:szCs w:val="20"/>
                <w:color w:val="auto"/>
              </w:rPr>
            </w:pPr>
            <w:r>
              <w:rPr>
                <w:rFonts w:ascii="Arial" w:cs="Arial" w:eastAsia="Arial" w:hAnsi="Arial"/>
                <w:sz w:val="17"/>
                <w:szCs w:val="17"/>
                <w:color w:val="0000FF"/>
              </w:rPr>
              <w:t>12/05/2017</w:t>
            </w:r>
          </w:p>
        </w:tc>
        <w:tc>
          <w:tcPr>
            <w:tcW w:w="2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Arial" w:cs="Arial" w:eastAsia="Arial" w:hAnsi="Arial"/>
                <w:sz w:val="12"/>
                <w:szCs w:val="12"/>
                <w:color w:val="0000FF"/>
                <w:w w:val="74"/>
              </w:rPr>
              <w:t>S</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37,961</w:t>
            </w:r>
            <w:r>
              <w:rPr>
                <w:rFonts w:ascii="Arial" w:cs="Arial" w:eastAsia="Arial" w:hAnsi="Arial"/>
                <w:sz w:val="22"/>
                <w:szCs w:val="22"/>
                <w:color w:val="008000"/>
                <w:vertAlign w:val="superscript"/>
              </w:rPr>
              <w:t>(1)</w:t>
            </w:r>
          </w:p>
        </w:tc>
        <w:tc>
          <w:tcPr>
            <w:tcW w:w="660" w:type="dxa"/>
            <w:vAlign w:val="bottom"/>
            <w:tcBorders>
              <w:bottom w:val="single" w:sz="8" w:color="2C2C2C"/>
            </w:tcBorders>
          </w:tcPr>
          <w:p>
            <w:pPr>
              <w:jc w:val="right"/>
              <w:ind w:right="154"/>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42.87</w:t>
            </w:r>
            <w:r>
              <w:rPr>
                <w:rFonts w:ascii="Arial" w:cs="Arial" w:eastAsia="Arial" w:hAnsi="Arial"/>
                <w:sz w:val="22"/>
                <w:szCs w:val="22"/>
                <w:color w:val="008000"/>
                <w:w w:val="91"/>
                <w:vertAlign w:val="superscript"/>
              </w:rPr>
              <w:t>(2)</w:t>
            </w:r>
          </w:p>
        </w:tc>
        <w:tc>
          <w:tcPr>
            <w:tcW w:w="122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60,379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jc w:val="center"/>
              <w:ind w:right="94"/>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40" w:type="dxa"/>
            <w:vAlign w:val="bottom"/>
            <w:gridSpan w:val="10"/>
          </w:tcPr>
          <w:p>
            <w:pPr>
              <w:jc w:val="center"/>
              <w:ind w:left="48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80" w:type="dxa"/>
            <w:vAlign w:val="bottom"/>
            <w:vMerge w:val="restart"/>
          </w:tcPr>
          <w:p>
            <w:pPr>
              <w:ind w:left="280"/>
              <w:spacing w:after="0"/>
              <w:rPr>
                <w:sz w:val="20"/>
                <w:szCs w:val="20"/>
                <w:color w:val="auto"/>
              </w:rPr>
            </w:pPr>
            <w:r>
              <w:rPr>
                <w:rFonts w:ascii="Arial" w:cs="Arial" w:eastAsia="Arial" w:hAnsi="Arial"/>
                <w:sz w:val="11"/>
                <w:szCs w:val="11"/>
                <w:color w:val="008000"/>
              </w:rPr>
              <w:t>(3)</w:t>
            </w:r>
          </w:p>
        </w:tc>
        <w:tc>
          <w:tcPr>
            <w:tcW w:w="780" w:type="dxa"/>
            <w:vAlign w:val="bottom"/>
          </w:tcPr>
          <w:p>
            <w:pPr>
              <w:spacing w:after="0"/>
              <w:rPr>
                <w:sz w:val="12"/>
                <w:szCs w:val="12"/>
                <w:color w:val="auto"/>
              </w:rPr>
            </w:pPr>
          </w:p>
        </w:tc>
        <w:tc>
          <w:tcPr>
            <w:tcW w:w="66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37,961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31.32</w:t>
            </w:r>
          </w:p>
        </w:tc>
        <w:tc>
          <w:tcPr>
            <w:tcW w:w="220" w:type="dxa"/>
            <w:vAlign w:val="bottom"/>
          </w:tcPr>
          <w:p>
            <w:pPr>
              <w:spacing w:after="0"/>
              <w:rPr>
                <w:sz w:val="11"/>
                <w:szCs w:val="11"/>
                <w:color w:val="auto"/>
              </w:rPr>
            </w:pPr>
          </w:p>
        </w:tc>
        <w:tc>
          <w:tcPr>
            <w:tcW w:w="1000" w:type="dxa"/>
            <w:vAlign w:val="bottom"/>
          </w:tcPr>
          <w:p>
            <w:pPr>
              <w:ind w:left="180"/>
              <w:spacing w:after="0" w:line="132" w:lineRule="exact"/>
              <w:rPr>
                <w:sz w:val="20"/>
                <w:szCs w:val="20"/>
                <w:color w:val="auto"/>
              </w:rPr>
            </w:pPr>
            <w:r>
              <w:rPr>
                <w:rFonts w:ascii="Arial" w:cs="Arial" w:eastAsia="Arial" w:hAnsi="Arial"/>
                <w:sz w:val="13"/>
                <w:szCs w:val="13"/>
                <w:color w:val="0000FF"/>
              </w:rPr>
              <w:t>12/05/2017</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ind w:left="40"/>
              <w:spacing w:after="0" w:line="132" w:lineRule="exact"/>
              <w:rPr>
                <w:sz w:val="20"/>
                <w:szCs w:val="20"/>
                <w:color w:val="auto"/>
              </w:rPr>
            </w:pPr>
            <w:r>
              <w:rPr>
                <w:rFonts w:ascii="Arial" w:cs="Arial" w:eastAsia="Arial" w:hAnsi="Arial"/>
                <w:sz w:val="13"/>
                <w:szCs w:val="13"/>
                <w:color w:val="0000FF"/>
              </w:rPr>
              <w:t>M</w:t>
            </w:r>
          </w:p>
        </w:tc>
        <w:tc>
          <w:tcPr>
            <w:tcW w:w="220" w:type="dxa"/>
            <w:vAlign w:val="bottom"/>
          </w:tcPr>
          <w:p>
            <w:pPr>
              <w:spacing w:after="0"/>
              <w:rPr>
                <w:sz w:val="11"/>
                <w:szCs w:val="11"/>
                <w:color w:val="auto"/>
              </w:rPr>
            </w:pPr>
          </w:p>
        </w:tc>
        <w:tc>
          <w:tcPr>
            <w:tcW w:w="880" w:type="dxa"/>
            <w:vAlign w:val="bottom"/>
          </w:tcPr>
          <w:p>
            <w:pPr>
              <w:ind w:left="380"/>
              <w:spacing w:after="0" w:line="132" w:lineRule="exact"/>
              <w:rPr>
                <w:sz w:val="20"/>
                <w:szCs w:val="20"/>
                <w:color w:val="auto"/>
              </w:rPr>
            </w:pPr>
            <w:r>
              <w:rPr>
                <w:rFonts w:ascii="Arial" w:cs="Arial" w:eastAsia="Arial" w:hAnsi="Arial"/>
                <w:sz w:val="13"/>
                <w:szCs w:val="13"/>
                <w:color w:val="0000FF"/>
              </w:rPr>
              <w:t>37,961</w:t>
            </w:r>
          </w:p>
        </w:tc>
        <w:tc>
          <w:tcPr>
            <w:tcW w:w="780" w:type="dxa"/>
            <w:vAlign w:val="bottom"/>
            <w:vMerge w:val="continue"/>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3"/>
                <w:szCs w:val="13"/>
                <w:color w:val="0000FF"/>
              </w:rPr>
              <w:t>07/28/2025</w:t>
            </w:r>
          </w:p>
        </w:tc>
        <w:tc>
          <w:tcPr>
            <w:tcW w:w="66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ind w:left="12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00"/>
              <w:spacing w:after="0" w:line="132" w:lineRule="exact"/>
              <w:rPr>
                <w:sz w:val="20"/>
                <w:szCs w:val="20"/>
                <w:color w:val="auto"/>
              </w:rPr>
            </w:pPr>
            <w:r>
              <w:rPr>
                <w:rFonts w:ascii="Arial" w:cs="Arial" w:eastAsia="Arial" w:hAnsi="Arial"/>
                <w:sz w:val="13"/>
                <w:szCs w:val="13"/>
                <w:color w:val="0000FF"/>
              </w:rPr>
              <w:t>531,454</w:t>
            </w: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jc w:val="right"/>
              <w:ind w:right="174"/>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 adopted by the Reporting Person in November 2017.</w:t>
      </w:r>
    </w:p>
    <w:p>
      <w:pPr>
        <w:spacing w:after="0" w:line="51" w:lineRule="exact"/>
        <w:rPr>
          <w:rFonts w:ascii="Arial" w:cs="Arial" w:eastAsia="Arial" w:hAnsi="Arial"/>
          <w:sz w:val="13"/>
          <w:szCs w:val="13"/>
          <w:color w:val="008000"/>
        </w:rPr>
      </w:pPr>
    </w:p>
    <w:p>
      <w:pPr>
        <w:ind w:left="40" w:right="2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the weighted average selling price of the shares. The shares were sold in multiple transactions at prices from $42.60 to $43.06, inclusive. The Reporting Person undertakes to provide to the SEC, GM and any security holder, upon request, full information regarding the number of shares sold at each price point within the ranges set forth in this footnote.</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stock options were granted on July 28, 2015 under the 2014 Long-Term Incentive Plan and vested on February 15, 2017.</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Tia Y. Turk, Attorney-In-</w:t>
            </w:r>
          </w:p>
        </w:tc>
        <w:tc>
          <w:tcPr>
            <w:tcW w:w="3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12/07/2017</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 for Mr. Jacoby</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6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8355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2019-12-04T02:01:34Z</dcterms:created>
  <dcterms:modified xsi:type="dcterms:W3CDTF">2019-12-04T02:01:34Z</dcterms:modified>
</cp:coreProperties>
</file>