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621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216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Vice President &amp; GC</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3"/>
              </w:rPr>
              <w:t>1,866</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ind w:left="16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9"/>
              </w:rPr>
              <w:t>1,189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977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91"/>
              </w:rPr>
              <w:t>677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1,866</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1,866</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3,732</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27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6,508</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1" w:lineRule="exact"/>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6,508</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6,508</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21" w:lineRule="exact"/>
        <w:rPr>
          <w:rFonts w:ascii="Arial" w:cs="Arial" w:eastAsia="Arial" w:hAnsi="Arial"/>
          <w:sz w:val="13"/>
          <w:szCs w:val="13"/>
          <w:color w:val="008000"/>
        </w:rPr>
      </w:pPr>
    </w:p>
    <w:p>
      <w:pPr>
        <w:ind w:left="40" w:right="160" w:firstLine="5"/>
        <w:spacing w:after="0" w:line="30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December 31, 2009 the employee received a grant of 1,866 SSUs, of which 622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5,598 SSUs granted on December 31, 2009, of which 1,866 SSUs became payable on December 31, 2010.</w:t>
      </w:r>
    </w:p>
    <w:p>
      <w:pPr>
        <w:spacing w:after="0" w:line="1" w:lineRule="exact"/>
        <w:rPr>
          <w:rFonts w:ascii="Arial" w:cs="Arial" w:eastAsia="Arial" w:hAnsi="Arial"/>
          <w:sz w:val="11"/>
          <w:szCs w:val="11"/>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30" w:lineRule="exact"/>
        <w:rPr>
          <w:rFonts w:ascii="Arial" w:cs="Arial" w:eastAsia="Arial" w:hAnsi="Arial"/>
          <w:sz w:val="13"/>
          <w:szCs w:val="13"/>
          <w:color w:val="008000"/>
        </w:rPr>
      </w:pPr>
    </w:p>
    <w:p>
      <w:pPr>
        <w:ind w:left="40" w:right="260" w:firstLine="5"/>
        <w:spacing w:after="0" w:line="23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fact for Mr. Millikin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2019-12-17T00:40:32Z</dcterms:created>
  <dcterms:modified xsi:type="dcterms:W3CDTF">2019-12-17T00:40:32Z</dcterms:modified>
</cp:coreProperties>
</file>