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September 5, 2018 to the Prospectus dated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7, 2017. Registration Statement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 333-215924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as of September 5,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Floating Rate Senior Notes due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5.000% Senior Notes due 2028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5.950% Senior Notes due 2049</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i w:val="1"/>
          <w:iCs w:val="1"/>
          <w:color w:val="auto"/>
        </w:rPr>
        <w:t>The information in this pricing term sheet relates only to the offering of the Notes and should be read together with the preliminary prospectus supplement of General Motors Company dated September 5, 2018 (the “Preliminary Prospectus Supplement”) to its prospectus dated February 7, 2017,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140335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w w:val="87"/>
              </w:rPr>
              <w:t>Terms Applicable to the Notes</w:t>
            </w:r>
          </w:p>
        </w:tc>
      </w:tr>
      <w:tr>
        <w:trPr>
          <w:trHeight w:val="459"/>
        </w:trPr>
        <w:tc>
          <w:tcPr>
            <w:tcW w:w="26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General Motors Company</w:t>
            </w: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September 5, 2018</w:t>
            </w: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September 10, 2018 (T+3)*</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w w:val="96"/>
              </w:rPr>
              <w:t>Joint Book-Running Managers:</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Barclays Capital Inc.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Deutsche Bank Securities Inc.</w:t>
            </w:r>
          </w:p>
        </w:tc>
      </w:tr>
      <w:tr>
        <w:trPr>
          <w:trHeight w:val="230"/>
        </w:trPr>
        <w:tc>
          <w:tcPr>
            <w:tcW w:w="2600" w:type="dxa"/>
            <w:vAlign w:val="bottom"/>
          </w:tcPr>
          <w:p>
            <w:pPr>
              <w:spacing w:after="0"/>
              <w:rPr>
                <w:sz w:val="20"/>
                <w:szCs w:val="20"/>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SG Americas Securities, LLC</w:t>
            </w:r>
          </w:p>
        </w:tc>
      </w:tr>
      <w:tr>
        <w:trPr>
          <w:trHeight w:val="323"/>
        </w:trPr>
        <w:tc>
          <w:tcPr>
            <w:tcW w:w="2600" w:type="dxa"/>
            <w:vAlign w:val="bottom"/>
          </w:tcPr>
          <w:p>
            <w:pPr>
              <w:spacing w:after="0"/>
              <w:rPr>
                <w:sz w:val="20"/>
                <w:szCs w:val="20"/>
                <w:color w:val="auto"/>
              </w:rPr>
            </w:pPr>
            <w:r>
              <w:rPr>
                <w:rFonts w:ascii="Arial" w:cs="Arial" w:eastAsia="Arial" w:hAnsi="Arial"/>
                <w:sz w:val="18"/>
                <w:szCs w:val="18"/>
                <w:b w:val="1"/>
                <w:bCs w:val="1"/>
                <w:color w:val="auto"/>
              </w:rPr>
              <w:t>Joint Lead Managers:</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J.P. Morgan Securities LLC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100"/>
              <w:spacing w:after="0"/>
              <w:rPr>
                <w:sz w:val="20"/>
                <w:szCs w:val="20"/>
                <w:color w:val="auto"/>
              </w:rPr>
            </w:pPr>
            <w:r>
              <w:rPr>
                <w:rFonts w:ascii="Arial" w:cs="Arial" w:eastAsia="Arial" w:hAnsi="Arial"/>
                <w:sz w:val="18"/>
                <w:szCs w:val="18"/>
                <w:color w:val="auto"/>
              </w:rPr>
              <w:t>Incorporated</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Commerz Markets LLC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Goldman Sachs &amp; Co. LLC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ICBC Standard Bank Plc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Lloyds Securities Inc.</w:t>
            </w:r>
          </w:p>
        </w:tc>
      </w:tr>
      <w:tr>
        <w:trPr>
          <w:trHeight w:val="230"/>
        </w:trPr>
        <w:tc>
          <w:tcPr>
            <w:tcW w:w="2600" w:type="dxa"/>
            <w:vAlign w:val="bottom"/>
          </w:tcPr>
          <w:p>
            <w:pPr>
              <w:spacing w:after="0"/>
              <w:rPr>
                <w:sz w:val="20"/>
                <w:szCs w:val="20"/>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Morgan Stanley &amp; Co. LLC</w:t>
            </w:r>
          </w:p>
        </w:tc>
      </w:tr>
      <w:tr>
        <w:trPr>
          <w:trHeight w:val="323"/>
        </w:trPr>
        <w:tc>
          <w:tcPr>
            <w:tcW w:w="260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BBVA Securities Inc.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Mizuho Securities USA LLC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NatWest Markets Securities Inc.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UniCredit Capital Markets LLC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RBC Capital Markets, LLC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Santander Investment Securities Inc.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Academy Securities, Inc.</w:t>
            </w:r>
          </w:p>
        </w:tc>
      </w:tr>
      <w:tr>
        <w:trPr>
          <w:trHeight w:val="216"/>
        </w:trPr>
        <w:tc>
          <w:tcPr>
            <w:tcW w:w="26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Guzman &amp; Company</w:t>
            </w:r>
          </w:p>
        </w:tc>
      </w:tr>
      <w:tr>
        <w:trPr>
          <w:trHeight w:val="230"/>
        </w:trPr>
        <w:tc>
          <w:tcPr>
            <w:tcW w:w="2600" w:type="dxa"/>
            <w:vAlign w:val="bottom"/>
          </w:tcPr>
          <w:p>
            <w:pPr>
              <w:spacing w:after="0"/>
              <w:rPr>
                <w:sz w:val="20"/>
                <w:szCs w:val="20"/>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Siebert Cisneros Shank &amp; Co., L.L.C.</w:t>
            </w:r>
          </w:p>
        </w:tc>
      </w:tr>
      <w:tr>
        <w:trPr>
          <w:trHeight w:val="378"/>
        </w:trPr>
        <w:tc>
          <w:tcPr>
            <w:tcW w:w="2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33" w:right="439" w:bottom="1440" w:gutter="0" w:footer="0" w:header="0"/>
        </w:sectPr>
      </w:pPr>
    </w:p>
    <w:bookmarkStart w:id="1" w:name="page2"/>
    <w:bookmarkEnd w:id="1"/>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Applicable to the</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Floating Rate Senior Notes due 2021</w:t>
      </w:r>
    </w:p>
    <w:p>
      <w:pPr>
        <w:sectPr>
          <w:pgSz w:w="11900" w:h="16838" w:orient="portrait"/>
          <w:cols w:equalWidth="0" w:num="1">
            <w:col w:w="10580"/>
          </w:cols>
          <w:pgMar w:left="440" w:top="270" w:right="87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LIBOR: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Determination: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Reset 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Interest Reset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Ratings**: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Floating Rate Senior Notes due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$450,000,000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100.000%, plus accrued and unpaid interest, if any, from September 10,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Three-month LIBOR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+ 90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10, June 10, September 10 and December 10, beginning December 10, 2018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Three-month LIBOR, determined as of two London business days prior to the settlement date or the relevant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reset date, as applicable, plus 0.900% per annum</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Quarterly on March 10, June 10, September 10 and December 10, commencing on December 10,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Period from and including September 10, 2018 to but excluding the first interest reset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Actual / 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notes shall not be redeemable prior to their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15 calendar days prior to each interest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Baa3 by Moody’s Investors Service,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BBB by Standard &amp; Poor’s Ratings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BBB by Fitch Ratings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37045V AR1 / US37045VAR15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238125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540"/>
            <w:col w:w="7820"/>
          </w:cols>
          <w:pgMar w:left="440" w:top="270" w:right="879" w:bottom="1440" w:gutter="0" w:footer="0" w:header="0"/>
          <w:type w:val="continuous"/>
        </w:sectPr>
      </w:pPr>
    </w:p>
    <w:p>
      <w:pPr>
        <w:spacing w:after="0" w:line="27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Terms Applicable to the</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5.000% Senior Notes due 2028</w:t>
      </w:r>
    </w:p>
    <w:p>
      <w:pPr>
        <w:sectPr>
          <w:pgSz w:w="11900" w:h="16838" w:orient="portrait"/>
          <w:cols w:equalWidth="0" w:num="1">
            <w:col w:w="10580"/>
          </w:cols>
          <w:pgMar w:left="440" w:top="270" w:right="879" w:bottom="1440" w:gutter="0" w:footer="0" w:header="0"/>
          <w:type w:val="continuous"/>
        </w:sect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Amount: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5.000% Senior Notes due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99.965%, plus accrued and unpaid interest, if any, from September 10, 2018</w:t>
      </w:r>
    </w:p>
    <w:p>
      <w:pPr>
        <w:spacing w:after="0" w:line="18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2080" w:space="720"/>
            <w:col w:w="7780"/>
          </w:cols>
          <w:pgMar w:left="440" w:top="270" w:right="8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October 1, 2028</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Coupon (Interest Rate):</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5.000% per year</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1740" w:type="dxa"/>
            <w:vAlign w:val="bottom"/>
          </w:tcPr>
          <w:p>
            <w:pPr>
              <w:ind w:left="180"/>
              <w:spacing w:after="0"/>
              <w:rPr>
                <w:sz w:val="20"/>
                <w:szCs w:val="20"/>
                <w:color w:val="auto"/>
              </w:rPr>
            </w:pPr>
            <w:r>
              <w:rPr>
                <w:rFonts w:ascii="Arial" w:cs="Arial" w:eastAsia="Arial" w:hAnsi="Arial"/>
                <w:sz w:val="18"/>
                <w:szCs w:val="18"/>
                <w:color w:val="auto"/>
              </w:rPr>
              <w:t>5.004%</w:t>
            </w: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w w:val="95"/>
              </w:rPr>
              <w:t>Spread to Benchmark Treasury:</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+ 210 bps</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2.875% due August 15, 2028</w:t>
            </w:r>
          </w:p>
        </w:tc>
      </w:tr>
      <w:tr>
        <w:trPr>
          <w:trHeight w:val="306"/>
        </w:trPr>
        <w:tc>
          <w:tcPr>
            <w:tcW w:w="2620" w:type="dxa"/>
            <w:vAlign w:val="bottom"/>
          </w:tcPr>
          <w:p>
            <w:pPr>
              <w:spacing w:after="0"/>
              <w:rPr>
                <w:sz w:val="20"/>
                <w:szCs w:val="20"/>
                <w:color w:val="auto"/>
              </w:rPr>
            </w:pPr>
            <w:r>
              <w:rPr>
                <w:rFonts w:ascii="Arial" w:cs="Arial" w:eastAsia="Arial" w:hAnsi="Arial"/>
                <w:sz w:val="18"/>
                <w:szCs w:val="18"/>
                <w:b w:val="1"/>
                <w:bCs w:val="1"/>
                <w:color w:val="auto"/>
                <w:w w:val="98"/>
              </w:rPr>
              <w:t>Benchmark Treasury Price and</w:t>
            </w:r>
          </w:p>
        </w:tc>
        <w:tc>
          <w:tcPr>
            <w:tcW w:w="1740" w:type="dxa"/>
            <w:vAlign w:val="bottom"/>
          </w:tcPr>
          <w:p>
            <w:pPr>
              <w:ind w:left="180"/>
              <w:spacing w:after="0"/>
              <w:rPr>
                <w:sz w:val="20"/>
                <w:szCs w:val="20"/>
                <w:color w:val="auto"/>
              </w:rPr>
            </w:pPr>
            <w:r>
              <w:rPr>
                <w:rFonts w:ascii="Arial" w:cs="Arial" w:eastAsia="Arial" w:hAnsi="Arial"/>
                <w:sz w:val="18"/>
                <w:szCs w:val="18"/>
                <w:color w:val="auto"/>
              </w:rPr>
              <w:t>99-24; 2.904%</w:t>
            </w: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Yield:</w:t>
            </w:r>
          </w:p>
        </w:tc>
        <w:tc>
          <w:tcPr>
            <w:tcW w:w="1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April 1 and October 1, beginning April 1, 2019</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March 15 and September 15</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1740" w:type="dxa"/>
            <w:vAlign w:val="bottom"/>
          </w:tcPr>
          <w:p>
            <w:pPr>
              <w:ind w:left="180"/>
              <w:spacing w:after="0"/>
              <w:rPr>
                <w:sz w:val="20"/>
                <w:szCs w:val="20"/>
                <w:color w:val="auto"/>
              </w:rPr>
            </w:pPr>
            <w:r>
              <w:rPr>
                <w:rFonts w:ascii="Arial" w:cs="Arial" w:eastAsia="Arial" w:hAnsi="Arial"/>
                <w:sz w:val="18"/>
                <w:szCs w:val="18"/>
                <w:color w:val="auto"/>
              </w:rPr>
              <w:t>30 / 360</w:t>
            </w: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T+35 bps prior to July 1, 2028</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Par Call:</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On or after July 1, 2028</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10"/>
        </w:trPr>
        <w:tc>
          <w:tcPr>
            <w:tcW w:w="262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Baa3 by Moody’s Investors Service, Inc.</w:t>
            </w:r>
          </w:p>
        </w:tc>
      </w:tr>
      <w:tr>
        <w:trPr>
          <w:trHeight w:val="216"/>
        </w:trPr>
        <w:tc>
          <w:tcPr>
            <w:tcW w:w="2620" w:type="dxa"/>
            <w:vAlign w:val="bottom"/>
          </w:tcPr>
          <w:p>
            <w:pPr>
              <w:spacing w:after="0"/>
              <w:rPr>
                <w:sz w:val="18"/>
                <w:szCs w:val="18"/>
                <w:color w:val="auto"/>
              </w:rPr>
            </w:pP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BBB by Standard &amp; Poor’s Ratings Services</w:t>
            </w:r>
          </w:p>
        </w:tc>
      </w:tr>
      <w:tr>
        <w:trPr>
          <w:trHeight w:val="230"/>
        </w:trPr>
        <w:tc>
          <w:tcPr>
            <w:tcW w:w="2620" w:type="dxa"/>
            <w:vAlign w:val="bottom"/>
          </w:tcPr>
          <w:p>
            <w:pPr>
              <w:spacing w:after="0"/>
              <w:rPr>
                <w:sz w:val="20"/>
                <w:szCs w:val="20"/>
                <w:color w:val="auto"/>
              </w:rPr>
            </w:pP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BBB by Fitch Ratings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5620" w:type="dxa"/>
            <w:vAlign w:val="bottom"/>
            <w:gridSpan w:val="3"/>
          </w:tcPr>
          <w:p>
            <w:pPr>
              <w:ind w:left="180"/>
              <w:spacing w:after="0"/>
              <w:rPr>
                <w:sz w:val="20"/>
                <w:szCs w:val="20"/>
                <w:color w:val="auto"/>
              </w:rPr>
            </w:pPr>
            <w:r>
              <w:rPr>
                <w:rFonts w:ascii="Arial" w:cs="Arial" w:eastAsia="Arial" w:hAnsi="Arial"/>
                <w:sz w:val="18"/>
                <w:szCs w:val="18"/>
                <w:color w:val="auto"/>
              </w:rPr>
              <w:t>37045V AS9 / US37045VAS97</w:t>
            </w:r>
          </w:p>
        </w:tc>
      </w:tr>
      <w:tr>
        <w:trPr>
          <w:trHeight w:val="351"/>
        </w:trPr>
        <w:tc>
          <w:tcPr>
            <w:tcW w:w="2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407"/>
        </w:trPr>
        <w:tc>
          <w:tcPr>
            <w:tcW w:w="2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8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2620" w:type="dxa"/>
            <w:vAlign w:val="bottom"/>
          </w:tcPr>
          <w:p>
            <w:pPr>
              <w:spacing w:after="0"/>
              <w:rPr>
                <w:sz w:val="20"/>
                <w:szCs w:val="20"/>
                <w:color w:val="auto"/>
              </w:rPr>
            </w:pPr>
          </w:p>
        </w:tc>
        <w:tc>
          <w:tcPr>
            <w:tcW w:w="56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5.950% Senior Notes due 2049</w:t>
            </w:r>
          </w:p>
        </w:tc>
      </w:tr>
      <w:tr>
        <w:trPr>
          <w:trHeight w:val="567"/>
        </w:trPr>
        <w:tc>
          <w:tcPr>
            <w:tcW w:w="262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5.950% Senior Notes due 2049</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Senior Unsecured Notes</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1740" w:type="dxa"/>
            <w:vAlign w:val="bottom"/>
          </w:tcPr>
          <w:p>
            <w:pPr>
              <w:ind w:left="140"/>
              <w:spacing w:after="0"/>
              <w:rPr>
                <w:sz w:val="20"/>
                <w:szCs w:val="20"/>
                <w:color w:val="auto"/>
              </w:rPr>
            </w:pPr>
            <w:r>
              <w:rPr>
                <w:rFonts w:ascii="Arial" w:cs="Arial" w:eastAsia="Arial" w:hAnsi="Arial"/>
                <w:sz w:val="18"/>
                <w:szCs w:val="18"/>
                <w:color w:val="auto"/>
              </w:rPr>
              <w:t>$900,000,000</w:t>
            </w: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w w:val="89"/>
              </w:rPr>
              <w:t>99.966%, plus accrued and unpaid interest, if any, from September 10, 2018</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April 1, 2049</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Coupon (Interest Rate):</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5.950% per year</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1740" w:type="dxa"/>
            <w:vAlign w:val="bottom"/>
          </w:tcPr>
          <w:p>
            <w:pPr>
              <w:ind w:left="140"/>
              <w:spacing w:after="0"/>
              <w:rPr>
                <w:sz w:val="20"/>
                <w:szCs w:val="20"/>
                <w:color w:val="auto"/>
              </w:rPr>
            </w:pPr>
            <w:r>
              <w:rPr>
                <w:rFonts w:ascii="Arial" w:cs="Arial" w:eastAsia="Arial" w:hAnsi="Arial"/>
                <w:sz w:val="18"/>
                <w:szCs w:val="18"/>
                <w:color w:val="auto"/>
              </w:rPr>
              <w:t>5.952%</w:t>
            </w: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w w:val="95"/>
              </w:rPr>
              <w:t>Spread to Benchmark Treasury:</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+ 287.5 bps</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3.125% due May 15, 2048</w:t>
            </w:r>
          </w:p>
        </w:tc>
      </w:tr>
      <w:tr>
        <w:trPr>
          <w:trHeight w:val="306"/>
        </w:trPr>
        <w:tc>
          <w:tcPr>
            <w:tcW w:w="2620" w:type="dxa"/>
            <w:vAlign w:val="bottom"/>
          </w:tcPr>
          <w:p>
            <w:pPr>
              <w:spacing w:after="0"/>
              <w:rPr>
                <w:sz w:val="20"/>
                <w:szCs w:val="20"/>
                <w:color w:val="auto"/>
              </w:rPr>
            </w:pPr>
            <w:r>
              <w:rPr>
                <w:rFonts w:ascii="Arial" w:cs="Arial" w:eastAsia="Arial" w:hAnsi="Arial"/>
                <w:sz w:val="18"/>
                <w:szCs w:val="18"/>
                <w:b w:val="1"/>
                <w:bCs w:val="1"/>
                <w:color w:val="auto"/>
                <w:w w:val="98"/>
              </w:rPr>
              <w:t>Benchmark Treasury Price and</w:t>
            </w:r>
          </w:p>
        </w:tc>
        <w:tc>
          <w:tcPr>
            <w:tcW w:w="1740" w:type="dxa"/>
            <w:vAlign w:val="bottom"/>
          </w:tcPr>
          <w:p>
            <w:pPr>
              <w:ind w:left="140"/>
              <w:spacing w:after="0"/>
              <w:rPr>
                <w:sz w:val="20"/>
                <w:szCs w:val="20"/>
                <w:color w:val="auto"/>
              </w:rPr>
            </w:pPr>
            <w:r>
              <w:rPr>
                <w:rFonts w:ascii="Arial" w:cs="Arial" w:eastAsia="Arial" w:hAnsi="Arial"/>
                <w:sz w:val="18"/>
                <w:szCs w:val="18"/>
                <w:color w:val="auto"/>
              </w:rPr>
              <w:t>100-29+; 3.077%</w:t>
            </w: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Yield:</w:t>
            </w:r>
          </w:p>
        </w:tc>
        <w:tc>
          <w:tcPr>
            <w:tcW w:w="1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April 1 and October 1, beginning April 1, 2019</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March 15 and September 15</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1740" w:type="dxa"/>
            <w:vAlign w:val="bottom"/>
          </w:tcPr>
          <w:p>
            <w:pPr>
              <w:ind w:left="140"/>
              <w:spacing w:after="0"/>
              <w:rPr>
                <w:sz w:val="20"/>
                <w:szCs w:val="20"/>
                <w:color w:val="auto"/>
              </w:rPr>
            </w:pPr>
            <w:r>
              <w:rPr>
                <w:rFonts w:ascii="Arial" w:cs="Arial" w:eastAsia="Arial" w:hAnsi="Arial"/>
                <w:sz w:val="18"/>
                <w:szCs w:val="18"/>
                <w:color w:val="auto"/>
              </w:rPr>
              <w:t>30 / 360</w:t>
            </w: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620" w:type="dxa"/>
            <w:vAlign w:val="bottom"/>
            <w:gridSpan w:val="3"/>
          </w:tcPr>
          <w:p>
            <w:pPr>
              <w:ind w:left="140"/>
              <w:spacing w:after="0"/>
              <w:rPr>
                <w:sz w:val="20"/>
                <w:szCs w:val="20"/>
                <w:color w:val="auto"/>
              </w:rPr>
            </w:pPr>
            <w:r>
              <w:rPr>
                <w:rFonts w:ascii="Arial" w:cs="Arial" w:eastAsia="Arial" w:hAnsi="Arial"/>
                <w:sz w:val="18"/>
                <w:szCs w:val="18"/>
                <w:color w:val="auto"/>
              </w:rPr>
              <w:t>T+45 bps prior to October 1, 2048</w:t>
            </w:r>
          </w:p>
        </w:tc>
      </w:tr>
      <w:tr>
        <w:trPr>
          <w:trHeight w:val="365"/>
        </w:trPr>
        <w:tc>
          <w:tcPr>
            <w:tcW w:w="2620" w:type="dxa"/>
            <w:vAlign w:val="bottom"/>
          </w:tcPr>
          <w:p>
            <w:pPr>
              <w:spacing w:after="0"/>
              <w:rPr>
                <w:sz w:val="24"/>
                <w:szCs w:val="24"/>
                <w:color w:val="auto"/>
              </w:rPr>
            </w:pPr>
          </w:p>
        </w:tc>
        <w:tc>
          <w:tcPr>
            <w:tcW w:w="4040" w:type="dxa"/>
            <w:vAlign w:val="bottom"/>
            <w:gridSpan w:val="2"/>
          </w:tcPr>
          <w:p>
            <w:pPr>
              <w:jc w:val="center"/>
              <w:ind w:left="1650"/>
              <w:spacing w:after="0"/>
              <w:rPr>
                <w:sz w:val="20"/>
                <w:szCs w:val="20"/>
                <w:color w:val="auto"/>
              </w:rPr>
            </w:pPr>
            <w:r>
              <w:rPr>
                <w:rFonts w:ascii="Arial" w:cs="Arial" w:eastAsia="Arial" w:hAnsi="Arial"/>
                <w:sz w:val="18"/>
                <w:szCs w:val="18"/>
                <w:color w:val="auto"/>
                <w:w w:val="99"/>
              </w:rPr>
              <w:t>3</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378"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sz w:val="20"/>
          <w:szCs w:val="20"/>
          <w:color w:val="auto"/>
        </w:rPr>
      </w:pPr>
      <w:r>
        <w:rPr>
          <w:rFonts w:ascii="Arial" w:cs="Arial" w:eastAsia="Arial" w:hAnsi="Arial"/>
          <w:sz w:val="17"/>
          <w:szCs w:val="17"/>
          <w:b w:val="1"/>
          <w:bCs w:val="1"/>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or after October 1,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-269875</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040" w:space="720"/>
            <w:col w:w="8240"/>
          </w:cols>
          <w:pgMar w:left="440" w:top="378" w:right="459" w:bottom="1440" w:gutter="0" w:footer="0" w:header="0"/>
        </w:sect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36" w:lineRule="exact"/>
        <w:rPr>
          <w:sz w:val="20"/>
          <w:szCs w:val="20"/>
          <w:color w:val="auto"/>
        </w:rPr>
      </w:pPr>
    </w:p>
    <w:p>
      <w:pPr>
        <w:sectPr>
          <w:pgSz w:w="11900" w:h="16838" w:orient="portrait"/>
          <w:cols w:equalWidth="0" w:num="2">
            <w:col w:w="2040" w:space="720"/>
            <w:col w:w="8240"/>
          </w:cols>
          <w:pgMar w:left="440" w:top="378" w:right="459" w:bottom="1440" w:gutter="0" w:footer="0" w:header="0"/>
          <w:type w:val="continuous"/>
        </w:sectPr>
      </w:pPr>
    </w:p>
    <w:p>
      <w:pPr>
        <w:spacing w:after="0"/>
        <w:tabs>
          <w:tab w:leader="none" w:pos="2740" w:val="left"/>
        </w:tabs>
        <w:rPr>
          <w:sz w:val="20"/>
          <w:szCs w:val="20"/>
          <w:color w:val="auto"/>
        </w:rPr>
      </w:pPr>
      <w:r>
        <w:rPr>
          <w:rFonts w:ascii="Arial" w:cs="Arial" w:eastAsia="Arial" w:hAnsi="Arial"/>
          <w:sz w:val="18"/>
          <w:szCs w:val="18"/>
          <w:b w:val="1"/>
          <w:bCs w:val="1"/>
          <w:color w:val="auto"/>
        </w:rPr>
        <w:t>Expected Ratings**:</w:t>
      </w:r>
      <w:r>
        <w:rPr>
          <w:sz w:val="20"/>
          <w:szCs w:val="20"/>
          <w:color w:val="auto"/>
        </w:rPr>
        <w:tab/>
      </w:r>
      <w:r>
        <w:rPr>
          <w:rFonts w:ascii="Arial" w:cs="Arial" w:eastAsia="Arial" w:hAnsi="Arial"/>
          <w:sz w:val="16"/>
          <w:szCs w:val="16"/>
          <w:color w:val="auto"/>
        </w:rPr>
        <w:t>Baa3 by Moody’s Investors Service, Inc.</w:t>
      </w:r>
    </w:p>
    <w:p>
      <w:pPr>
        <w:spacing w:after="0" w:line="27" w:lineRule="exact"/>
        <w:rPr>
          <w:sz w:val="20"/>
          <w:szCs w:val="20"/>
          <w:color w:val="auto"/>
        </w:rPr>
      </w:pPr>
    </w:p>
    <w:p>
      <w:pPr>
        <w:ind w:left="2760" w:right="5020" w:hanging="1"/>
        <w:spacing w:after="0" w:line="261" w:lineRule="auto"/>
        <w:tabs>
          <w:tab w:leader="none" w:pos="3165" w:val="left"/>
        </w:tabs>
        <w:numPr>
          <w:ilvl w:val="0"/>
          <w:numId w:val="1"/>
        </w:numPr>
        <w:rPr>
          <w:rFonts w:ascii="Arial" w:cs="Arial" w:eastAsia="Arial" w:hAnsi="Arial"/>
          <w:sz w:val="18"/>
          <w:szCs w:val="18"/>
          <w:color w:val="auto"/>
        </w:rPr>
      </w:pPr>
      <w:r>
        <w:rPr>
          <w:rFonts w:ascii="Arial" w:cs="Arial" w:eastAsia="Arial" w:hAnsi="Arial"/>
          <w:sz w:val="18"/>
          <w:szCs w:val="18"/>
          <w:color w:val="auto"/>
        </w:rPr>
        <w:t>by Standard &amp; Poor’s Ratings Services BBB by Fitch Ratings</w:t>
      </w:r>
    </w:p>
    <w:p>
      <w:pPr>
        <w:spacing w:after="0" w:line="85"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b w:val="1"/>
          <w:bCs w:val="1"/>
          <w:color w:val="auto"/>
        </w:rPr>
        <w:t>CUSIP / ISIN:</w:t>
      </w:r>
      <w:r>
        <w:rPr>
          <w:sz w:val="20"/>
          <w:szCs w:val="20"/>
          <w:color w:val="auto"/>
        </w:rPr>
        <w:tab/>
      </w:r>
      <w:r>
        <w:rPr>
          <w:rFonts w:ascii="Arial" w:cs="Arial" w:eastAsia="Arial" w:hAnsi="Arial"/>
          <w:sz w:val="16"/>
          <w:szCs w:val="16"/>
          <w:color w:val="auto"/>
        </w:rPr>
        <w:t>37045 AT7 / US37045VAT70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right="60" w:firstLine="4"/>
        <w:spacing w:after="0" w:line="303" w:lineRule="auto"/>
        <w:tabs>
          <w:tab w:leader="none" w:pos="13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Under Rule 15c6-1 of the Exchange Act, trades in the secondary market are generally required to settle in two business days, unless the parties to any such trade expressly agree otherwise. Accordingly, purchasers who wish to trade notes on the date of pricing will be required, by virtue of the fact that the notes initially will settle T + 3, to specify an alternative settlement cycle at the time of any such trade to prevent a failed settlement. Purchasers of the notes who wish to trade the notes on the date of pricing should consult their own advisor.</w:t>
      </w:r>
    </w:p>
    <w:p>
      <w:pPr>
        <w:spacing w:after="0" w:line="151" w:lineRule="exact"/>
        <w:rPr>
          <w:sz w:val="20"/>
          <w:szCs w:val="20"/>
          <w:color w:val="auto"/>
        </w:rPr>
      </w:pPr>
    </w:p>
    <w:p>
      <w:pPr>
        <w:ind w:left="220" w:hanging="216"/>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security rating is not a recommendation to buy, sell or hold securities and may be subject to revision or withdrawn at any time.</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Barclays Capital Inc., c/o Broadridge 4 Financial Solutions, 1155 Long Island Avenue, Edgewood, NY 11717 or toll-free at (888) 603-5847, Deutsche Bank Securities Inc., Attention: Prospectus Group, 60 Wall Street, New York, NY 10005 or toll-free at (800)</w:t>
      </w:r>
    </w:p>
    <w:p>
      <w:pPr>
        <w:spacing w:after="0" w:line="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503-4611 or SG Americas Securities, LLC, Attn: Prospectus Management, 480 Washington Blvd, 20th Floor, Jersey City, NJ 07310 or toll-free at 800-861-9789.</w:t>
      </w:r>
    </w:p>
    <w:p>
      <w:pPr>
        <w:spacing w:after="0" w:line="180" w:lineRule="exact"/>
        <w:rPr>
          <w:sz w:val="20"/>
          <w:szCs w:val="20"/>
          <w:color w:val="auto"/>
        </w:rPr>
      </w:pPr>
    </w:p>
    <w:p>
      <w:pPr>
        <w:jc w:val="both"/>
        <w:ind w:right="420"/>
        <w:spacing w:after="0" w:line="314" w:lineRule="auto"/>
        <w:rPr>
          <w:sz w:val="20"/>
          <w:szCs w:val="20"/>
          <w:color w:val="auto"/>
        </w:rPr>
      </w:pPr>
      <w:r>
        <w:rPr>
          <w:rFonts w:ascii="Arial" w:cs="Arial" w:eastAsia="Arial" w:hAnsi="Arial"/>
          <w:sz w:val="16"/>
          <w:szCs w:val="16"/>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Notes in any state or jurisdiction in which such offer, solicitation or sale would be unlawful.</w:t>
      </w:r>
    </w:p>
    <w:p>
      <w:pPr>
        <w:spacing w:after="0" w:line="14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000"/>
      </w:cols>
      <w:pgMar w:left="440" w:top="378"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5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2019-12-07T15:52:39Z</dcterms:created>
  <dcterms:modified xsi:type="dcterms:W3CDTF">2019-12-07T15:52:39Z</dcterms:modified>
</cp:coreProperties>
</file>