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20549-1004</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440" w:right="1560" w:hanging="405"/>
        <w:spacing w:after="0" w:line="375" w:lineRule="auto"/>
        <w:tabs>
          <w:tab w:leader="none" w:pos="7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GENERAL MOTORS COMPANY</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27-0756180</w:t>
            </w:r>
          </w:p>
        </w:tc>
      </w:tr>
      <w:tr>
        <w:trPr>
          <w:trHeight w:val="250"/>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05"/>
        </w:trPr>
        <w:tc>
          <w:tcPr>
            <w:tcW w:w="654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300 Renaissance Center, Detroit, Michigan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48265-3000</w:t>
            </w:r>
          </w:p>
        </w:tc>
      </w:tr>
      <w:tr>
        <w:trPr>
          <w:trHeight w:val="270"/>
        </w:trPr>
        <w:tc>
          <w:tcPr>
            <w:tcW w:w="6540" w:type="dxa"/>
            <w:vAlign w:val="bottom"/>
          </w:tcPr>
          <w:p>
            <w:pPr>
              <w:jc w:val="center"/>
              <w:ind w:right="31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223"/>
        </w:trPr>
        <w:tc>
          <w:tcPr>
            <w:tcW w:w="65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(313) 556-5000</w:t>
            </w:r>
          </w:p>
        </w:tc>
        <w:tc>
          <w:tcPr>
            <w:tcW w:w="1480" w:type="dxa"/>
            <w:vAlign w:val="bottom"/>
          </w:tcPr>
          <w:p>
            <w:pPr>
              <w:spacing w:after="0"/>
              <w:rPr>
                <w:sz w:val="19"/>
                <w:szCs w:val="19"/>
                <w:color w:val="auto"/>
              </w:rPr>
            </w:pPr>
          </w:p>
        </w:tc>
      </w:tr>
      <w:tr>
        <w:trPr>
          <w:trHeight w:val="236"/>
        </w:trPr>
        <w:tc>
          <w:tcPr>
            <w:tcW w:w="6540" w:type="dxa"/>
            <w:vAlign w:val="bottom"/>
          </w:tcPr>
          <w:p>
            <w:pPr>
              <w:jc w:val="center"/>
              <w:ind w:left="235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480" w:type="dxa"/>
            <w:vAlign w:val="bottom"/>
          </w:tcPr>
          <w:p>
            <w:pPr>
              <w:spacing w:after="0"/>
              <w:rPr>
                <w:sz w:val="20"/>
                <w:szCs w:val="20"/>
                <w:color w:val="auto"/>
              </w:rPr>
            </w:pPr>
          </w:p>
        </w:tc>
      </w:tr>
      <w:tr>
        <w:trPr>
          <w:trHeight w:val="432"/>
        </w:trPr>
        <w:tc>
          <w:tcPr>
            <w:tcW w:w="654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315" w:lineRule="exact"/>
        <w:rPr>
          <w:sz w:val="24"/>
          <w:szCs w:val="24"/>
          <w:color w:val="auto"/>
        </w:rPr>
      </w:pPr>
    </w:p>
    <w:p>
      <w:pPr>
        <w:jc w:val="both"/>
        <w:ind w:firstLine="10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firstLine="10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ind w:firstLine="10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25" w:lineRule="exact"/>
        <w:rPr>
          <w:sz w:val="24"/>
          <w:szCs w:val="24"/>
          <w:color w:val="auto"/>
        </w:rPr>
      </w:pPr>
    </w:p>
    <w:p>
      <w:pPr>
        <w:ind w:left="192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October 16, 2014 the number of shares outstanding of common stock was 1,606,696,287 shares.</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Company's Reports</w:t>
      </w:r>
    </w:p>
    <w:p>
      <w:pPr>
        <w:spacing w:after="0" w:line="229" w:lineRule="exact"/>
        <w:rPr>
          <w:sz w:val="24"/>
          <w:szCs w:val="24"/>
          <w:color w:val="auto"/>
        </w:rPr>
      </w:pPr>
    </w:p>
    <w:p>
      <w:pPr>
        <w:jc w:val="both"/>
        <w:ind w:firstLine="81"/>
        <w:spacing w:after="0" w:line="266" w:lineRule="auto"/>
        <w:rPr>
          <w:sz w:val="20"/>
          <w:szCs w:val="20"/>
          <w:color w:val="auto"/>
        </w:rPr>
      </w:pPr>
      <w:r>
        <w:rPr>
          <w:rFonts w:ascii="Times New Roman" w:cs="Times New Roman" w:eastAsia="Times New Roman" w:hAnsi="Times New Roman"/>
          <w:sz w:val="18"/>
          <w:szCs w:val="18"/>
          <w:color w:val="auto"/>
        </w:rPr>
        <w:t>General Motors Company's internet website address is www.gm.com. Our annual report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20" w:type="dxa"/>
            <w:vAlign w:val="bottom"/>
            <w:gridSpan w:val="6"/>
          </w:tcPr>
          <w:p>
            <w:pPr>
              <w:ind w:left="17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1"/>
        </w:trPr>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88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210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1</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210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210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8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5</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0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8">
              <w:r>
                <w:rPr>
                  <w:rFonts w:ascii="Times New Roman" w:cs="Times New Roman" w:eastAsia="Times New Roman" w:hAnsi="Times New Roman"/>
                  <w:sz w:val="18"/>
                  <w:szCs w:val="18"/>
                  <w:color w:val="0000FF"/>
                  <w:w w:val="88"/>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6</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2.</w:t>
            </w:r>
          </w:p>
        </w:tc>
        <w:tc>
          <w:tcPr>
            <w:tcW w:w="718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Marketable Securities</w:t>
            </w:r>
          </w:p>
        </w:tc>
        <w:tc>
          <w:tcPr>
            <w:tcW w:w="210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10">
              <w:r>
                <w:rPr>
                  <w:rFonts w:ascii="Times New Roman" w:cs="Times New Roman" w:eastAsia="Times New Roman" w:hAnsi="Times New Roman"/>
                  <w:sz w:val="18"/>
                  <w:szCs w:val="18"/>
                  <w:color w:val="0000FF"/>
                  <w:w w:val="88"/>
                </w:rPr>
                <w:t>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3.</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GM Financial Receivables, net</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8</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4.</w:t>
            </w:r>
          </w:p>
        </w:tc>
        <w:tc>
          <w:tcPr>
            <w:tcW w:w="7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Inventories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10</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5.</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3">
              <w:r>
                <w:rPr>
                  <w:rFonts w:ascii="Times New Roman" w:cs="Times New Roman" w:eastAsia="Times New Roman" w:hAnsi="Times New Roman"/>
                  <w:sz w:val="18"/>
                  <w:szCs w:val="18"/>
                  <w:color w:val="0000FF"/>
                </w:rPr>
                <w:t>10</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6.</w:t>
            </w:r>
          </w:p>
        </w:tc>
        <w:tc>
          <w:tcPr>
            <w:tcW w:w="7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Variable Interest Entities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4">
              <w:r>
                <w:rPr>
                  <w:rFonts w:ascii="Times New Roman" w:cs="Times New Roman" w:eastAsia="Times New Roman" w:hAnsi="Times New Roman"/>
                  <w:sz w:val="18"/>
                  <w:szCs w:val="18"/>
                  <w:color w:val="0000FF"/>
                </w:rPr>
                <w:t>11</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7.</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Short-Term and Long-Term Debt</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6">
              <w:r>
                <w:rPr>
                  <w:rFonts w:ascii="Times New Roman" w:cs="Times New Roman" w:eastAsia="Times New Roman" w:hAnsi="Times New Roman"/>
                  <w:sz w:val="18"/>
                  <w:szCs w:val="18"/>
                  <w:color w:val="0000FF"/>
                </w:rPr>
                <w:t>13</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8.</w:t>
            </w:r>
          </w:p>
        </w:tc>
        <w:tc>
          <w:tcPr>
            <w:tcW w:w="7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7">
              <w:r>
                <w:rPr>
                  <w:rFonts w:ascii="Times New Roman" w:cs="Times New Roman" w:eastAsia="Times New Roman" w:hAnsi="Times New Roman"/>
                  <w:sz w:val="18"/>
                  <w:szCs w:val="18"/>
                  <w:color w:val="0000FF"/>
                </w:rPr>
                <w:t>14</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9.</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15</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10.</w:t>
            </w:r>
          </w:p>
        </w:tc>
        <w:tc>
          <w:tcPr>
            <w:tcW w:w="7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16</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11.</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Income Taxes</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20</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12.</w:t>
            </w:r>
          </w:p>
        </w:tc>
        <w:tc>
          <w:tcPr>
            <w:tcW w:w="7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21</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13.</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Stockholders' Equity</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25">
              <w:r>
                <w:rPr>
                  <w:rFonts w:ascii="Times New Roman" w:cs="Times New Roman" w:eastAsia="Times New Roman" w:hAnsi="Times New Roman"/>
                  <w:sz w:val="18"/>
                  <w:szCs w:val="18"/>
                  <w:color w:val="0000FF"/>
                </w:rPr>
                <w:t>22</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14.</w:t>
            </w:r>
          </w:p>
        </w:tc>
        <w:tc>
          <w:tcPr>
            <w:tcW w:w="718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Earnings Per Share</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23</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1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Note 15.</w:t>
            </w:r>
          </w:p>
        </w:tc>
        <w:tc>
          <w:tcPr>
            <w:tcW w:w="718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Segment Reporting</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24</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30">
              <w:r>
                <w:rPr>
                  <w:rFonts w:ascii="Times New Roman" w:cs="Times New Roman" w:eastAsia="Times New Roman" w:hAnsi="Times New Roman"/>
                  <w:sz w:val="18"/>
                  <w:szCs w:val="18"/>
                  <w:color w:val="0000FF"/>
                </w:rPr>
                <w:t>28</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32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51</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832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54">
              <w:r>
                <w:rPr>
                  <w:rFonts w:ascii="Times New Roman" w:cs="Times New Roman" w:eastAsia="Times New Roman" w:hAnsi="Times New Roman"/>
                  <w:sz w:val="18"/>
                  <w:szCs w:val="18"/>
                  <w:color w:val="0000FF"/>
                </w:rPr>
                <w:t>51</w:t>
              </w:r>
            </w:hyperlink>
          </w:p>
        </w:tc>
      </w:tr>
      <w:tr>
        <w:trPr>
          <w:trHeight w:val="243"/>
        </w:trPr>
        <w:tc>
          <w:tcPr>
            <w:tcW w:w="88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53</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1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7180" w:type="dxa"/>
            <w:vAlign w:val="bottom"/>
          </w:tcPr>
          <w:p>
            <w:pPr>
              <w:spacing w:after="0"/>
              <w:rPr>
                <w:sz w:val="17"/>
                <w:szCs w:val="17"/>
                <w:color w:val="auto"/>
              </w:rPr>
            </w:pP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54</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54</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1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7180" w:type="dxa"/>
            <w:vAlign w:val="bottom"/>
          </w:tcPr>
          <w:p>
            <w:pPr>
              <w:spacing w:after="0"/>
              <w:rPr>
                <w:sz w:val="17"/>
                <w:szCs w:val="17"/>
                <w:color w:val="auto"/>
              </w:rPr>
            </w:pPr>
          </w:p>
        </w:tc>
        <w:tc>
          <w:tcPr>
            <w:tcW w:w="2220" w:type="dxa"/>
            <w:vAlign w:val="bottom"/>
            <w:gridSpan w:val="6"/>
          </w:tcPr>
          <w:p>
            <w:pPr>
              <w:jc w:val="right"/>
              <w:ind w:right="20"/>
              <w:spacing w:after="0" w:line="202" w:lineRule="exact"/>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55</w:t>
              </w:r>
            </w:hyperlink>
          </w:p>
        </w:tc>
      </w:tr>
      <w:tr>
        <w:trPr>
          <w:trHeight w:val="48"/>
        </w:trPr>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20" w:type="dxa"/>
            <w:vAlign w:val="bottom"/>
            <w:gridSpan w:val="6"/>
            <w:shd w:val="clear" w:color="auto" w:fill="CCEEFF"/>
          </w:tcPr>
          <w:p>
            <w:pPr>
              <w:jc w:val="right"/>
              <w:ind w:right="20"/>
              <w:spacing w:after="0" w:line="202" w:lineRule="exact"/>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56</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80" w:type="dxa"/>
            <w:vAlign w:val="bottom"/>
          </w:tcPr>
          <w:p>
            <w:pPr>
              <w:jc w:val="right"/>
              <w:ind w:right="71"/>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 and revenue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37,999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112,776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112,704</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GM Financial</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2,238</w:t>
            </w:r>
          </w:p>
        </w:tc>
      </w:tr>
      <w:tr>
        <w:trPr>
          <w:trHeight w:val="237"/>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39,255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38,983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116,312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114,942</w:t>
            </w:r>
          </w:p>
        </w:tc>
      </w:tr>
      <w:tr>
        <w:trPr>
          <w:trHeight w:val="27"/>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cost of sales (Note 8)</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34,054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99,607</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GM Financial operating and other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1,556</w:t>
            </w:r>
          </w:p>
        </w:tc>
      </w:tr>
      <w:tr>
        <w:trPr>
          <w:trHeight w:val="243"/>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Automotive selling, general and administrative expense</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8,753</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38,028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36,727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116,091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109,976</w:t>
            </w:r>
          </w:p>
        </w:tc>
      </w:tr>
      <w:tr>
        <w:trPr>
          <w:trHeight w:val="27"/>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4,966</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and other non-operating income (loss), net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extinguishment of debt (Note 7)</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income (Note 5)</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1,420</w:t>
            </w:r>
          </w:p>
        </w:tc>
      </w:tr>
      <w:tr>
        <w:trPr>
          <w:trHeight w:val="237"/>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6,271</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 (Note 11)</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1,993</w:t>
            </w:r>
          </w:p>
        </w:tc>
      </w:tr>
      <w:tr>
        <w:trPr>
          <w:trHeight w:val="237"/>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4,278</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37"/>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stockholders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4,306</w:t>
            </w:r>
          </w:p>
        </w:tc>
      </w:tr>
      <w:tr>
        <w:trPr>
          <w:trHeight w:val="67"/>
        </w:trPr>
        <w:tc>
          <w:tcPr>
            <w:tcW w:w="62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102"/>
        </w:trPr>
        <w:tc>
          <w:tcPr>
            <w:tcW w:w="6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2,857</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6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 (Note 14)</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1,378</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1,672</w:t>
            </w: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6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337"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0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4,278</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(Note 13)</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net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w:t>
            </w:r>
          </w:p>
        </w:tc>
      </w:tr>
      <w:tr>
        <w:trPr>
          <w:trHeight w:val="237"/>
        </w:trPr>
        <w:tc>
          <w:tcPr>
            <w:tcW w:w="6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4,335</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37"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6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6"/>
                <w:szCs w:val="16"/>
                <w:color w:val="auto"/>
              </w:rPr>
            </w:pPr>
          </w:p>
        </w:tc>
        <w:tc>
          <w:tcPr>
            <w:tcW w:w="14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080" w:type="dxa"/>
            <w:vAlign w:val="bottom"/>
            <w:tcBorders>
              <w:top w:val="single" w:sz="8" w:color="CCEEFF"/>
              <w:bottom w:val="single" w:sz="8" w:color="CCEEFF"/>
            </w:tcBorders>
            <w:shd w:val="clear" w:color="auto" w:fill="CCEEFF"/>
          </w:tcPr>
          <w:p>
            <w:pPr>
              <w:ind w:left="37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8"/>
        </w:trPr>
        <w:tc>
          <w:tcPr>
            <w:tcW w:w="80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3"/>
        </w:trPr>
        <w:tc>
          <w:tcPr>
            <w:tcW w:w="8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20,021</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 (Note 2)</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8,972</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 and marketable securities (Note 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1,247</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and notes receivable (net of allowance of $358 and $344)</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10,892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8,535</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GM Financial receivables, net (Note 3)($11,002 and $10,001 at VIEs;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14,278</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Inventories (Note 4)</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15,210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14,039</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Equipment on operating leases,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2,398</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10,349</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1,662</w:t>
            </w:r>
          </w:p>
        </w:tc>
      </w:tr>
      <w:tr>
        <w:trPr>
          <w:trHeight w:val="22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86,640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81,501</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 and marketable securities (Note 2)</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829</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GM Financial receivables, net (Note 3)($11,271 and $11,216 at VIEs;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14,354</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Equity in net assets of nonconsolidated affiliates (Note 5)</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7,983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8,094</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Property,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27,375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25,867</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1,560</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5,668</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GM Financial equipment on operating leases, net ($2,817 and $1,803 at VIEs; Note 6)</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3,383</w:t>
            </w:r>
          </w:p>
        </w:tc>
      </w:tr>
      <w:tr>
        <w:trPr>
          <w:trHeight w:val="29"/>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22,736</w:t>
            </w:r>
          </w:p>
        </w:tc>
      </w:tr>
      <w:tr>
        <w:trPr>
          <w:trHeight w:val="241"/>
        </w:trPr>
        <w:tc>
          <w:tcPr>
            <w:tcW w:w="8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16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2,352</w:t>
            </w:r>
          </w:p>
        </w:tc>
      </w:tr>
      <w:tr>
        <w:trPr>
          <w:trHeight w:val="29"/>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90,268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84,843</w:t>
            </w:r>
          </w:p>
        </w:tc>
      </w:tr>
      <w:tr>
        <w:trPr>
          <w:trHeight w:val="221"/>
        </w:trPr>
        <w:tc>
          <w:tcPr>
            <w:tcW w:w="80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176,908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166,344</w:t>
            </w:r>
          </w:p>
        </w:tc>
      </w:tr>
      <w:tr>
        <w:trPr>
          <w:trHeight w:val="69"/>
        </w:trPr>
        <w:tc>
          <w:tcPr>
            <w:tcW w:w="80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181"/>
        </w:trPr>
        <w:tc>
          <w:tcPr>
            <w:tcW w:w="8080" w:type="dxa"/>
            <w:vAlign w:val="bottom"/>
            <w:shd w:val="clear" w:color="auto" w:fill="CCEEFF"/>
          </w:tcPr>
          <w:p>
            <w:pPr>
              <w:ind w:left="2940"/>
              <w:spacing w:after="0" w:line="181"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70"/>
        </w:trPr>
        <w:tc>
          <w:tcPr>
            <w:tcW w:w="80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228"/>
        </w:trPr>
        <w:tc>
          <w:tcPr>
            <w:tcW w:w="80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Accounts payable (principally trade)</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Short-term debt and current portion of 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Automotive ($133 and $219 at VIEs; Note 6)</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GM Financial ($9,137 and $10,088 at VIEs;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Accrued liabilities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Non-current Liabilities</w:t>
      </w:r>
    </w:p>
    <w:p>
      <w:pPr>
        <w:spacing w:after="0" w:line="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Long-term debt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Automotive ($28 and $23 at VIEs; Note 6)</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GM Financial ($11,184 and $9,330 at VIEs;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Postretirement benefits other than pensions (Note 9)</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Pensions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liabilities and deferred income taxes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Total Liabilities</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Equity (Note 13)</w:t>
      </w: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Series A preferred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Retained earnings</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stockholders’ equity</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Noncontrolling interests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24,773</w:t>
            </w:r>
          </w:p>
        </w:tc>
        <w:tc>
          <w:tcPr>
            <w:tcW w:w="100" w:type="dxa"/>
            <w:vAlign w:val="bottom"/>
          </w:tcPr>
          <w:p>
            <w:pPr>
              <w:spacing w:after="0"/>
              <w:rPr>
                <w:sz w:val="19"/>
                <w:szCs w:val="19"/>
                <w:color w:val="auto"/>
              </w:rPr>
            </w:pPr>
          </w:p>
        </w:tc>
        <w:tc>
          <w:tcPr>
            <w:tcW w:w="54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23,621</w:t>
            </w:r>
          </w:p>
        </w:tc>
      </w:tr>
      <w:tr>
        <w:trPr>
          <w:trHeight w:val="540"/>
        </w:trPr>
        <w:tc>
          <w:tcPr>
            <w:tcW w:w="52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564</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12,808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13,594</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29,170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24,633</w:t>
            </w:r>
          </w:p>
        </w:tc>
      </w:tr>
      <w:tr>
        <w:trPr>
          <w:trHeight w:val="29"/>
        </w:trPr>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67,329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62,412</w:t>
            </w:r>
          </w:p>
        </w:tc>
      </w:tr>
      <w:tr>
        <w:trPr>
          <w:trHeight w:val="810"/>
        </w:trPr>
        <w:tc>
          <w:tcPr>
            <w:tcW w:w="52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6,753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6,573</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20,966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15,452</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5,815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5,897</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18,111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19,483</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14,371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13,353</w:t>
            </w:r>
          </w:p>
        </w:tc>
      </w:tr>
      <w:tr>
        <w:trPr>
          <w:trHeight w:val="29"/>
        </w:trPr>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66,016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60,758</w:t>
            </w:r>
          </w:p>
        </w:tc>
      </w:tr>
      <w:tr>
        <w:trPr>
          <w:trHeight w:val="29"/>
        </w:trPr>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133,345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123,170</w:t>
            </w:r>
          </w:p>
        </w:tc>
      </w:tr>
      <w:tr>
        <w:trPr>
          <w:trHeight w:val="810"/>
        </w:trPr>
        <w:tc>
          <w:tcPr>
            <w:tcW w:w="52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3,109</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3,109</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28,832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28,780</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13,975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13,816</w:t>
            </w:r>
          </w:p>
        </w:tc>
      </w:tr>
      <w:tr>
        <w:trPr>
          <w:trHeight w:val="270"/>
        </w:trPr>
        <w:tc>
          <w:tcPr>
            <w:tcW w:w="5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w:t>
            </w:r>
          </w:p>
        </w:tc>
      </w:tr>
      <w:tr>
        <w:trPr>
          <w:trHeight w:val="29"/>
        </w:trPr>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1"/>
        </w:trPr>
        <w:tc>
          <w:tcPr>
            <w:tcW w:w="5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43,002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42,607</w:t>
            </w:r>
          </w:p>
        </w:tc>
      </w:tr>
      <w:tr>
        <w:trPr>
          <w:trHeight w:val="270"/>
        </w:trPr>
        <w:tc>
          <w:tcPr>
            <w:tcW w:w="520" w:type="dxa"/>
            <w:vAlign w:val="bottom"/>
          </w:tcPr>
          <w:p>
            <w:pPr>
              <w:spacing w:after="0"/>
              <w:rPr>
                <w:sz w:val="23"/>
                <w:szCs w:val="23"/>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567</w:t>
            </w:r>
          </w:p>
        </w:tc>
      </w:tr>
    </w:tbl>
    <w:p>
      <w:pPr>
        <w:spacing w:after="0" w:line="9" w:lineRule="exact"/>
        <w:rPr>
          <w:sz w:val="20"/>
          <w:szCs w:val="20"/>
          <w:color w:val="auto"/>
        </w:rPr>
      </w:pPr>
    </w:p>
    <w:p>
      <w:pPr>
        <w:sectPr>
          <w:pgSz w:w="11900" w:h="16838" w:orient="portrait"/>
          <w:cols w:equalWidth="0" w:num="2">
            <w:col w:w="7360" w:space="720"/>
            <w:col w:w="3340"/>
          </w:cols>
          <w:pgMar w:left="240" w:top="337"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43,563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40" w:type="dxa"/>
            <w:vAlign w:val="bottom"/>
            <w:tcBorders>
              <w:top w:val="single" w:sz="8" w:color="auto"/>
              <w:bottom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43,174</w:t>
            </w:r>
          </w:p>
        </w:tc>
      </w:tr>
      <w:tr>
        <w:trPr>
          <w:trHeight w:val="221"/>
        </w:trPr>
        <w:tc>
          <w:tcPr>
            <w:tcW w:w="80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5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176,908</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166,344</w:t>
            </w:r>
          </w:p>
        </w:tc>
      </w:tr>
      <w:tr>
        <w:trPr>
          <w:trHeight w:val="29"/>
        </w:trPr>
        <w:tc>
          <w:tcPr>
            <w:tcW w:w="80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37" w:right="239" w:bottom="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7"/>
          <w:szCs w:val="17"/>
          <w:color w:val="auto"/>
        </w:rPr>
        <w:t>Reference should be made to the notes to condensed consolidated financial statements.</w:t>
      </w:r>
    </w:p>
    <w:p>
      <w:pPr>
        <w:sectPr>
          <w:pgSz w:w="11900" w:h="16838" w:orient="portrait"/>
          <w:cols w:equalWidth="0" w:num="1">
            <w:col w:w="9019"/>
          </w:cols>
          <w:pgMar w:left="1440" w:top="364"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364" w:right="1440"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EQUITY</w:t>
      </w:r>
    </w:p>
    <w:p>
      <w:pPr>
        <w:spacing w:after="0" w:line="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 at December 31, 2012</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Other comprehensive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Purchase and cancellation of Series A Preferred Stock</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common stock warrants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Stock based compensation</w:t>
      </w:r>
    </w:p>
    <w:p>
      <w:pPr>
        <w:spacing w:after="0" w:line="121" w:lineRule="exact"/>
        <w:rPr>
          <w:sz w:val="20"/>
          <w:szCs w:val="20"/>
          <w:color w:val="auto"/>
        </w:rPr>
      </w:pPr>
    </w:p>
    <w:p>
      <w:pPr>
        <w:ind w:left="200" w:right="140" w:hanging="161"/>
        <w:spacing w:after="0" w:line="228" w:lineRule="auto"/>
        <w:rPr>
          <w:sz w:val="20"/>
          <w:szCs w:val="20"/>
          <w:color w:val="auto"/>
        </w:rPr>
      </w:pPr>
      <w:r>
        <w:rPr>
          <w:rFonts w:ascii="Times New Roman" w:cs="Times New Roman" w:eastAsia="Times New Roman" w:hAnsi="Times New Roman"/>
          <w:sz w:val="13"/>
          <w:szCs w:val="13"/>
          <w:color w:val="auto"/>
        </w:rPr>
        <w:t>Cash dividends paid on Series A Preferred Stock, charge related to purchase of Series A Preferred Stock and cumulative dividends on Series B Preferred Stock</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Dividends declared or paid to noncontrolling interests</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Other</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 at September 30, 2013</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140" w:type="dxa"/>
            <w:vAlign w:val="bottom"/>
          </w:tcPr>
          <w:p>
            <w:pPr>
              <w:spacing w:after="0"/>
              <w:rPr>
                <w:sz w:val="12"/>
                <w:szCs w:val="12"/>
                <w:color w:val="auto"/>
              </w:rPr>
            </w:pPr>
          </w:p>
        </w:tc>
        <w:tc>
          <w:tcPr>
            <w:tcW w:w="8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13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6"/>
        </w:trPr>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r>
      <w:tr>
        <w:trPr>
          <w:trHeight w:val="241"/>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5,536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4,855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23,834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10,057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(8,052)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756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37,000</w:t>
            </w:r>
          </w:p>
        </w:tc>
      </w:tr>
      <w:tr>
        <w:trPr>
          <w:trHeight w:val="270"/>
        </w:trPr>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4,278</w:t>
            </w:r>
          </w:p>
        </w:tc>
      </w:tr>
      <w:tr>
        <w:trPr>
          <w:trHeight w:val="270"/>
        </w:trPr>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57</w:t>
            </w:r>
          </w:p>
        </w:tc>
      </w:tr>
      <w:tr>
        <w:trPr>
          <w:trHeight w:val="270"/>
        </w:trPr>
        <w:tc>
          <w:tcPr>
            <w:tcW w:w="140" w:type="dxa"/>
            <w:vAlign w:val="bottom"/>
          </w:tcPr>
          <w:p>
            <w:pPr>
              <w:spacing w:after="0"/>
              <w:rPr>
                <w:sz w:val="23"/>
                <w:szCs w:val="2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w:t>
            </w:r>
          </w:p>
        </w:tc>
      </w:tr>
      <w:tr>
        <w:trPr>
          <w:trHeight w:val="270"/>
        </w:trPr>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r>
      <w:tr>
        <w:trPr>
          <w:trHeight w:val="270"/>
        </w:trPr>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r>
      <w:tr>
        <w:trPr>
          <w:trHeight w:val="594"/>
        </w:trPr>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r>
      <w:tr>
        <w:trPr>
          <w:trHeight w:val="270"/>
        </w:trPr>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80"/>
        </w:trPr>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3,109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4,855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23,878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12,903</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(7,981)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37,361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-1937385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-1594485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-1251585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-908685</wp:posOffset>
            </wp:positionV>
            <wp:extent cx="724662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-359410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-16510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100"/>
            <w:col w:w="8560"/>
          </w:cols>
          <w:pgMar w:left="240" w:top="337" w:right="239" w:bottom="1440" w:gutter="0" w:footer="0" w:header="0"/>
          <w:type w:val="continuous"/>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December 31, 2013</w:t>
            </w:r>
          </w:p>
        </w:tc>
        <w:tc>
          <w:tcPr>
            <w:tcW w:w="2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3,109</w:t>
            </w:r>
          </w:p>
        </w:tc>
        <w:tc>
          <w:tcPr>
            <w:tcW w:w="1080" w:type="dxa"/>
            <w:vAlign w:val="bottom"/>
          </w:tcPr>
          <w:p>
            <w:pPr>
              <w:spacing w:after="0"/>
              <w:rPr>
                <w:sz w:val="14"/>
                <w:szCs w:val="14"/>
                <w:color w:val="auto"/>
              </w:rPr>
            </w:pPr>
          </w:p>
        </w:tc>
        <w:tc>
          <w:tcPr>
            <w:tcW w:w="3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0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28,780</w:t>
            </w:r>
          </w:p>
        </w:tc>
        <w:tc>
          <w:tcPr>
            <w:tcW w:w="120" w:type="dxa"/>
            <w:vAlign w:val="bottom"/>
          </w:tcPr>
          <w:p>
            <w:pPr>
              <w:spacing w:after="0"/>
              <w:rPr>
                <w:sz w:val="14"/>
                <w:szCs w:val="14"/>
                <w:color w:val="auto"/>
              </w:rPr>
            </w:pPr>
          </w:p>
        </w:tc>
        <w:tc>
          <w:tcPr>
            <w:tcW w:w="2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13,816</w:t>
            </w:r>
          </w:p>
        </w:tc>
        <w:tc>
          <w:tcPr>
            <w:tcW w:w="100" w:type="dxa"/>
            <w:vAlign w:val="bottom"/>
          </w:tcPr>
          <w:p>
            <w:pPr>
              <w:spacing w:after="0"/>
              <w:rPr>
                <w:sz w:val="14"/>
                <w:szCs w:val="14"/>
                <w:color w:val="auto"/>
              </w:rPr>
            </w:pPr>
          </w:p>
        </w:tc>
        <w:tc>
          <w:tcPr>
            <w:tcW w:w="50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(3,113)</w:t>
            </w:r>
          </w:p>
        </w:tc>
        <w:tc>
          <w:tcPr>
            <w:tcW w:w="100" w:type="dxa"/>
            <w:vAlign w:val="bottom"/>
          </w:tcPr>
          <w:p>
            <w:pPr>
              <w:spacing w:after="0"/>
              <w:rPr>
                <w:sz w:val="14"/>
                <w:szCs w:val="14"/>
                <w:color w:val="auto"/>
              </w:rPr>
            </w:pPr>
          </w:p>
        </w:tc>
        <w:tc>
          <w:tcPr>
            <w:tcW w:w="520" w:type="dxa"/>
            <w:vAlign w:val="bottom"/>
            <w:vMerge w:val="restart"/>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567</w:t>
            </w:r>
          </w:p>
        </w:tc>
        <w:tc>
          <w:tcPr>
            <w:tcW w:w="120" w:type="dxa"/>
            <w:vAlign w:val="bottom"/>
          </w:tcPr>
          <w:p>
            <w:pPr>
              <w:spacing w:after="0"/>
              <w:rPr>
                <w:sz w:val="14"/>
                <w:szCs w:val="14"/>
                <w:color w:val="auto"/>
              </w:rPr>
            </w:pPr>
          </w:p>
        </w:tc>
        <w:tc>
          <w:tcPr>
            <w:tcW w:w="2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43,174</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1,962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2,009</w:t>
            </w:r>
          </w:p>
        </w:tc>
        <w:tc>
          <w:tcPr>
            <w:tcW w:w="0" w:type="dxa"/>
            <w:vAlign w:val="bottom"/>
          </w:tcPr>
          <w:p>
            <w:pPr>
              <w:spacing w:after="0"/>
              <w:rPr>
                <w:sz w:val="1"/>
                <w:szCs w:val="1"/>
                <w:color w:val="auto"/>
              </w:rPr>
            </w:pPr>
          </w:p>
        </w:tc>
      </w:tr>
      <w:tr>
        <w:trPr>
          <w:trHeight w:val="97"/>
        </w:trPr>
        <w:tc>
          <w:tcPr>
            <w:tcW w:w="2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8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80" w:type="dxa"/>
            <w:vAlign w:val="bottom"/>
          </w:tcPr>
          <w:p>
            <w:pPr>
              <w:spacing w:after="0"/>
              <w:rPr>
                <w:sz w:val="15"/>
                <w:szCs w:val="15"/>
                <w:color w:val="auto"/>
              </w:rPr>
            </w:pPr>
          </w:p>
        </w:tc>
        <w:tc>
          <w:tcPr>
            <w:tcW w:w="1680" w:type="dxa"/>
            <w:vAlign w:val="bottom"/>
            <w:gridSpan w:val="2"/>
            <w:vMerge w:val="restart"/>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Purchase of common stock</w:t>
            </w:r>
          </w:p>
        </w:tc>
        <w:tc>
          <w:tcPr>
            <w:tcW w:w="28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97"/>
        </w:trPr>
        <w:tc>
          <w:tcPr>
            <w:tcW w:w="2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8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Exercise of common stock warrants</w:t>
            </w:r>
          </w:p>
        </w:tc>
        <w:tc>
          <w:tcPr>
            <w:tcW w:w="280" w:type="dxa"/>
            <w:vAlign w:val="bottom"/>
          </w:tcPr>
          <w:p>
            <w:pPr>
              <w:spacing w:after="0"/>
              <w:rPr>
                <w:sz w:val="15"/>
                <w:szCs w:val="15"/>
                <w:color w:val="auto"/>
              </w:rPr>
            </w:pPr>
          </w:p>
        </w:tc>
        <w:tc>
          <w:tcPr>
            <w:tcW w:w="1680" w:type="dxa"/>
            <w:vAlign w:val="bottom"/>
            <w:gridSpan w:val="2"/>
            <w:vMerge w:val="restart"/>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 based compensation</w:t>
            </w:r>
          </w:p>
        </w:tc>
        <w:tc>
          <w:tcPr>
            <w:tcW w:w="28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97"/>
        </w:trPr>
        <w:tc>
          <w:tcPr>
            <w:tcW w:w="2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8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Cash dividends paid on Series A Preferred Stock</w:t>
            </w:r>
          </w:p>
        </w:tc>
        <w:tc>
          <w:tcPr>
            <w:tcW w:w="280" w:type="dxa"/>
            <w:vAlign w:val="bottom"/>
          </w:tcPr>
          <w:p>
            <w:pPr>
              <w:spacing w:after="0"/>
              <w:rPr>
                <w:sz w:val="15"/>
                <w:szCs w:val="15"/>
                <w:color w:val="auto"/>
              </w:rPr>
            </w:pPr>
          </w:p>
        </w:tc>
        <w:tc>
          <w:tcPr>
            <w:tcW w:w="1680" w:type="dxa"/>
            <w:vAlign w:val="bottom"/>
            <w:gridSpan w:val="2"/>
            <w:vMerge w:val="restart"/>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Cash dividends paid on Common Stock</w:t>
            </w:r>
          </w:p>
        </w:tc>
        <w:tc>
          <w:tcPr>
            <w:tcW w:w="28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0" w:type="dxa"/>
            <w:vAlign w:val="bottom"/>
          </w:tcPr>
          <w:p>
            <w:pPr>
              <w:spacing w:after="0"/>
              <w:rPr>
                <w:sz w:val="1"/>
                <w:szCs w:val="1"/>
                <w:color w:val="auto"/>
              </w:rPr>
            </w:pPr>
          </w:p>
        </w:tc>
      </w:tr>
      <w:tr>
        <w:trPr>
          <w:trHeight w:val="97"/>
        </w:trPr>
        <w:tc>
          <w:tcPr>
            <w:tcW w:w="2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8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8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Dividends declared or paid to noncontrolling interests</w:t>
            </w:r>
          </w:p>
        </w:tc>
        <w:tc>
          <w:tcPr>
            <w:tcW w:w="280" w:type="dxa"/>
            <w:vAlign w:val="bottom"/>
          </w:tcPr>
          <w:p>
            <w:pPr>
              <w:spacing w:after="0"/>
              <w:rPr>
                <w:sz w:val="15"/>
                <w:szCs w:val="15"/>
                <w:color w:val="auto"/>
              </w:rPr>
            </w:pPr>
          </w:p>
        </w:tc>
        <w:tc>
          <w:tcPr>
            <w:tcW w:w="1680" w:type="dxa"/>
            <w:vAlign w:val="bottom"/>
            <w:gridSpan w:val="2"/>
            <w:vMerge w:val="restart"/>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89"/>
        </w:trPr>
        <w:tc>
          <w:tcPr>
            <w:tcW w:w="2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w:t>
            </w:r>
          </w:p>
        </w:tc>
        <w:tc>
          <w:tcPr>
            <w:tcW w:w="28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12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97"/>
        </w:trPr>
        <w:tc>
          <w:tcPr>
            <w:tcW w:w="28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8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September 30, 2014</w:t>
            </w:r>
          </w:p>
        </w:tc>
        <w:tc>
          <w:tcPr>
            <w:tcW w:w="280" w:type="dxa"/>
            <w:vAlign w:val="bottom"/>
            <w:tcBorders>
              <w:top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3,109</w:t>
            </w:r>
          </w:p>
        </w:tc>
        <w:tc>
          <w:tcPr>
            <w:tcW w:w="108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28,832</w:t>
            </w:r>
          </w:p>
        </w:tc>
        <w:tc>
          <w:tcPr>
            <w:tcW w:w="12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13,975</w:t>
            </w:r>
          </w:p>
        </w:tc>
        <w:tc>
          <w:tcPr>
            <w:tcW w:w="100" w:type="dxa"/>
            <w:vAlign w:val="bottom"/>
          </w:tcPr>
          <w:p>
            <w:pPr>
              <w:spacing w:after="0"/>
              <w:rPr>
                <w:sz w:val="13"/>
                <w:szCs w:val="13"/>
                <w:color w:val="auto"/>
              </w:rPr>
            </w:pPr>
          </w:p>
        </w:tc>
        <w:tc>
          <w:tcPr>
            <w:tcW w:w="500" w:type="dxa"/>
            <w:vAlign w:val="bottom"/>
            <w:tcBorders>
              <w:top w:val="single" w:sz="8" w:color="auto"/>
            </w:tcBorders>
            <w:vMerge w:val="restart"/>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(2,930)</w:t>
            </w:r>
          </w:p>
        </w:tc>
        <w:tc>
          <w:tcPr>
            <w:tcW w:w="10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37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561</w:t>
            </w:r>
          </w:p>
        </w:tc>
        <w:tc>
          <w:tcPr>
            <w:tcW w:w="12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43,563</w:t>
            </w:r>
          </w:p>
        </w:tc>
        <w:tc>
          <w:tcPr>
            <w:tcW w:w="0" w:type="dxa"/>
            <w:vAlign w:val="bottom"/>
          </w:tcPr>
          <w:p>
            <w:pPr>
              <w:spacing w:after="0"/>
              <w:rPr>
                <w:sz w:val="1"/>
                <w:szCs w:val="1"/>
                <w:color w:val="auto"/>
              </w:rPr>
            </w:pPr>
          </w:p>
        </w:tc>
      </w:tr>
      <w:tr>
        <w:trPr>
          <w:trHeight w:val="82"/>
        </w:trPr>
        <w:tc>
          <w:tcPr>
            <w:tcW w:w="2860" w:type="dxa"/>
            <w:vAlign w:val="bottom"/>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80" w:type="dxa"/>
            <w:vAlign w:val="bottom"/>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37"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22"/>
                <w:szCs w:val="22"/>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255"/>
        </w:trPr>
        <w:tc>
          <w:tcPr>
            <w:tcW w:w="7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6,894</w:t>
            </w:r>
          </w:p>
        </w:tc>
        <w:tc>
          <w:tcPr>
            <w:tcW w:w="1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9,572</w:t>
            </w:r>
          </w:p>
        </w:tc>
        <w:tc>
          <w:tcPr>
            <w:tcW w:w="0" w:type="dxa"/>
            <w:vAlign w:val="bottom"/>
          </w:tcPr>
          <w:p>
            <w:pPr>
              <w:spacing w:after="0"/>
              <w:rPr>
                <w:sz w:val="1"/>
                <w:szCs w:val="1"/>
                <w:color w:val="auto"/>
              </w:rPr>
            </w:pPr>
          </w:p>
        </w:tc>
      </w:tr>
      <w:tr>
        <w:trPr>
          <w:trHeight w:val="193"/>
        </w:trPr>
        <w:tc>
          <w:tcPr>
            <w:tcW w:w="7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Expenditures for property</w:t>
            </w: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 marketable securities, acquisitions</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(4,247)</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Trading marketable securities, acquisitions</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 marketable securities, liquidations</w:t>
            </w:r>
          </w:p>
        </w:tc>
        <w:tc>
          <w:tcPr>
            <w:tcW w:w="16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5,242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2,777</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Trading marketable securities, liquidations</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5,311</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companies, net of cash acquired</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business units/investments, net of cash disposed</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restricted cash and marketable securities</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restricted cash and marketable securities</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finance receivables</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(10,824)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collections and recoveries on finance receivables</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8,124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5,092</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leased vehicles, net</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termination of leased vehicles</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6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73"/>
        </w:trPr>
        <w:tc>
          <w:tcPr>
            <w:tcW w:w="79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(11,425)</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(10,589)</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short-term debt</w:t>
            </w: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debt (original maturities greater than three months)</w:t>
            </w:r>
          </w:p>
        </w:tc>
        <w:tc>
          <w:tcPr>
            <w:tcW w:w="16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21,848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21,068</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on debt (original maturities greater than three months)</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(13,714)</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to purchase stock</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73"/>
        </w:trPr>
        <w:tc>
          <w:tcPr>
            <w:tcW w:w="7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 (including charge related to purchase of Series A Preferred Stock)</w:t>
            </w: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73"/>
        </w:trPr>
        <w:tc>
          <w:tcPr>
            <w:tcW w:w="79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3,360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3,319</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73"/>
        </w:trPr>
        <w:tc>
          <w:tcPr>
            <w:tcW w:w="79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78"/>
        </w:trPr>
        <w:tc>
          <w:tcPr>
            <w:tcW w:w="79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20,021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18,422</w:t>
            </w:r>
          </w:p>
        </w:tc>
        <w:tc>
          <w:tcPr>
            <w:tcW w:w="0" w:type="dxa"/>
            <w:vAlign w:val="bottom"/>
          </w:tcPr>
          <w:p>
            <w:pPr>
              <w:spacing w:after="0"/>
              <w:rPr>
                <w:sz w:val="1"/>
                <w:szCs w:val="1"/>
                <w:color w:val="auto"/>
              </w:rPr>
            </w:pPr>
          </w:p>
        </w:tc>
      </w:tr>
      <w:tr>
        <w:trPr>
          <w:trHeight w:val="73"/>
        </w:trPr>
        <w:tc>
          <w:tcPr>
            <w:tcW w:w="79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18,060</w:t>
            </w:r>
          </w:p>
        </w:tc>
        <w:tc>
          <w:tcPr>
            <w:tcW w:w="16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20,355</w:t>
            </w:r>
          </w:p>
        </w:tc>
        <w:tc>
          <w:tcPr>
            <w:tcW w:w="0" w:type="dxa"/>
            <w:vAlign w:val="bottom"/>
          </w:tcPr>
          <w:p>
            <w:pPr>
              <w:spacing w:after="0"/>
              <w:rPr>
                <w:sz w:val="1"/>
                <w:szCs w:val="1"/>
                <w:color w:val="auto"/>
              </w:rPr>
            </w:pPr>
          </w:p>
        </w:tc>
      </w:tr>
      <w:tr>
        <w:trPr>
          <w:trHeight w:val="59"/>
        </w:trPr>
        <w:tc>
          <w:tcPr>
            <w:tcW w:w="79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7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property additions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3,372</w:t>
            </w:r>
          </w:p>
        </w:tc>
        <w:tc>
          <w:tcPr>
            <w:tcW w:w="16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3,326</w:t>
            </w:r>
          </w:p>
        </w:tc>
        <w:tc>
          <w:tcPr>
            <w:tcW w:w="0" w:type="dxa"/>
            <w:vAlign w:val="bottom"/>
          </w:tcPr>
          <w:p>
            <w:pPr>
              <w:spacing w:after="0"/>
              <w:rPr>
                <w:sz w:val="1"/>
                <w:szCs w:val="1"/>
                <w:color w:val="auto"/>
              </w:rPr>
            </w:pPr>
          </w:p>
        </w:tc>
      </w:tr>
      <w:tr>
        <w:trPr>
          <w:trHeight w:val="59"/>
        </w:trPr>
        <w:tc>
          <w:tcPr>
            <w:tcW w:w="79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7"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General Motors Company is sometimes referred to in this Quarterly Report on Form 10-Q as “we,” “our,” “us,” “ourselves,” the “Company,” “General Motors,” or “GM.” We design, build and sell cars, trucks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88" w:lineRule="exact"/>
        <w:rPr>
          <w:sz w:val="20"/>
          <w:szCs w:val="20"/>
          <w:color w:val="auto"/>
        </w:rPr>
      </w:pPr>
    </w:p>
    <w:p>
      <w:pPr>
        <w:jc w:val="both"/>
        <w:ind w:right="20" w:firstLine="162"/>
        <w:spacing w:after="0" w:line="266" w:lineRule="auto"/>
        <w:rPr>
          <w:sz w:val="20"/>
          <w:szCs w:val="20"/>
          <w:color w:val="auto"/>
        </w:rPr>
      </w:pPr>
      <w:r>
        <w:rPr>
          <w:rFonts w:ascii="Times New Roman" w:cs="Times New Roman" w:eastAsia="Times New Roman" w:hAnsi="Times New Roman"/>
          <w:sz w:val="18"/>
          <w:szCs w:val="18"/>
          <w:color w:val="auto"/>
        </w:rPr>
        <w:t>As discussed in Note 8 we announced recalls of approximately 34 million vehicles and recorded recall-related charges of approximately $2.7 billion in the nine months ended September 30, 2014 and as discussed in Note 10 we announced the creation of a compensation program related to faulty ignition switches and recorded a charge of $400 million in the three months ended June 30,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composed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2013 (2013 Form 10-K) as filed with the SEC. Certain prior year amounts were reclassified to conform to our current year presentation.</w:t>
      </w:r>
    </w:p>
    <w:p>
      <w:pPr>
        <w:spacing w:after="0" w:line="18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 Refer to Note 15 for additional information on our segment reporting.</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have historically accrued estimated costs related to recall campaigns in GMNA when they are probable and reasonably estimable, which typically occurred once it was determined a specific recall campaign was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Based on expanded historical data, we recorded a catch-up adjustment of $874 million in Automotive cost of sales in the three months ended June 30, 2014 to adjust the estimate for recall costs for previously sold vehicles. In other geographical regions the historical claims data did not support the application of an actuarial-based model; therefore, recall campaigns are accrued when probable and reasonably estimable, which typically occurs once it is determined a specific recall campaign is needed and announced.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Principles</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On January 1, 2014 we adopted Accounting Standards Update (ASU) 2013-11, “Presentation of an Unrecognized Tax Benefit When a Net Operating Loss Carryforward, a Similar Tax Loss, or a Tax Credit Carryforward Exists” (ASU 2013-11) which was issued to eliminate diversity in practice. This update requires that companies net their unrecognized tax benefits against all same-jurisdiction net operating losses or tax credit carryforwards that would be used to settle the position with a tax authority. The adoption of ASU 2013-11 did not have an effect on our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ASU 2014-09, “Revenue from Contracts with Customers” (ASU 2014-09) which requires companies to recognize revenue when a customer obtains control rather than when companies have transferred substantially all risks and rewards of a good or service. This update is effective for annual reporting periods beginning on or after December 15, 2016 and interim periods therein and requires expanded disclosures. We are currently assessing the impact the adoption of ASU 2014-09 will have on our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Marketable Securities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information regarding marketable securities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19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54"/>
        </w:trPr>
        <w:tc>
          <w:tcPr>
            <w:tcW w:w="6280" w:type="dxa"/>
            <w:vAlign w:val="bottom"/>
          </w:tcPr>
          <w:p>
            <w:pPr>
              <w:spacing w:after="0"/>
              <w:rPr>
                <w:sz w:val="4"/>
                <w:szCs w:val="4"/>
                <w:color w:val="auto"/>
              </w:rPr>
            </w:pPr>
          </w:p>
        </w:tc>
        <w:tc>
          <w:tcPr>
            <w:tcW w:w="74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5"/>
                <w:szCs w:val="5"/>
                <w:color w:val="auto"/>
              </w:rPr>
            </w:pPr>
          </w:p>
        </w:tc>
        <w:tc>
          <w:tcPr>
            <w:tcW w:w="8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5"/>
                <w:szCs w:val="5"/>
                <w:color w:val="auto"/>
              </w:rPr>
            </w:pPr>
          </w:p>
        </w:tc>
        <w:tc>
          <w:tcPr>
            <w:tcW w:w="8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Sovereign debt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10,514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10,514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10,812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Trading securities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corporate debt</w:t>
            </w:r>
          </w:p>
        </w:tc>
        <w:tc>
          <w:tcPr>
            <w:tcW w:w="6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line="20" w:lineRule="exact"/>
              <w:rPr>
                <w:sz w:val="1"/>
                <w:szCs w:val="1"/>
                <w:color w:val="auto"/>
              </w:rPr>
            </w:pPr>
          </w:p>
        </w:tc>
      </w:tr>
      <w:tr>
        <w:trPr>
          <w:trHeight w:val="251"/>
        </w:trPr>
        <w:tc>
          <w:tcPr>
            <w:tcW w:w="6280" w:type="dxa"/>
            <w:vAlign w:val="bottom"/>
            <w:tcBorders>
              <w:bottom w:val="single" w:sz="8" w:color="CCEEFF"/>
            </w:tcBorders>
            <w:vMerge w:val="continue"/>
          </w:tcPr>
          <w:p>
            <w:pPr>
              <w:spacing w:after="0"/>
              <w:rPr>
                <w:sz w:val="21"/>
                <w:szCs w:val="21"/>
                <w:color w:val="auto"/>
              </w:rPr>
            </w:pPr>
          </w:p>
        </w:tc>
        <w:tc>
          <w:tcPr>
            <w:tcW w:w="62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classified as cash equivalents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10,837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time deposits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9,184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20,021</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6,258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8,169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1"/>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7,235</w:t>
            </w:r>
          </w:p>
        </w:tc>
        <w:tc>
          <w:tcPr>
            <w:tcW w:w="0" w:type="dxa"/>
            <w:vAlign w:val="bottom"/>
          </w:tcPr>
          <w:p>
            <w:pPr>
              <w:spacing w:after="0"/>
              <w:rPr>
                <w:sz w:val="1"/>
                <w:szCs w:val="1"/>
                <w:color w:val="auto"/>
              </w:rPr>
            </w:pPr>
          </w:p>
        </w:tc>
      </w:tr>
      <w:tr>
        <w:trPr>
          <w:trHeight w:val="251"/>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Trading securities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sovereign debt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304"/>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8,972</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 and marketable securities</w:t>
            </w: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marketable securities classified as restricted cash and marketable securities</w:t>
            </w: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Restricted cash and cash equivalents and time deposits</w:t>
            </w: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restricted cash and marketable securities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are required to post cash and marketable securities as collateral for certain agreements that we enter into as part of our operations. Cash and marketable securities subject to contractual restrictions and not readily available are classified as Restricted cash and marketable securities. Restricted cash and marketable securities are invested in accordance with the terms of the underlying agreements and include amounts related to securitizations, escrows and other cash collateral requirements.</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Sales proceeds from investments classified as available-for-sale and sold prior to maturity were $663 million and $917 million in the three months ended September 30, 2014 and 2013 and $2.1 billion and $2.6 billion in the nine months ended September 30, 2014 and 2013. Cumulative unrealized gains and losses on available-for-sale securities were insignificant at September 30, 2014 and December 31, 2013 and net unrealized gains and losses on trading securities were insignificant in the three and nine months ended September 30, 2014 and 2013. The following table summarizes the amortized cost and the fair value of investments classified as available-for-sale by contractual maturity at September 30, 2014 (dollars in millions):</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6"/>
                <w:szCs w:val="16"/>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9"/>
        </w:trPr>
        <w:tc>
          <w:tcPr>
            <w:tcW w:w="8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15,381</w:t>
            </w: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1,965</w:t>
            </w:r>
          </w:p>
        </w:tc>
      </w:tr>
      <w:tr>
        <w:trPr>
          <w:trHeight w:val="27"/>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available-for-sale securities with contractual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17,345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17,346</w:t>
            </w:r>
          </w:p>
        </w:tc>
      </w:tr>
      <w:tr>
        <w:trPr>
          <w:trHeight w:val="20"/>
        </w:trPr>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GM Financial Receivables, net</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As a result of our October 2010 acquisition of GM Financial and GM Financial's acquisition of certain of the Ally Financial Inc. (Ally Financial) international operations in the year ended December 31, 2013, finance receivables are reported in two portfolios: pre-acquisition and post-acquisition portfolios. The pre-acquisition finance receivables portfolio consists of finance receivables that were considered to have had deterioration in credit quality at the time they were acquired with the acquisitions of GM Financial and the Ally Financial international operations. The pre-acquisition portfolio will decrease over time with the amortization of the acquired receivables. The post-acquisition finance receivables portfolio consists of finance receivables that were considered to have had no deterioration in credit quality at the time they were acquired with the acquisition of the Ally Financial international operations and finance receivables originated since the acquisitions of GM Financial and the Ally Financial international operations. The post-acquisition portfolio is expected to grow over time as GM Financial originates new receivables.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components of consumer and commercial finance receivables, net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1"/>
        </w:trPr>
        <w:tc>
          <w:tcPr>
            <w:tcW w:w="48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13"/>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8"/>
                <w:szCs w:val="18"/>
                <w:color w:val="auto"/>
              </w:rPr>
            </w:pPr>
          </w:p>
        </w:tc>
        <w:tc>
          <w:tcPr>
            <w:tcW w:w="7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48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Pre-acquisition finance receivables, outstanding amount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1,294</w:t>
            </w:r>
          </w:p>
        </w:tc>
      </w:tr>
      <w:tr>
        <w:trPr>
          <w:trHeight w:val="122"/>
        </w:trPr>
        <w:tc>
          <w:tcPr>
            <w:tcW w:w="4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Pre-acquisition finance receivables, carrying amount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1,174</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Post-acquisition finance receivables, net of fees</w:t>
            </w:r>
          </w:p>
        </w:tc>
        <w:tc>
          <w:tcPr>
            <w:tcW w:w="1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24,618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21,956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28,006</w:t>
            </w:r>
          </w:p>
        </w:tc>
      </w:tr>
      <w:tr>
        <w:trPr>
          <w:trHeight w:val="27"/>
        </w:trPr>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Finance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29,180</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4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24,608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22,633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28,632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243"/>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GM Financial receivables, net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28,668</w:t>
            </w:r>
          </w:p>
        </w:tc>
      </w:tr>
      <w:tr>
        <w:trPr>
          <w:trHeight w:val="27"/>
        </w:trPr>
        <w:tc>
          <w:tcPr>
            <w:tcW w:w="4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Of the total allowance for loan losses in the above table, $502 million and $427 million were classified as current at September 30, 2014 and December 31, 2013.</w:t>
      </w:r>
    </w:p>
    <w:p>
      <w:pPr>
        <w:spacing w:after="0" w:line="162"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GM Financial determined the fair value of consumer finance receivables using observable and unobservable inputs within a cash flow model.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using unobservable debt and equity percentages, an unobservable cost of equity and an observable cost of debt based on companies with a similar credit rating and maturity profile as the portfolio. Macroeconomic factors could negatively affect the credit performance of the portfolio and therefore could potentially affect the assumptions used in GM Financial's cash flow model. A substantial majority of commercial finance receivables have variable interest rates and maturities of one year or less. Therefore the carrying amount is considered to be a reasonable estimate of fair value.</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activity for the allowance for loan losses on consumer and commercial finance receivables (dollars in millions):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0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43"/>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balances and activity of the allowance for commercial loan losses included in the above table at and in the three and nine months ended September 30, 2014 and 2013 were insignificant.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Consumer Finance Receivables</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GM Financial uses proprietary scoring systems that measure the credit quality of the receivables using several factors, such as credit bureau information, consumer credit risk scores (e.g. FICO score)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had prime credit scores. At the time of loan origination many consumers in North America had sub-prime credit scores, which are defined as FICO scores of less than 620. At September 30, 2014 87% of the consumer finance receivables in North America were from consumers with FICO scores of less than 620.</w:t>
      </w:r>
    </w:p>
    <w:p>
      <w:pPr>
        <w:spacing w:after="0" w:line="18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GM Financial purchases consumer finance contracts from automobile dealers without recourse, and accordingly, the dealer has no liability to GM Financial if the consumer defaults on the contract. Finance receivables are collateralized by vehicle titles and GM Financial has the right to repossess the vehicle in the event the consumer defaults on the payment terms of the contract.</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An account is considered delinquent if a substantial portion of a scheduled payment has not been received by the date such payment was contractually due. At September 30, 2014 and December 31, 2013 the accrual of finance charge income has been suspended on delinquent consumer finance receivables with contractual amounts due of $675 million and $642 million. The following table summarizes the contractual amount of delinquent contracts, which is not significantly different than the recorded investment of the consumer finance receivables (dollars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95"/>
        </w:trPr>
        <w:tc>
          <w:tcPr>
            <w:tcW w:w="6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Due</w:t>
            </w:r>
          </w:p>
        </w:tc>
        <w:tc>
          <w:tcPr>
            <w:tcW w:w="0" w:type="dxa"/>
            <w:vAlign w:val="bottom"/>
          </w:tcPr>
          <w:p>
            <w:pPr>
              <w:spacing w:after="0"/>
              <w:rPr>
                <w:sz w:val="1"/>
                <w:szCs w:val="1"/>
                <w:color w:val="auto"/>
              </w:rPr>
            </w:pPr>
          </w:p>
        </w:tc>
      </w:tr>
      <w:tr>
        <w:trPr>
          <w:trHeight w:val="249"/>
        </w:trPr>
        <w:tc>
          <w:tcPr>
            <w:tcW w:w="6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31-to-60 days delinquent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Greater-than-60 days delinquent</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6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 repossession</w:t>
            </w: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finance receivables more than 30 days delinquent or in repossession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Impaired Finance Receivables - Troubled Debt Restructurings (TDRs)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8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Consumer finance receivables in the post-acquisition portfolio that become classified as TDRs because of payment deferral or other reasons are separately assessed for impairment. A specific allowance is estimated based on the present value of the expected future cash flows of the receivable discounted at the loan's original effective interest rate. The following table summarizes the outstanding recorded investment for consumer finance receivables that are considered to be TDRs and the related allowance (dollars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6"/>
                <w:szCs w:val="16"/>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recorded investment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767</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recorded investment, net of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664</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09"/>
        </w:trPr>
        <w:tc>
          <w:tcPr>
            <w:tcW w:w="8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43"/>
        </w:trPr>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Unpaid principal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8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Commercial Finance Receivables</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At September 30, 2014 and December 31, 2013 the commercial finance receivables on non-accrual status were insignificant. The following table summarizes the credit risk profile by dealer grouping of the commercial finance receivables (dollars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6"/>
                <w:szCs w:val="16"/>
                <w:color w:val="auto"/>
              </w:rPr>
            </w:pP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51"/>
        </w:trPr>
        <w:tc>
          <w:tcPr>
            <w:tcW w:w="80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 - Dealers with superior financial metrics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II - Dealers with strong financial metrics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III - Dealers with fair financial metrics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IV - Dealers with weak financial metrics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Group V - Dealers warranting special mention due to potential weaknesses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VI - Dealers with loans classified as substandard, doubtful or impaired</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The credit lines for Group VI dealers are suspended and no further funding is extended to these dealers.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components of Inventories (dollars in millions):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24"/>
                <w:szCs w:val="24"/>
                <w:color w:val="auto"/>
              </w:rPr>
            </w:pP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Productive material, supplies and work in process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5,872</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8,167</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14,039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Equity in Net Assets of Nonconsolidated Affiliates</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Sales and income of our China joint ventures (China JVs) are not consolidated into our financial statements; rather, our proportionate share of the earnings of each joint venture is reflected as Equity income. There have been no significant ownership changes in our China JVs since December 31, 2013. The following table summarizes information regarding Equity income (dollars in millions):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8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 JVs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1,391</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equity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1,420</w:t>
            </w: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received dividends from nonconsolidated affiliates of $506 million and $0 in the three months ended September 30, 2014 and 2013 and $1.8 billion and $1.6 billion in the nine months ended September 30, 2014 and 2013. At September 30, 2014 and December 31, 2013 we had undistributed earnings including dividends declared but not received of $1.5 billion and $1.8 billion related to our nonconsolidated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Nonconsolidated Affiliates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Nonconsolidated affiliates are involved in various aspects of the development, production and marketing of cars, trucks and automobile parts. We purchase component parts and vehicles from certain nonconsolidated affiliates for resale to dealers. We also sell component parts and vehicles to certain nonconsolidated affiliates. The following tables summarize the effects of transactions with nonconsolidated affiliates (dollars in millions):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440" w:type="dxa"/>
            <w:vAlign w:val="bottom"/>
            <w:gridSpan w:val="7"/>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51"/>
        </w:trPr>
        <w:tc>
          <w:tcPr>
            <w:tcW w:w="6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44"/>
        </w:trPr>
        <w:tc>
          <w:tcPr>
            <w:tcW w:w="6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2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20" w:type="dxa"/>
            <w:vAlign w:val="bottom"/>
            <w:gridSpan w:val="3"/>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95"/>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sales and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2,211</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1,900</w:t>
            </w:r>
          </w:p>
        </w:tc>
      </w:tr>
      <w:tr>
        <w:trPr>
          <w:trHeight w:val="27"/>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purchases,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287</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3,767</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3,015</w:t>
            </w:r>
          </w:p>
        </w:tc>
      </w:tr>
      <w:tr>
        <w:trPr>
          <w:trHeight w:val="400"/>
        </w:trPr>
        <w:tc>
          <w:tcPr>
            <w:tcW w:w="6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auto"/>
                <w:w w:val="96"/>
              </w:rPr>
              <w:t>592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756</w:t>
            </w:r>
          </w:p>
        </w:tc>
      </w:tr>
      <w:tr>
        <w:trPr>
          <w:trHeight w:val="27"/>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138"/>
              <w:spacing w:after="0"/>
              <w:rPr>
                <w:sz w:val="20"/>
                <w:szCs w:val="20"/>
                <w:color w:val="auto"/>
              </w:rPr>
            </w:pPr>
            <w:r>
              <w:rPr>
                <w:rFonts w:ascii="Times New Roman" w:cs="Times New Roman" w:eastAsia="Times New Roman" w:hAnsi="Times New Roman"/>
                <w:sz w:val="18"/>
                <w:szCs w:val="18"/>
                <w:color w:val="auto"/>
                <w:w w:val="96"/>
              </w:rPr>
              <w:t>200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183</w:t>
            </w:r>
          </w:p>
        </w:tc>
      </w:tr>
      <w:tr>
        <w:trPr>
          <w:trHeight w:val="27"/>
        </w:trPr>
        <w:tc>
          <w:tcPr>
            <w:tcW w:w="6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 (VIEs)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VIEs that we do not control through a majority voting interest that are consolidated because we are the primary beneficiary include certain vehicle assembling, manufacturing and selling venture arrangements, the most significant of which is GM Egypt. Certain voting and other rights permit us to direct those activities of GM Egypt that most significantly affect its economic performance. The assets and liabilities recorded related to these VIEs consist primarily of Cash and cash equivalents, Restricted cash and marketable securities, Accounts and notes receivable, net, Inventories, Property, net, Accounts payable (principally trade), Accrued liabilities and short-term and long-term debt. Liabilities recognized as a result of consolidating VIEs generally do not represent claims against us or our other subsidiaries and assets recognized generally are for the benefit of the VIEs' operations and cannot be used to satisfy our obligations. The following tables summarize the carrying amounts of assets and liabilities and amounts recorded in earnings related to these consolidated VIEs stated prior to intercompany eliminations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Borders>
              <w:bottom w:val="single" w:sz="8" w:color="CCEEFF"/>
            </w:tcBorders>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4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564</w:t>
            </w: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4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395</w:t>
            </w:r>
          </w:p>
        </w:tc>
      </w:tr>
      <w:tr>
        <w:trPr>
          <w:trHeight w:val="675"/>
        </w:trPr>
        <w:tc>
          <w:tcPr>
            <w:tcW w:w="3380" w:type="dxa"/>
            <w:vAlign w:val="bottom"/>
          </w:tcPr>
          <w:p>
            <w:pPr>
              <w:spacing w:after="0"/>
              <w:rPr>
                <w:sz w:val="24"/>
                <w:szCs w:val="24"/>
                <w:color w:val="auto"/>
              </w:rPr>
            </w:pPr>
          </w:p>
        </w:tc>
        <w:tc>
          <w:tcPr>
            <w:tcW w:w="47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400" w:type="dxa"/>
            <w:vAlign w:val="bottom"/>
            <w:gridSpan w:val="4"/>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51"/>
        </w:trPr>
        <w:tc>
          <w:tcPr>
            <w:tcW w:w="62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44"/>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80" w:type="dxa"/>
            <w:vAlign w:val="bottom"/>
          </w:tcPr>
          <w:p>
            <w:pPr>
              <w:jc w:val="right"/>
              <w:ind w:right="79"/>
              <w:spacing w:after="0" w:line="145"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720</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51</w:t>
            </w:r>
          </w:p>
        </w:tc>
      </w:tr>
    </w:tbl>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the cash flows related to finance receivables and leasing related assets transferred by GM Financial to the VIEs (Securitized Assets). GM Financial holds variable interests in the VIEs that could potentially be significant to the VIEs. GM Financial determined that they are the primary beneficiary of the SPEs because: (1) the servicing responsibilities for the Securitized Assets give GM Financial the power to direct the activities that most significantly impact the performance of the VIEs; and</w:t>
      </w:r>
    </w:p>
    <w:p>
      <w:pPr>
        <w:spacing w:after="0" w:line="3" w:lineRule="exact"/>
        <w:rPr>
          <w:sz w:val="20"/>
          <w:szCs w:val="20"/>
          <w:color w:val="auto"/>
        </w:rPr>
      </w:pPr>
    </w:p>
    <w:p>
      <w:pPr>
        <w:jc w:val="both"/>
        <w:ind w:firstLine="8"/>
        <w:spacing w:after="0" w:line="255"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interests in the VIEs give GM Financial the obligation to absorb losses and the right to receive residual returns that could potentially be significant. The assets and liabilities of the VIEs are included in GM Financial's condensed consolidated balance sheets. The following table summarizes the assets and liabilities related to GM Financial's consolidated VIEs prior to intercompany eliminations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1,523</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Securitized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25,512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23,584</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Securitization notes payable and other credit facilities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19,448</w:t>
            </w:r>
          </w:p>
        </w:tc>
      </w:tr>
      <w:tr>
        <w:trPr>
          <w:trHeight w:val="27"/>
        </w:trPr>
        <w:tc>
          <w:tcPr>
            <w:tcW w:w="8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Restricted cash represents collections from the underlying Securitized Assets and certain reserve accounts held as credit enhancement for securitizations held by GM Financial for the benefit of the noteholders. Except for acquisition accounting adjustments, which are not recorded in SPE trusts, GM Financial recognizes finance charge income, leased vehicle income and other income on the Securitized Assets and interest expense on the secured debt issued by the SPEs. GM Financial also maintains an allowance for estimated probable credit losses on securitized receivables. Cash pledged to support the secured borrowings is deposited to a restricted cash account and recorded as restricted cash, which is invested in highly liquid securities with original maturities of 90 days or less.</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assets of the VIEs and the restricted cash held by GM Financial serve as the sole source of repayment for the asset-backed securities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these subsidiaries are separate legal entities and their assets are legally owned by them and are not available to GM Financial's creditors.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VIEs that are not consolidated include certain vehicle assembling, manufacturing and selling venture arrangements and other automotive related entities to which we provided financial support including Ally Financial. We concluded these entities are VIEs because they do not have sufficient equity at risk or may require additional subordinated financial support. We currently lack the power or authority through voting or similar rights to direct the activities of these entities that most significantly affect their economic performance. Our variable interests in these nonconsolidated VIEs include accounts and notes receivable, equity in net assets, guarantees and financial support, some of which were provided to certain current or previously divested suppliers in order to ensure that supply needs for production were not disrupted due to a supplier's liquidity concerns or possible shutdowns. The following table summarizes the carrying amounts of assets and liabilities and total off-balance sheet arrangements related to nonconsolidated VIEs (dollars in millions):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838</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Off-balance sheet arrangements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8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Assets and liabilities consist primarily of Equity in net assets of nonconsolidated affiliates, Short-term debt and current portion of long-term debt and Accrued liabilities. Off-balance sheet arrangements consist of commitments and other liquidity arrangements. Our maximum exposure to loss related to nonconsolidated VIEs approximated the carrying amount of total assets and the amount of off-balance sheet arrangements at September 30, 2014 and December 31, 2013. Refer to Note 10 for additional information on our maximum exposure to loss under agreements with Ally Financial.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Short-Term and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0" w:type="dxa"/>
            <w:vAlign w:val="bottom"/>
          </w:tcPr>
          <w:p>
            <w:pPr>
              <w:spacing w:after="0"/>
              <w:rPr>
                <w:sz w:val="16"/>
                <w:szCs w:val="16"/>
                <w:color w:val="auto"/>
              </w:rPr>
            </w:pPr>
          </w:p>
        </w:tc>
        <w:tc>
          <w:tcPr>
            <w:tcW w:w="14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amount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7,137</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7,271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6,837</w:t>
            </w:r>
          </w:p>
        </w:tc>
      </w:tr>
    </w:tbl>
    <w:p>
      <w:pPr>
        <w:spacing w:after="0" w:line="198"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fair value of debt includes $4.9 billion measured utilizing Level 1 inputs at September 30, 2014 and $2.4 billion and $6.8 billion measured utilizing Level 2 inputs at September 30, 2014 and December 31, 2013. The fair value of debt measured utilizing Level 1 inputs was based on quoted prices in active markets for identical instruments that a market participant can access at the measurement date. The fair value of debt measured utilizing Level 2 inputs was based on quoted market prices in inactive markets for identical instruments and if unavailable, a discounted cash flow model.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received an investment grade corporate rating from Moody's Investor Service (Moody's) in September 2013 and from Standard &amp; Poor's (S&amp;P) in September 2014 which allowed the release of the collateral securing our $11.0 billion revolving credit facilities under their terms.</w:t>
      </w:r>
    </w:p>
    <w:p>
      <w:pPr>
        <w:spacing w:after="0" w:line="162"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October 2014 we amended our two primary revolving credit facilities, increasing our aggregate borrowing capacity from $11.0 billion to $12.5 billion. These facilities consist of a three-year, $5.0 billion facility and a five-year, $7.5 billion facility. Both facilities are available to the Company as well as certain wholly-owned subsidiaries, including GM Financial. The three-year, $5.0 billion facility allows for borrowings in U.S. Dollars and other currencies and includes a GM Financial borrowing sub-limit of $2.0 billion, a letter of credit sub-facility of $1.6 billion and a Brazilian Real sub-facility of $305 million. The five-year, $7.5 billion facility allows for borrowings in U.S. Dollars and other currencies and includes a GM Financial borrowing sub-limit of $2.0 billion, a letter of credit sub-limit of $500 million and a Brazilian Real sub-facility of $195 million.</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revolving credit facilities contain representations, warranties and covenants that are typical for these types of facilities. The facilities also require us to maintain at least $4.0 billion in global liquidity and at least $2.0 billion in U.S. liquidity and to guarantee any borrowings by our subsidiaries. If we fail to maintain an investment grade corporate rating from two or more of the following credit rating agencies: Fitch Ratings (Fitch), Moody's and S&amp;P, we will be required to provide guarantees from certain domestic subsidiaries under the terms of the facilities. Interest rates on obligations under the revolving credit facilities are based on prevailing annual interest rates for Eurodollar loans or an alternative base rate, plus an applicable margin.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Extinguishment of Debt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2013 we prepaid and retired debt obligations with a total carrying amount of $532 million and recorded a net loss on extinguishment of debt of $238 million which primarily represented the unamortized debt discount on GM Korea Company's (GM Korea) mandatorily redeemable preferred stock of $240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carrying amount and fair value of debt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Secured debt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22,170</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debt</w:t>
            </w: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7,078</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GM Financial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33,774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33,987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29,046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29,248</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fair value of debt included $29.2 billion and $23.0 billion measured utilizing Level 2 inputs and $4.8 billion and $6.2 billion measured utilizing Level 3 inputs at September 30, 2014 and December 31, 2013. The fair value of debt measured utilizing Level 2 inputs was based on quoted market prices and if unavailable, quoted market prices of similar securities. For debt that has terms of one year or less or has been priced within the last six months, the carrying amount or par value is considered to be a reasonable estimate of fair value. The fair value of debt measured utilizing Level 3 inputs was based on the discounted future net cash flows expected to be settled using current risk-adjusted rates.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Secured Debt</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Most of the secured debt was issued by VIEs and is repayable only from proceeds related to the underlying pledged finance receivables and leases. Refer to Note 6 for additional information relating to GM Financial's involvement with VIEs. In the nine months ended September 30, 2014 GM Financial issued securitization notes payable of $7.1 billion through securitization transactions with a weighted-average interest rate of 1.4% maturing on various dates through 2022.</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Unsecured Debt</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May 2014 GM Financial issued Canadian Dollar $400 million of 3.25% senior notes which are due in May 2017 with interest payable semiannually. In July 2014 GM Financial issued $1.5 billion in aggregate principal amount of senior notes comprising $700 million of 2.625% notes due in July 2017 and $800 million of 3.5% notes due in July 2019. In September 2014 GM Financial issued $2.0 billion in aggregate principal amount of senior notes comprising $750 million of 3.0% notes due in September 2017 and $1.25 billion of 4.375% notes due in September 2021. In October 2014 GM Financial issued Euro 500 million of 1.875% term notes which are due in October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Product Warranty and Related Liabilities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activity for policy, product warranty, recall campaigns and courtesy transportation (dollars in millions):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7,601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7,633</w:t>
            </w:r>
          </w:p>
        </w:tc>
        <w:tc>
          <w:tcPr>
            <w:tcW w:w="0" w:type="dxa"/>
            <w:vAlign w:val="bottom"/>
          </w:tcPr>
          <w:p>
            <w:pPr>
              <w:spacing w:after="0"/>
              <w:rPr>
                <w:sz w:val="1"/>
                <w:szCs w:val="1"/>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 and courtesy transportation</w:t>
            </w: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policy and warranty</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10,023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60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color w:val="auto"/>
        </w:rPr>
        <w:t>In the nine months ended September 30, 2014 we recorded charges of approximately $2.7 billion in Automotive cost of sales relating to recall campaigns and courtesy transportation, of which approximately 90% was recorded in GMNA. The recorded charges primarily comprised: (1) approximately $680 million for 2.6 million vehicles to repair ignition switches that could result in a loss of electrical power under certain circumstances that may prevent front airbags from deploying in the event of a crash (accident victims who died or suffered physical injury associated with these vehicles (or their families) may be eligible to participate in a compensation program, as more fully described in Note 10); to fix ignition lock cylinders that could allow removal of the ignition key while the engine is running, leading to possible rollaway or crash; and to provide courtesy transportation to owners of affected vehicles; partially offset by adjustments of approximately $95 million for courtesy transportation as a result of greater part availability and fewer customers utilizing courtesy transportation than originally estimated and approximately $80 million for costs originally estimated separately for ignition switches and ignition lock cylinders that are now being shipped and repaired at the same time resulting in reduced costs; (2) approximately $340 million for 1.9 million vehicles to replace either the power steering motor, the steering column, the power steering motor control unit or a combination of the steering column and the power steering motor control unit as the electric power steering could fail under certain circumstances; (3) approximately $185 million for 1.3 million vehicles prone to non-deployment of the side impact restraints if vehicles are not serviced when the Service Air Bag warning light is illuminated; (4) approximately $90 million for 2.7 million vehicles to modify the brake lamp wiring harness that could have corrosion develop due to micro-vibration; (5) approximately $80 million for 1.5 million vehicles to replace front safety lap belt cables that could fatigue and separate over time; (6) approximately $150 million for 1.4 million vehicles to replace the shift cable that could wear out over time resulting in mismatches of the gear position indicated by the shift lever; (7) approximately $325 million for 12.1 million vehicles to rework or replace ignition keys because the ignition switch may move out of the “run” position which may impact power steering and power braking and, depending on the timing of the key movement relative to the activation of the sensing algorithm of a crash event, may result in airbags not deploying; and (8) approximately $520 million for 5.2 million vehicles for other matters.</w:t>
      </w:r>
    </w:p>
    <w:p>
      <w:pPr>
        <w:spacing w:after="0" w:line="194"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We have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Based on the expanded historical data we recorded a catch-up adjustment of $874 million in the three months ended June 30, 2014 to adjust the estimate for recall costs for previously sold vehicles, which is included in Adjustments to pre-existing warranties in the nine months ended September 30, 2014. The estimation technique for recall campaigns takes into account our historical experience, including incident rates of recall campaigns. In the three months ended September 30, 2014 we announced ten recalls covering approximately 3.5 million vehicles related to safety, customer satisfaction and other matters. The costs for these recalls are comprehended in the catch-up adjustment.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Pensions and Other Postretirement Benefits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summarizes the components of net periodic pension and other postretirement benefits (OPEB) (income) expense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10"/>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 September 30, 2014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10"/>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September 30, 2013</w:t>
            </w: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Non-U.S.</w:t>
            </w: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Non-U.S.</w:t>
            </w: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Non-U.S.</w:t>
            </w: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40" w:type="dxa"/>
            <w:vAlign w:val="bottom"/>
          </w:tcPr>
          <w:p>
            <w:pPr>
              <w:spacing w:after="0"/>
              <w:rPr>
                <w:sz w:val="12"/>
                <w:szCs w:val="12"/>
                <w:color w:val="auto"/>
              </w:rPr>
            </w:pPr>
          </w:p>
        </w:tc>
        <w:tc>
          <w:tcPr>
            <w:tcW w:w="70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Non-U.S.</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9"/>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Curtailments, settlements and other (gains) losses</w:t>
            </w:r>
          </w:p>
        </w:tc>
        <w:tc>
          <w:tcPr>
            <w:tcW w:w="26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10"/>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 September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10"/>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Nine Months Ended September 30, 2013</w:t>
            </w: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Non-U.S.</w:t>
            </w: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Non-U.S.</w:t>
            </w:r>
          </w:p>
        </w:tc>
        <w:tc>
          <w:tcPr>
            <w:tcW w:w="9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Non-U.S.</w:t>
            </w: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140" w:type="dxa"/>
            <w:vAlign w:val="bottom"/>
          </w:tcPr>
          <w:p>
            <w:pPr>
              <w:spacing w:after="0"/>
              <w:rPr>
                <w:sz w:val="12"/>
                <w:szCs w:val="12"/>
                <w:color w:val="auto"/>
              </w:rPr>
            </w:pPr>
          </w:p>
        </w:tc>
        <w:tc>
          <w:tcPr>
            <w:tcW w:w="700" w:type="dxa"/>
            <w:vAlign w:val="bottom"/>
          </w:tcPr>
          <w:p>
            <w:pPr>
              <w:jc w:val="right"/>
              <w:ind w:right="54"/>
              <w:spacing w:after="0" w:line="149" w:lineRule="exact"/>
              <w:rPr>
                <w:sz w:val="20"/>
                <w:szCs w:val="20"/>
                <w:color w:val="auto"/>
              </w:rPr>
            </w:pPr>
            <w:r>
              <w:rPr>
                <w:rFonts w:ascii="Times New Roman" w:cs="Times New Roman" w:eastAsia="Times New Roman" w:hAnsi="Times New Roman"/>
                <w:sz w:val="14"/>
                <w:szCs w:val="14"/>
                <w:b w:val="1"/>
                <w:bCs w:val="1"/>
                <w:color w:val="auto"/>
                <w:w w:val="99"/>
              </w:rPr>
              <w:t>Non-U.S.</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9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9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9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9"/>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Curtailments, settlements and other (gains) losses</w:t>
            </w:r>
          </w:p>
        </w:tc>
        <w:tc>
          <w:tcPr>
            <w:tcW w:w="20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September 2013 we amended the U.S. salaried life insurance plan effective January 1, 2014 to eliminate benefits for retirees and eligible employees retiring on or after August 1, 2009. The remeasurement, settlement and curtailment resulted in a decrease in the OPEB liability of $319 million, a decrease in the net pre-tax actuarial loss component of Accumulated other comprehensive loss of $236 million and a pre-tax gain of $83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information related to Commitments and contingencies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Pr>
          <w:p>
            <w:pPr>
              <w:spacing w:after="0"/>
              <w:rPr>
                <w:sz w:val="12"/>
                <w:szCs w:val="12"/>
                <w:color w:val="auto"/>
              </w:rPr>
            </w:pPr>
          </w:p>
        </w:tc>
        <w:tc>
          <w:tcPr>
            <w:tcW w:w="900" w:type="dxa"/>
            <w:vAlign w:val="bottom"/>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r>
      <w:tr>
        <w:trPr>
          <w:trHeight w:val="195"/>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Liability(a)</w:t>
            </w:r>
          </w:p>
        </w:tc>
        <w:tc>
          <w:tcPr>
            <w:tcW w:w="1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6"/>
                <w:szCs w:val="16"/>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Liability(a)</w:t>
            </w:r>
          </w:p>
        </w:tc>
      </w:tr>
      <w:tr>
        <w:trPr>
          <w:trHeight w:val="249"/>
        </w:trPr>
        <w:tc>
          <w:tcPr>
            <w:tcW w:w="20" w:type="dxa"/>
            <w:vAlign w:val="bottom"/>
          </w:tcPr>
          <w:p>
            <w:pPr>
              <w:spacing w:after="0"/>
              <w:rPr>
                <w:sz w:val="21"/>
                <w:szCs w:val="21"/>
                <w:color w:val="auto"/>
              </w:rPr>
            </w:pPr>
          </w:p>
        </w:tc>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Guarantees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party commercial loans and other obligations(b)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15,616</w:t>
            </w:r>
          </w:p>
        </w:tc>
      </w:tr>
      <w:tr>
        <w:trPr>
          <w:trHeight w:val="27"/>
        </w:trPr>
        <w:tc>
          <w:tcPr>
            <w:tcW w:w="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product-related claims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1,317</w:t>
            </w:r>
          </w:p>
        </w:tc>
      </w:tr>
      <w:tr>
        <w:trPr>
          <w:trHeight w:val="220"/>
        </w:trPr>
        <w:tc>
          <w:tcPr>
            <w:tcW w:w="20" w:type="dxa"/>
            <w:vAlign w:val="bottom"/>
          </w:tcPr>
          <w:p>
            <w:pPr>
              <w:spacing w:after="0"/>
              <w:rPr>
                <w:sz w:val="19"/>
                <w:szCs w:val="19"/>
                <w:color w:val="auto"/>
              </w:rPr>
            </w:pPr>
          </w:p>
        </w:tc>
        <w:tc>
          <w:tcPr>
            <w:tcW w:w="6800" w:type="dxa"/>
            <w:vAlign w:val="bottom"/>
          </w:tcPr>
          <w:p>
            <w:pPr>
              <w:jc w:val="right"/>
              <w:ind w:right="6010"/>
              <w:spacing w:after="0"/>
              <w:rPr>
                <w:sz w:val="20"/>
                <w:szCs w:val="20"/>
                <w:color w:val="auto"/>
              </w:rPr>
            </w:pPr>
            <w:r>
              <w:rPr>
                <w:rFonts w:ascii="Times New Roman" w:cs="Times New Roman" w:eastAsia="Times New Roman" w:hAnsi="Times New Roman"/>
                <w:sz w:val="18"/>
                <w:szCs w:val="18"/>
                <w:color w:val="auto"/>
                <w:w w:val="94"/>
              </w:rPr>
              <w:t>________</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future undiscounted payments.</w:t>
      </w:r>
    </w:p>
    <w:p>
      <w:pPr>
        <w:spacing w:after="0" w:line="5" w:lineRule="exact"/>
        <w:rPr>
          <w:rFonts w:ascii="Times New Roman" w:cs="Times New Roman" w:eastAsia="Times New Roman" w:hAnsi="Times New Roman"/>
          <w:sz w:val="16"/>
          <w:szCs w:val="16"/>
          <w:color w:val="auto"/>
        </w:rPr>
      </w:pPr>
    </w:p>
    <w:p>
      <w:pPr>
        <w:ind w:left="340" w:hanging="332"/>
        <w:spacing w:after="0" w:line="257"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liabilities recorded of $1 million and $10 million and maximum liabilities of $2.3 billion and $15.3 billion related to Ally Financial repurchase obligations at September 30, 2014 and December 31, 2013.</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Liability Recorded</w:t>
            </w:r>
          </w:p>
        </w:tc>
      </w:tr>
      <w:tr>
        <w:trPr>
          <w:trHeight w:val="264"/>
        </w:trPr>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22"/>
                <w:szCs w:val="22"/>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litigation-related liability and tax administrative matters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1,227</w:t>
            </w: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Ignition switch recall compensation program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or rental car companies. We determined the fair value ascribed to the guarantees at inception and subsequent to inception to be insignificant based on the credit worthiness of the third parties. In March 2014 a new agreement was signed with Ally Financial that removed the repurchase obligation for vehicles invoiced after December 31, 2013. The existing repurchase obligation for vehicles invoiced prior to December 31, 2013 is maintained until December 31, 2014 at which time repurchase obligations will expire for all vehicles.</w:t>
      </w:r>
    </w:p>
    <w:p>
      <w:pPr>
        <w:spacing w:after="0" w:line="18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Agreements with third parties that guarantee the fulfillment of certain suppliers' commitments and other obligations expire in 2014 through 2019 or are ongoing, or upon the occurrence of specific events.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 If vehicles are required to be repurchased under vehicle repurchase obligations, the total exposure would be reduced to the extent vehicles are able to be resold to another dealer.</w:t>
      </w:r>
    </w:p>
    <w:p>
      <w:pPr>
        <w:spacing w:after="0" w:line="176"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connection with certain divestitures of assets or operating businesses, we have entered into agreements indemnifying certain buyers and other parties with respect to environmental conditions and other closure costs pertaining to real property we owned. 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In addition we indemnify dealers for certain product liability related claims as subsequently discussed.</w:t>
      </w:r>
    </w:p>
    <w:p>
      <w:pPr>
        <w:spacing w:after="0" w:line="18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With respect to other product-related claims involving products manufactured by certain joint ventures, we believe that costs incurred are adequately covered by recorded accruals. These guarantees terminate in years ranging from 2020 to 2029.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Litigation-Related Liability and Tax Administrative Matters</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Various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tax-related matters not recorded pursuant to Accounting Standards Codification (ASC) 740, "Income Taxes" (indirect tax-related matters) and environmental matters.</w:t>
      </w:r>
    </w:p>
    <w:p>
      <w:pPr>
        <w:spacing w:after="0" w:line="180"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With regard to the litigation matters discussed in the previous paragraph, reserves have been established for matters in which we believe that losses are probable and can be reasonably estimated, the majority of which are associated with indirect tax-related matters as well as non-U.S. labor-related matters. 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$500 million to $800 million. Some of the matters may involve compensatory, punitive or other treble damage claims, environmental remediation programs or sanctions that, if granted, could require us to pay damages or make other expenditures in amounts that could not be reasonably estimated at September 30, 2014. We believe that appropriate accruals have been established for such matters based on information currently available. Reserves for litigation losses are recorded in Accrued liabilities and Other liabilities and deferred income taxes. Litigation is inherently unpredictable however; and unfavorable resolutions could occur. Accordingly it is possible that an adverse outcome from such proceedings could exceed the amounts accrued in an amount that could be material to our financial condition, results of operations and cash flows in any particular reporting period.</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Related to Ignition Switch Recall</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2014, we announced recalls to repair ignition switches that under certain circumstances could unintentionally move from the “run” position to the “accessory” or “off” position with a corresponding loss of power, which in turn may prevent airbags from deploying in the event of a crash. Those recalls included Chevrolet Cobalt, HHR, Pontiac G5, Pursuit, Solstice, and Saturn ION and Sky vehicles. Since those recalls, we have announced a number of additional recalls in the nine months ending September 30, 2014, relating to safety, customer satisfaction, and other matters.</w:t>
      </w:r>
    </w:p>
    <w:p>
      <w:pPr>
        <w:spacing w:after="0" w:line="18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Through October 20, 2014 we are aware of 107 putative class actions that are pending against GM in various U.S. District Courts and state courts alleging that consumers who purchased or leased GM vehicles have been economically harmed by one or more of the recalls announced this year and/or the underlying vehicle conditions associated with those recalls. In the aggregate, these economic-loss cases seek recovery for purported compensatory damages, including alleged diminution in value of the vehicles, punitive damages, and injunctive and other relief. In addition, through October 20, 2014, we are aware of 63 actions pending against GM alleging injury or death as a result of defects that may be the subject of recalls announced in the nine months ending September 30, 2014, including faulty ignition switches and/or the failure of air bags to properly deploy due to faulty ignition switches. In the aggregate, these personal injury cases seek recovery for purported compensatory damages, punitive damages, and other relief.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Since June 2014, the United States Judicial Panel on Multidistrict Litigation has issued orders from time to time directing that certain pending economic-loss and personal injury federal lawsuits involving alleged faulty ignition switches or other defects that may be related to the recalls announced this year be transferred to, and consolidated in, a single federal court, the Southern District of New York (the multidistrict litigation). Through October 20, 2014, 130 cases have been transferred and consolidated as part of the multidistrict litigation. GM has requested that various other recently filed federal lawsuits also be transferred and consolidated in the multidistrict litigation. The court in the multidistrict litigation has appointed lead counsel to prosecute the claims on behalf of all plaintiffs in the consolidated cases. On October 14, 2014, lead counsel filed two amended consolidated complaints. In addition to the cases pending in the multidistrict litigation, other economic-loss and personal injury cases related to ignition-switch and other alleged defects that may be the subject of recalls in 2014 are pending in various other state and federal courts throughout the country. Additionally, through October 20, 2014, 17 putative class actions have been filed in various Provincial Courts in Canada seeking similar relief as the U.S.-based cases.</w:t>
      </w:r>
    </w:p>
    <w:p>
      <w:pPr>
        <w:spacing w:after="0" w:line="18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With regard to the two previously reported shareholder derivative actions pending in the United States District Court for the Eastern District of Michigan against certain current and former GM directors, those actions have been consolidated and GM filed a motion to dismiss the consolidated amended complaint on October 9, 2014. With regard to the four previously reported shareholder derivative actions pending in the Chancery Court for the State of Delaware, those actions have been consolidated and plaintiffs filed an amended consolidated complaint on October 13, 2014. With regard to the two previously reported derivative actions filed in the Circuit Court of Wayne County, Michigan, those actions have been consolidated and stayed pending the federal derivative actions.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GM intends to vigorously defend all of these actions.</w:t>
      </w:r>
    </w:p>
    <w:p>
      <w:pPr>
        <w:spacing w:after="0" w:line="22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are also the subject of various inquiries, investigations, subpoenas and requests for information from the U.S. Attorney’s Office for the Southern District of New York, Congress, the SEC, Transport Canada and 48 state attorneys general in connection with our recent recalls. We are also in discussions with the National Highway Traffic Safety Administration (NHTSA) on various recall related matters. We are investigating these matters and believe we are cooperating fully with all requests. Such investigations and discussions could in the future result in the imposition of material damages, fines or civil and criminal penalties and other remedies.</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are currently unable to estimate a range of reasonably possible loss for the lawsuits and investigations because these matters involve significant uncertainties at these early stages. These uncertainties include the legal theory or the nature of the claims as well as the complexity of the facts. Although we cannot estimate a reasonable range of loss based on currently available information, the resolution of these matters could have a material adverse effect on our financial position, results of operations or cash flows.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Korea Wage Litigation</w:t>
      </w:r>
    </w:p>
    <w:p>
      <w:pPr>
        <w:spacing w:after="0" w:line="229"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color w:val="auto"/>
        </w:rPr>
        <w:t>Commencing on or about September 29, 2010 current and former hourly employees of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employees and remanded the case to the Seoul High Court consistent with its December 2013 ruling. In July 2014 GM Korea and its labor union agreed to include bonuses and certain allowances in ordinary wages retroactively to March 1, 2014. Therefore our accrual related to these cases was reclassified from a contingent liability to the Pensions liability. We estimate our reasonably possible loss, as defined by ASC 450, “Contingencies,” in excess of amounts accrued to be 557 billion South Korean Won (equivalent to $528 million) at September 30, 2014, which relates to periods before March 1, 2014. We are also party to litigation with current and former salaried employees over allegations relating to Ordinary Wages regulation. At September 30, 2014 we have identified a reasonably possible loss in excess of the amount of our accrual of 164 billion South Korean Won (equivalent to $155 million). Both the scope of claims asserted and GM Korea's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assessment of any or all of the individual claim elements may change if new information becomes available. These cases are currently pending before various district courts in Korea and the Supreme Court.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GMCL Dealers' Claim</w:t>
      </w:r>
    </w:p>
    <w:p>
      <w:pPr>
        <w:spacing w:after="0" w:line="229"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color w:val="auto"/>
        </w:rPr>
        <w:t>On February 12, 2010 a claim was filed in the Ontario Superior Court of Justice against General Motors of Canada Limited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Canadian Dollar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assuming liability, whether the Plaintiff Dealers can recover damages in the aggregate (as opposed to proving individual damages). A number of former dealers have opted out of participation in the litigation, leaving 181 dealers in the certified class. Trial of the class issues is currently ongoing. The current prospects for liability are uncertain, but because liability is not deemed probable we have no accrual relating to this litigation. We cannot estimate the range of reasonably possible loss in the event of liability as the case presents a variety of different legal theories, none of which GMCL believes are valid.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With respect to product liability claims involving our and General Motors Corporation products, we believe that any judgment against us for actual damages will be adequately covered by our recorded accruals and, where applicable, excess liability insurance coverage. Although punitive damages are claimed in some of these lawsuits and such claims are inherently unpredictable, accruals incorporate historic experience with these types of claims. In addition we indemnify dealers for certain product liability related claims including products sold by General Motors Corporation. We monitor actual claims experience and make periodic adjustments to our estimates. Liabilities have been recorded in Accrued liabilities and Other liabilities and deferred income taxes for the expected cost of all known product liability claims plus an estimate of the expected cost for product liability claims that have already been incurred and are expected to be filed in the future for which we are self-insured. In light of recent vehicle recalls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2014 we announced the creation of a compensation program (the Program) to compensate accident victims who died or suffered physical injury (or their families) as a result of a faulty ignition switch related to the 2.6 million vehicles recalled as more fully described in Note 8. It is important to our company that we reach everyone through this Program who has been impacted.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84"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At September 30, 2014 we have an accrual of $400 million recorded in Corporate which represents our best estimate of amounts that may be paid under the Program. However, it is reasonably possible that the liability could exceed our recorded amount by approximately $200 million.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 actually elect to participate in the Program. Our estimate is subject to significant uncertainties, as programs of this nature are highly unusual and each eligible claim will have a unique underlying fact pattern. While we do not anticipate material changes to our current estimate, it is possible that material changes could occur should actual eligible claims and the related compensation amounts differ from this estimate. The Program began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accepting claims on August 1, 2014 and will continue accepting claims through December 31, 2014. Payments to eligible claimants will begin in the fourth quarter 2014 and will continue through the first half of 2015. Accident victims (or their families) could choose not to participate in the Program and pursue litigation against us. As of October 17, 2014 the Program received 1,517 claims and the independent program administrator has determined 56 claims to be eligible for payment under the Program. Remaining claims are either under review, deficient awaiting further documentation or deemed ineligible. Based on currently available information we believe our accrual at September 30, 2014 is adequate to cover the estimated costs under the Program. As of October 17, 2014 no payments have been made on any claims under the Program. Accident victims that accept a payment under the Program agree to settle all claims against GM related to the accident.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Liabilities have been recorded primarily in Other liabilities and deferred income taxes for the expected costs to be paid over the periods of remediation for the applicable sites, which typically range from five to 30 years.</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The final outcome of environmental matters cannot be predicted with certainty at this time. Subsequent adjustments to initial estimates are recorded as necessary based upon additional information obtained. In future periods new laws or regulations, advances in remediation technologies and additional information about the ultimate remediation methodology to be used could significantly change our estimates. It is possible that the resolution of one or more environmental matters could exceed the amounts accrued in an amount that could be material to our financial condition, results of operations and cash flows. At September 30, 2014 we estimate the remediation losses could range from $110 million to $220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Brazil Excise Tax Incentive</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September 30, 2014 we believe it is reasonably assured that the program requirements will be met based on the current business model and available technologies.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India Tavera Emissions Compliance</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9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2014 income tax expense of $427 million resulted from tax expense attributable to entities included in our effective tax rate calculation of $787 million, partially offset by a net tax benefit from various tax settlements and other items. In the three months ended September 30, 2013 income tax expense of $842 million primarily resulted from tax expense attributable to entities included in our effective tax rate calculation.</w:t>
      </w:r>
    </w:p>
    <w:p>
      <w:pPr>
        <w:spacing w:after="0" w:line="9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2014 income tax benefit of $51 million resulted from tax expense attributable to entities included in our effective tax rate calculation of $799 million, more than offset by a net tax benefit from various tax settlements and other items. In the nine months ended September 30, 2013 income tax expense of $2.0 billion primarily resulted from tax expense attributable to entities included in our effective tax rate calculation. We have open tax years from 2006 to 2013 with various significant tax jurisdictions.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 and Other Initiatives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reserves related to restructuring and other initiatives and charges by segment, including postemployment benefit reserves and charges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GME</w:t>
            </w:r>
          </w:p>
        </w:tc>
        <w:tc>
          <w:tcPr>
            <w:tcW w:w="200" w:type="dxa"/>
            <w:vAlign w:val="bottom"/>
          </w:tcPr>
          <w:p>
            <w:pPr>
              <w:spacing w:after="0"/>
              <w:rPr>
                <w:sz w:val="16"/>
                <w:szCs w:val="16"/>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GMIO</w:t>
            </w:r>
          </w:p>
        </w:tc>
        <w:tc>
          <w:tcPr>
            <w:tcW w:w="1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00" w:type="dxa"/>
            <w:vAlign w:val="bottom"/>
          </w:tcPr>
          <w:p>
            <w:pPr>
              <w:spacing w:after="0"/>
              <w:rPr>
                <w:sz w:val="16"/>
                <w:szCs w:val="16"/>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2014</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2014</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2014(a)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GME</w:t>
            </w:r>
          </w:p>
        </w:tc>
        <w:tc>
          <w:tcPr>
            <w:tcW w:w="20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GMIO</w:t>
            </w:r>
          </w:p>
        </w:tc>
        <w:tc>
          <w:tcPr>
            <w:tcW w:w="18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GMSA</w:t>
            </w:r>
          </w:p>
        </w:tc>
        <w:tc>
          <w:tcPr>
            <w:tcW w:w="200" w:type="dxa"/>
            <w:vAlign w:val="bottom"/>
          </w:tcPr>
          <w:p>
            <w:pPr>
              <w:spacing w:after="0"/>
              <w:rPr>
                <w:sz w:val="24"/>
                <w:szCs w:val="24"/>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6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2013</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2013</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 2013</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2013(a)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cash payments related to these reserves for restructuring and other initiatives, including temporary layoff benefits of $352 million and $346 million at September 30, 2014 and 2013 for GMNA, primarily relate to postemployment benefits.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2014</w:t>
      </w:r>
    </w:p>
    <w:p>
      <w:pPr>
        <w:spacing w:after="0" w:line="22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Restructuring and other initiatives at GME primarily relate to our plan to terminate all vehicle and transmission production at our Bochum, Germany facility by the end of 2014. Through September 30, 2014 the active separation programs related to Germany</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had a total cost of $716 million. We expect to complete these programs in 2014 and incur additional charges of $130 million. In total 3,690 employees will be affected by these programs.</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Restructuring and other initiatives at GMIO primarily relate to separation programs in Australia and Korea, the withdrawal of the Chevrolet brand from Europe and the cessation of manufacturing in Australia. Through September 30, 2014 the active separation programs related to Australia, Korea and Chevrolet Europe locations had a total cost of $454 million and had affected a total of 3,350 employees. We expect to complete these programs in 2017 and incur additional restructuring and other charges of $350 million.</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Restructuring and other initiatives at GMSA primarily relate to active separation programs in Brazil and Venezuela. Through September 30, 2014 the active separation programs related to Brazil and Venezuela had a total cost of $58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2013</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Restructuring and other initiatives primarily relate to: (1) cash severance incentive programs for skilled trade U.S. hourly employees and service cost for hourly layoff benefits at GMNA; (2) separation and early retirement programs in Germany at GME; (3) separation programs in Korea and Australia at GMIO; and (4) separation programs in Brazil at GMSA.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and Common Stock</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156 million shares of Series A Preferred Stock issued and outstanding at September 30, 2014 and December 31, 2013 and 1.6 billion and 1.5 billion shares of common stock issued and outstanding at September 30, 2014 and December 31, 2013. In September 2013 we purchased 120 million shares (or 43.5% of total shares outstanding) of our Series A Preferred Stock held by the UAW Retiree Medical Benefits Trust at a price equal to 108.1% of the aggregate liquidation amount for $3.2 billion. We recorded a loss for the difference between the carrying amount of the Series A Preferred Stock purchased and the consideration paid, which reduced Net income attributable to common stockholders by $816 million. In September 2014 we repurchased 5 million shares of our outstanding common stock at a weighted-average price of $33.69 per share, to offset the dilution from the June 2014 grant of stock incentive awards under the Long-Term Incentive Plan (LTIP).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dividends paid on our preferred and common stock (dollars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September 30, 2013</w:t>
            </w:r>
          </w:p>
        </w:tc>
      </w:tr>
      <w:tr>
        <w:trPr>
          <w:trHeight w:val="237"/>
        </w:trPr>
        <w:tc>
          <w:tcPr>
            <w:tcW w:w="20" w:type="dxa"/>
            <w:vAlign w:val="bottom"/>
          </w:tcPr>
          <w:p>
            <w:pPr>
              <w:spacing w:after="0"/>
              <w:rPr>
                <w:sz w:val="20"/>
                <w:szCs w:val="20"/>
                <w:color w:val="auto"/>
              </w:rPr>
            </w:pPr>
          </w:p>
        </w:tc>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Stock</w:t>
            </w:r>
          </w:p>
        </w:tc>
        <w:tc>
          <w:tcPr>
            <w:tcW w:w="420" w:type="dxa"/>
            <w:vAlign w:val="bottom"/>
            <w:tcBorders>
              <w:top w:val="single" w:sz="8" w:color="auto"/>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1,282</w:t>
            </w:r>
          </w:p>
        </w:tc>
      </w:tr>
      <w:tr>
        <w:trPr>
          <w:trHeight w:val="241"/>
        </w:trPr>
        <w:tc>
          <w:tcPr>
            <w:tcW w:w="20" w:type="dxa"/>
            <w:vAlign w:val="bottom"/>
          </w:tcPr>
          <w:p>
            <w:pPr>
              <w:spacing w:after="0"/>
              <w:rPr>
                <w:sz w:val="20"/>
                <w:szCs w:val="20"/>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 Stock(a)</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439"/>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178</w:t>
            </w:r>
          </w:p>
        </w:tc>
      </w:tr>
      <w:tr>
        <w:trPr>
          <w:trHeight w:val="29"/>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stock(b)</w:t>
            </w:r>
          </w:p>
        </w:tc>
        <w:tc>
          <w:tcPr>
            <w:tcW w:w="42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20" w:type="dxa"/>
            <w:vAlign w:val="bottom"/>
          </w:tcPr>
          <w:p>
            <w:pPr>
              <w:spacing w:after="0"/>
              <w:rPr>
                <w:sz w:val="16"/>
                <w:szCs w:val="16"/>
                <w:color w:val="auto"/>
              </w:rPr>
            </w:pPr>
          </w:p>
        </w:tc>
        <w:tc>
          <w:tcPr>
            <w:tcW w:w="6100" w:type="dxa"/>
            <w:vAlign w:val="bottom"/>
          </w:tcPr>
          <w:p>
            <w:pPr>
              <w:jc w:val="right"/>
              <w:ind w:right="5376"/>
              <w:spacing w:after="0"/>
              <w:rPr>
                <w:sz w:val="20"/>
                <w:szCs w:val="20"/>
                <w:color w:val="auto"/>
              </w:rPr>
            </w:pPr>
            <w:r>
              <w:rPr>
                <w:rFonts w:ascii="Times New Roman" w:cs="Times New Roman" w:eastAsia="Times New Roman" w:hAnsi="Times New Roman"/>
                <w:sz w:val="16"/>
                <w:szCs w:val="16"/>
                <w:color w:val="auto"/>
                <w:w w:val="96"/>
              </w:rPr>
              <w:t>________</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 2013 all outstanding shares of our Series B Preferred Stock were converted into shares of our common stock.</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common stock dividends were declared or paid prior to 2014.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components of Accumulated other comprehensive loss (dollars in millions):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September 30, 2013</w:t>
            </w:r>
          </w:p>
        </w:tc>
      </w:tr>
      <w:tr>
        <w:trPr>
          <w:trHeight w:val="250"/>
        </w:trPr>
        <w:tc>
          <w:tcPr>
            <w:tcW w:w="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Foreign Currency Translation Adjustments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101</w:t>
            </w:r>
          </w:p>
        </w:tc>
      </w:tr>
      <w:tr>
        <w:trPr>
          <w:trHeight w:val="29"/>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expense (benefit)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9"/>
        </w:trPr>
        <w:tc>
          <w:tcPr>
            <w:tcW w:w="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 attributable to noncontrolling interests, net of tax</w:t>
            </w:r>
          </w:p>
        </w:tc>
        <w:tc>
          <w:tcPr>
            <w:tcW w:w="38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r>
      <w:tr>
        <w:trPr>
          <w:trHeight w:val="29"/>
        </w:trPr>
        <w:tc>
          <w:tcPr>
            <w:tcW w:w="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Unrealized Gains and Losses on Securities, Net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41</w:t>
            </w:r>
          </w:p>
        </w:tc>
      </w:tr>
      <w:tr>
        <w:trPr>
          <w:trHeight w:val="29"/>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200</w:t>
            </w: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expense (benefit)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9"/>
        </w:trPr>
        <w:tc>
          <w:tcPr>
            <w:tcW w:w="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 adjustment, net of tax</w:t>
            </w: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207</w:t>
            </w: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adjustment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9"/>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1"/>
        </w:trPr>
        <w:tc>
          <w:tcPr>
            <w:tcW w:w="20" w:type="dxa"/>
            <w:vAlign w:val="bottom"/>
          </w:tcPr>
          <w:p>
            <w:pPr>
              <w:spacing w:after="0"/>
              <w:rPr>
                <w:sz w:val="19"/>
                <w:szCs w:val="19"/>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adjustment, net of tax</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9"/>
        </w:trPr>
        <w:tc>
          <w:tcPr>
            <w:tcW w:w="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183</w:t>
            </w:r>
          </w:p>
        </w:tc>
      </w:tr>
      <w:tr>
        <w:trPr>
          <w:trHeight w:val="284"/>
        </w:trPr>
        <w:tc>
          <w:tcPr>
            <w:tcW w:w="20" w:type="dxa"/>
            <w:vAlign w:val="bottom"/>
          </w:tcPr>
          <w:p>
            <w:pPr>
              <w:spacing w:after="0"/>
              <w:rPr>
                <w:sz w:val="24"/>
                <w:szCs w:val="24"/>
                <w:color w:val="auto"/>
              </w:rPr>
            </w:pPr>
          </w:p>
        </w:tc>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224</w:t>
            </w:r>
          </w:p>
        </w:tc>
      </w:tr>
      <w:tr>
        <w:trPr>
          <w:trHeight w:val="109"/>
        </w:trPr>
        <w:tc>
          <w:tcPr>
            <w:tcW w:w="20" w:type="dxa"/>
            <w:vAlign w:val="bottom"/>
          </w:tcPr>
          <w:p>
            <w:pPr>
              <w:spacing w:after="0"/>
              <w:rPr>
                <w:sz w:val="9"/>
                <w:szCs w:val="9"/>
                <w:color w:val="auto"/>
              </w:rPr>
            </w:pPr>
          </w:p>
        </w:tc>
        <w:tc>
          <w:tcPr>
            <w:tcW w:w="62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Defined Benefit Plans, Net</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9"/>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(8,194)</w:t>
            </w:r>
          </w:p>
        </w:tc>
      </w:tr>
      <w:tr>
        <w:trPr>
          <w:trHeight w:val="208"/>
        </w:trPr>
        <w:tc>
          <w:tcPr>
            <w:tcW w:w="2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 adjustment - prior service cost</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 credit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9"/>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 reclassification adjustment - actuarial gains or losses</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249</w:t>
            </w: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expense (benefit)</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109</w:t>
            </w:r>
          </w:p>
        </w:tc>
      </w:tr>
      <w:tr>
        <w:trPr>
          <w:trHeight w:val="29"/>
        </w:trPr>
        <w:tc>
          <w:tcPr>
            <w:tcW w:w="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 adjustment, net of tax</w:t>
            </w: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137</w:t>
            </w: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Reclassification adjustment - prior service cost or credit (a)</w:t>
            </w:r>
          </w:p>
        </w:tc>
        <w:tc>
          <w:tcPr>
            <w:tcW w:w="38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9"/>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 actuarial gains or losses (a)</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220</w:t>
            </w:r>
          </w:p>
        </w:tc>
      </w:tr>
      <w:tr>
        <w:trPr>
          <w:trHeight w:val="241"/>
        </w:trPr>
        <w:tc>
          <w:tcPr>
            <w:tcW w:w="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benefit (a)</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9"/>
        </w:trPr>
        <w:tc>
          <w:tcPr>
            <w:tcW w:w="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Reclassification adjustment, net of tax (a)</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134</w:t>
            </w:r>
          </w:p>
        </w:tc>
      </w:tr>
      <w:tr>
        <w:trPr>
          <w:trHeight w:val="221"/>
        </w:trPr>
        <w:tc>
          <w:tcPr>
            <w:tcW w:w="20" w:type="dxa"/>
            <w:vAlign w:val="bottom"/>
          </w:tcPr>
          <w:p>
            <w:pPr>
              <w:spacing w:after="0"/>
              <w:rPr>
                <w:sz w:val="19"/>
                <w:szCs w:val="19"/>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271</w:t>
            </w:r>
          </w:p>
        </w:tc>
      </w:tr>
      <w:tr>
        <w:trPr>
          <w:trHeight w:val="29"/>
        </w:trPr>
        <w:tc>
          <w:tcPr>
            <w:tcW w:w="20" w:type="dxa"/>
            <w:vAlign w:val="bottom"/>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(7,923)</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(7,981)</w:t>
            </w:r>
          </w:p>
        </w:tc>
      </w:tr>
      <w:tr>
        <w:trPr>
          <w:trHeight w:val="193"/>
        </w:trPr>
        <w:tc>
          <w:tcPr>
            <w:tcW w:w="20" w:type="dxa"/>
            <w:vAlign w:val="bottom"/>
          </w:tcPr>
          <w:p>
            <w:pPr>
              <w:spacing w:after="0"/>
              <w:rPr>
                <w:sz w:val="16"/>
                <w:szCs w:val="16"/>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________</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6"/>
          <w:szCs w:val="16"/>
          <w:color w:val="auto"/>
        </w:rPr>
        <w:t>(a)</w:t>
        <w:tab/>
        <w:t>Included in the computation of net periodic pension and OPEB (income) expense. Refer to Note 9 for additional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The following table summarizes basic and diluted earnings per share (in millions, except for per share amounts):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80" w:type="dxa"/>
            <w:vAlign w:val="bottom"/>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cumulative dividends on preferred stock(a)</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97"/>
        </w:trPr>
        <w:tc>
          <w:tcPr>
            <w:tcW w:w="6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2,857</w:t>
            </w:r>
          </w:p>
        </w:tc>
        <w:tc>
          <w:tcPr>
            <w:tcW w:w="0" w:type="dxa"/>
            <w:vAlign w:val="bottom"/>
          </w:tcPr>
          <w:p>
            <w:pPr>
              <w:spacing w:after="0"/>
              <w:rPr>
                <w:sz w:val="1"/>
                <w:szCs w:val="1"/>
                <w:color w:val="auto"/>
              </w:rPr>
            </w:pPr>
          </w:p>
        </w:tc>
      </w:tr>
      <w:tr>
        <w:trPr>
          <w:trHeight w:val="109"/>
        </w:trPr>
        <w:tc>
          <w:tcPr>
            <w:tcW w:w="6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 basic</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4,306</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preferred dividends to holders of Series B Preferred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cumulative dividends on preferred stock(a)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earnings adjustment for dilutive stock compensation rights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 diluted</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warrants and restricted stock units (RSUs)</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Dilutive effect of conversion of Series B Preferred Stock</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97"/>
        </w:trPr>
        <w:tc>
          <w:tcPr>
            <w:tcW w:w="6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109"/>
        </w:trPr>
        <w:tc>
          <w:tcPr>
            <w:tcW w:w="6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6"/>
                <w:szCs w:val="16"/>
                <w:color w:val="auto"/>
              </w:rPr>
              <w:t>________</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earned but undeclared dividends of $15 million on our Series A Preferred Stock in the three and nine months ended September 30, 2014 and 2013 and $20 million on our Series B Preferred stock in the three and nine months ended September 30, 2013.</w:t>
      </w:r>
    </w:p>
    <w:p>
      <w:pPr>
        <w:spacing w:after="0" w:line="178"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Prior to the December 2013 conversion to common shares, our Series B Preferred Stock was a participating security that required the application of the more dilutive of the two-class or if-converted method to calculate earnings per share when the applicable market value of our common stock was below or above the range of $33.00 to $39.60 per common share. We were required to use the if-converted method to calculate earnings per share when the applicable market value of our common stock was within this range, which applied in the three and nine months ended September 30, 2013. The dilutive effect of the Series B Preferred Stock was determined by assuming conversion of the securities at the beginning of the period resulting in an increase to the weighted-average common shares outstanding and an increase to Net income attributable to common stockholders from adding the accumulated dividends on our Series B Preferred Stock.</w:t>
      </w:r>
    </w:p>
    <w:p>
      <w:pPr>
        <w:spacing w:after="0" w:line="18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30, 2014 and 2013 warrants to purchase 46 million shares were not included in the computation of diluted earnings per share because the warrants' exercise price was greater than the average market price of the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and evaluates GM Financial through income before income taxes, as adjusted for additional amounts.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GMNA primarily meets the demands of customers in North America with vehicles developed, manufactured and/or marketed under the following four brands:</w:t>
      </w:r>
    </w:p>
    <w:p>
      <w:pPr>
        <w:spacing w:after="0" w:line="108" w:lineRule="exact"/>
        <w:rPr>
          <w:sz w:val="20"/>
          <w:szCs w:val="20"/>
          <w:color w:val="auto"/>
        </w:rPr>
      </w:pPr>
    </w:p>
    <w:p>
      <w:pPr>
        <w:ind w:left="280"/>
        <w:spacing w:after="0"/>
        <w:tabs>
          <w:tab w:leader="none" w:pos="540" w:val="left"/>
          <w:tab w:leader="none" w:pos="3100" w:val="left"/>
          <w:tab w:leader="none" w:pos="3400" w:val="left"/>
          <w:tab w:leader="none" w:pos="5960" w:val="left"/>
          <w:tab w:leader="none" w:pos="6300" w:val="left"/>
          <w:tab w:leader="none" w:pos="8800" w:val="left"/>
          <w:tab w:leader="none" w:pos="9140" w:val="left"/>
        </w:tabs>
        <w:rPr>
          <w:sz w:val="20"/>
          <w:szCs w:val="20"/>
          <w:color w:val="auto"/>
        </w:rPr>
      </w:pPr>
      <w:r>
        <w:rPr>
          <w:rFonts w:ascii="Times New Roman" w:cs="Times New Roman" w:eastAsia="Times New Roman" w:hAnsi="Times New Roman"/>
          <w:sz w:val="18"/>
          <w:szCs w:val="18"/>
          <w:color w:val="auto"/>
        </w:rPr>
        <w:t>•</w:t>
        <w:tab/>
        <w:t>Buick</w:t>
      </w:r>
      <w:r>
        <w:rPr>
          <w:sz w:val="20"/>
          <w:szCs w:val="20"/>
          <w:color w:val="auto"/>
        </w:rPr>
        <w:tab/>
      </w:r>
      <w:r>
        <w:rPr>
          <w:rFonts w:ascii="Times New Roman" w:cs="Times New Roman" w:eastAsia="Times New Roman" w:hAnsi="Times New Roman"/>
          <w:sz w:val="18"/>
          <w:szCs w:val="18"/>
          <w:color w:val="auto"/>
        </w:rPr>
        <w:t>•</w:t>
        <w:tab/>
        <w:t>Cadillac</w:t>
      </w:r>
      <w:r>
        <w:rPr>
          <w:sz w:val="20"/>
          <w:szCs w:val="20"/>
          <w:color w:val="auto"/>
        </w:rPr>
        <w:tab/>
      </w:r>
      <w:r>
        <w:rPr>
          <w:rFonts w:ascii="Times New Roman" w:cs="Times New Roman" w:eastAsia="Times New Roman" w:hAnsi="Times New Roman"/>
          <w:sz w:val="18"/>
          <w:szCs w:val="18"/>
          <w:color w:val="auto"/>
        </w:rPr>
        <w:t>•</w:t>
        <w:tab/>
        <w:t>Chevrolet</w:t>
      </w:r>
      <w:r>
        <w:rPr>
          <w:sz w:val="20"/>
          <w:szCs w:val="20"/>
          <w:color w:val="auto"/>
        </w:rPr>
        <w:tab/>
      </w:r>
      <w:r>
        <w:rPr>
          <w:rFonts w:ascii="Times New Roman" w:cs="Times New Roman" w:eastAsia="Times New Roman" w:hAnsi="Times New Roman"/>
          <w:sz w:val="18"/>
          <w:szCs w:val="18"/>
          <w:color w:val="auto"/>
        </w:rPr>
        <w:t>•</w:t>
        <w:tab/>
        <w:t>GMC</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121" w:right="239" w:bottom="1440" w:gutter="0" w:footer="0" w:header="0"/>
        </w:sectPr>
      </w:pP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Buick</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Chevrolet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Holden</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Vauxhall</w:t>
      </w:r>
    </w:p>
    <w:p>
      <w:pPr>
        <w:spacing w:after="0" w:line="74" w:lineRule="exact"/>
        <w:rPr>
          <w:sz w:val="20"/>
          <w:szCs w:val="20"/>
          <w:color w:val="auto"/>
        </w:rPr>
      </w:pPr>
    </w:p>
    <w:p>
      <w:pPr>
        <w:sectPr>
          <w:pgSz w:w="11900" w:h="16838" w:orient="portrait"/>
          <w:cols w:equalWidth="0" w:num="8">
            <w:col w:w="340" w:space="220"/>
            <w:col w:w="1840" w:space="720"/>
            <w:col w:w="80" w:space="220"/>
            <w:col w:w="1840" w:space="720"/>
            <w:col w:w="60" w:space="280"/>
            <w:col w:w="1780" w:space="720"/>
            <w:col w:w="80" w:space="260"/>
            <w:col w:w="2260"/>
          </w:cols>
          <w:pgMar w:left="240" w:top="121" w:right="2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GMC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Opel</w:t>
      </w:r>
    </w:p>
    <w:p>
      <w:pPr>
        <w:spacing w:after="0" w:line="211" w:lineRule="exact"/>
        <w:rPr>
          <w:sz w:val="20"/>
          <w:szCs w:val="20"/>
          <w:color w:val="auto"/>
        </w:rPr>
      </w:pPr>
    </w:p>
    <w:p>
      <w:pPr>
        <w:sectPr>
          <w:pgSz w:w="11900" w:h="16838" w:orient="portrait"/>
          <w:cols w:equalWidth="0" w:num="6">
            <w:col w:w="340" w:space="220"/>
            <w:col w:w="1840" w:space="720"/>
            <w:col w:w="80" w:space="220"/>
            <w:col w:w="1840" w:space="720"/>
            <w:col w:w="60" w:space="280"/>
            <w:col w:w="5100"/>
          </w:cols>
          <w:pgMar w:left="240" w:top="121" w:right="239" w:bottom="1440" w:gutter="0" w:footer="0" w:header="0"/>
          <w:type w:val="continuous"/>
        </w:sectPr>
      </w:pPr>
    </w:p>
    <w:p>
      <w:pPr>
        <w:spacing w:after="0" w:line="52"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At September 30, 2014 we also had equity ownership stakes directly or indirectly in entities through various regional subsidiaries, primarily in Asia. These companies design, manufacture and market vehicles under the following brands:</w:t>
      </w:r>
    </w:p>
    <w:p>
      <w:pPr>
        <w:sectPr>
          <w:pgSz w:w="11900" w:h="16838" w:orient="portrait"/>
          <w:cols w:equalWidth="0" w:num="1">
            <w:col w:w="11420"/>
          </w:cols>
          <w:pgMar w:left="240" w:top="121" w:right="239" w:bottom="1440" w:gutter="0" w:footer="0" w:header="0"/>
          <w:type w:val="continuous"/>
        </w:sectPr>
      </w:pP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Alpheon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Buick</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Chevrolet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Wuling</w:t>
      </w:r>
    </w:p>
    <w:p>
      <w:pPr>
        <w:spacing w:after="0" w:line="74" w:lineRule="exact"/>
        <w:rPr>
          <w:sz w:val="20"/>
          <w:szCs w:val="20"/>
          <w:color w:val="auto"/>
        </w:rPr>
      </w:pPr>
    </w:p>
    <w:p>
      <w:pPr>
        <w:sectPr>
          <w:pgSz w:w="11900" w:h="16838" w:orient="portrait"/>
          <w:cols w:equalWidth="0" w:num="8">
            <w:col w:w="340" w:space="220"/>
            <w:col w:w="1840" w:space="720"/>
            <w:col w:w="80" w:space="220"/>
            <w:col w:w="1840" w:space="720"/>
            <w:col w:w="60" w:space="220"/>
            <w:col w:w="1840" w:space="720"/>
            <w:col w:w="80" w:space="260"/>
            <w:col w:w="2260"/>
          </w:cols>
          <w:pgMar w:left="240" w:top="121" w:right="2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Baojun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Cadillac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Jiefang</w:t>
      </w:r>
    </w:p>
    <w:p>
      <w:pPr>
        <w:spacing w:after="0" w:line="200" w:lineRule="exact"/>
        <w:rPr>
          <w:sz w:val="20"/>
          <w:szCs w:val="20"/>
          <w:color w:val="auto"/>
        </w:rPr>
      </w:pPr>
    </w:p>
    <w:p>
      <w:pPr>
        <w:sectPr>
          <w:pgSz w:w="11900" w:h="16838" w:orient="portrait"/>
          <w:cols w:equalWidth="0" w:num="6">
            <w:col w:w="340" w:space="220"/>
            <w:col w:w="1840" w:space="720"/>
            <w:col w:w="80" w:space="220"/>
            <w:col w:w="1840" w:space="720"/>
            <w:col w:w="60" w:space="220"/>
            <w:col w:w="5160"/>
          </w:cols>
          <w:pgMar w:left="240" w:top="121" w:right="239" w:bottom="1440" w:gutter="0" w:footer="0" w:header="0"/>
          <w:type w:val="continuous"/>
        </w:sectPr>
      </w:pPr>
    </w:p>
    <w:p>
      <w:pPr>
        <w:spacing w:after="0" w:line="52"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Our automotive operations' interest income and interest expense are recorded centrally in Corporate. All intersegment balances and transactions have been eliminated in consolidation.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 (dollars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1"/>
          </w:tcPr>
          <w:p>
            <w:pPr>
              <w:ind w:left="460"/>
              <w:spacing w:after="0"/>
              <w:rPr>
                <w:sz w:val="20"/>
                <w:szCs w:val="20"/>
                <w:color w:val="auto"/>
              </w:rPr>
            </w:pPr>
            <w:r>
              <w:rPr>
                <w:rFonts w:ascii="Times New Roman" w:cs="Times New Roman" w:eastAsia="Times New Roman" w:hAnsi="Times New Roman"/>
                <w:sz w:val="13"/>
                <w:szCs w:val="13"/>
                <w:b w:val="1"/>
                <w:bCs w:val="1"/>
                <w:color w:val="auto"/>
              </w:rPr>
              <w:t>At and For the Three Months Ended September 30, 2014</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6"/>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GME</w:t>
            </w:r>
          </w:p>
        </w:tc>
        <w:tc>
          <w:tcPr>
            <w:tcW w:w="1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External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25,816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3,716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3,202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37,999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37,999</w:t>
            </w:r>
          </w:p>
        </w:tc>
      </w:tr>
      <w:tr>
        <w:trPr>
          <w:trHeight w:val="272"/>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GM Financial revenue</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1,256</w:t>
            </w:r>
          </w:p>
        </w:tc>
      </w:tr>
      <w:tr>
        <w:trPr>
          <w:trHeight w:val="282"/>
        </w:trPr>
        <w:tc>
          <w:tcPr>
            <w:tcW w:w="2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Total net sales and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25,816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5,226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3,716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3,202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37,999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1,261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39,255</w:t>
            </w:r>
          </w:p>
        </w:tc>
      </w:tr>
      <w:tr>
        <w:trPr>
          <w:trHeight w:val="103"/>
        </w:trPr>
        <w:tc>
          <w:tcPr>
            <w:tcW w:w="2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(loss) before interest and taxes-adjusted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2,059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2,263</w:t>
            </w:r>
          </w:p>
        </w:tc>
      </w:tr>
      <w:tr>
        <w:trPr>
          <w:trHeight w:val="278"/>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w:t>
            </w:r>
          </w:p>
        </w:tc>
      </w:tr>
      <w:tr>
        <w:trPr>
          <w:trHeight w:val="278"/>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r>
      <w:tr>
        <w:trPr>
          <w:trHeight w:val="272"/>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82"/>
        </w:trPr>
        <w:tc>
          <w:tcPr>
            <w:tcW w:w="2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1,869</w:t>
            </w:r>
          </w:p>
        </w:tc>
      </w:tr>
      <w:tr>
        <w:trPr>
          <w:trHeight w:val="103"/>
        </w:trPr>
        <w:tc>
          <w:tcPr>
            <w:tcW w:w="2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96,668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11,463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21,797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29,417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135,279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43,762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176,908</w:t>
            </w:r>
          </w:p>
        </w:tc>
      </w:tr>
      <w:tr>
        <w:trPr>
          <w:trHeight w:val="152"/>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Depreciation, amortization and impairment of long-</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80"/>
        </w:trPr>
        <w:tc>
          <w:tcPr>
            <w:tcW w:w="2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lived assets and finite-lived intangible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1,870</w:t>
            </w:r>
          </w:p>
        </w:tc>
      </w:tr>
    </w:tbl>
    <w:p>
      <w:pPr>
        <w:spacing w:after="0"/>
        <w:rPr>
          <w:sz w:val="20"/>
          <w:szCs w:val="20"/>
          <w:color w:val="auto"/>
        </w:rPr>
      </w:pPr>
      <w:r>
        <w:rPr>
          <w:rFonts w:ascii="Times New Roman" w:cs="Times New Roman" w:eastAsia="Times New Roman" w:hAnsi="Times New Roman"/>
          <w:sz w:val="18"/>
          <w:szCs w:val="18"/>
          <w:color w:val="auto"/>
        </w:rPr>
        <w:t>________</w:t>
      </w:r>
    </w:p>
    <w:p>
      <w:pPr>
        <w:spacing w:after="0" w:line="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related to flood damage of $132 million in GMNA; property and intangible asset impairment charges of $194 million related to our Russian subsidiaries in GME; and other of $5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3"/>
                <w:szCs w:val="13"/>
                <w:b w:val="1"/>
                <w:bCs w:val="1"/>
                <w:color w:val="auto"/>
              </w:rPr>
              <w:t>At and For the Three Months Ended September 30, 2013</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6"/>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GME</w:t>
            </w:r>
          </w:p>
        </w:tc>
        <w:tc>
          <w:tcPr>
            <w:tcW w:w="1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GMSA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External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23,506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5,376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38,120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38,120</w:t>
            </w:r>
          </w:p>
        </w:tc>
      </w:tr>
      <w:tr>
        <w:trPr>
          <w:trHeight w:val="278"/>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GM Financial revenue</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863</w:t>
            </w:r>
          </w:p>
        </w:tc>
      </w:tr>
      <w:tr>
        <w:trPr>
          <w:trHeight w:val="264"/>
        </w:trPr>
        <w:tc>
          <w:tcPr>
            <w:tcW w:w="2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Intersegment</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42"/>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net sales and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23,508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5,376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4,818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38,122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38,983</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(loss) before interest and taxes-adjusted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2,637</w:t>
            </w: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78"/>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33</w:t>
            </w: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278"/>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r>
      <w:tr>
        <w:trPr>
          <w:trHeight w:val="264"/>
        </w:trPr>
        <w:tc>
          <w:tcPr>
            <w:tcW w:w="2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42"/>
        </w:trPr>
        <w:tc>
          <w:tcPr>
            <w:tcW w:w="2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2,547</w:t>
            </w: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03"/>
        </w:trPr>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92,876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12,202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24,452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12,327</w:t>
            </w: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23,929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138,239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168,539</w:t>
            </w:r>
          </w:p>
        </w:tc>
      </w:tr>
      <w:tr>
        <w:trPr>
          <w:trHeight w:val="144"/>
        </w:trPr>
        <w:tc>
          <w:tcPr>
            <w:tcW w:w="27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7"/>
              </w:rPr>
              <w:t>Depreciation, amortization and impairment of long-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4"/>
        </w:trPr>
        <w:tc>
          <w:tcPr>
            <w:tcW w:w="2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lived assets and finite-lived 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998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1,392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1,535</w:t>
            </w:r>
          </w:p>
        </w:tc>
      </w:tr>
    </w:tbl>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Goodwill impairment charges of $48 million in GMIO, which is presented net of noncontrolling interests.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2014</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6"/>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GME</w:t>
            </w:r>
          </w:p>
        </w:tc>
        <w:tc>
          <w:tcPr>
            <w:tcW w:w="1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10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External customers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75,891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16,820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10,548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9,404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112,776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112,776</w:t>
            </w:r>
          </w:p>
        </w:tc>
      </w:tr>
      <w:tr>
        <w:trPr>
          <w:trHeight w:val="272"/>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GM Financial revenue</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3,536</w:t>
            </w:r>
          </w:p>
        </w:tc>
      </w:tr>
      <w:tr>
        <w:trPr>
          <w:trHeight w:val="282"/>
        </w:trPr>
        <w:tc>
          <w:tcPr>
            <w:tcW w:w="2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Total net sales and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75,891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16,820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10,548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9,404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112,776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3,549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116,312</w:t>
            </w:r>
          </w:p>
        </w:tc>
      </w:tr>
      <w:tr>
        <w:trPr>
          <w:trHeight w:val="171"/>
        </w:trPr>
        <w:tc>
          <w:tcPr>
            <w:tcW w:w="2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Income (loss) before interest and taxes-adjusted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4,394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3,399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4,080</w:t>
            </w:r>
          </w:p>
        </w:tc>
      </w:tr>
      <w:tr>
        <w:trPr>
          <w:trHeight w:val="278"/>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w:t>
            </w: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155</w:t>
            </w:r>
          </w:p>
        </w:tc>
      </w:tr>
      <w:tr>
        <w:trPr>
          <w:trHeight w:val="278"/>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262"/>
        </w:trPr>
        <w:tc>
          <w:tcPr>
            <w:tcW w:w="27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Gain on extinguishment of debt</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r>
      <w:tr>
        <w:trPr>
          <w:trHeight w:val="272"/>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w:t>
            </w:r>
          </w:p>
        </w:tc>
      </w:tr>
      <w:tr>
        <w:trPr>
          <w:trHeight w:val="282"/>
        </w:trPr>
        <w:tc>
          <w:tcPr>
            <w:tcW w:w="2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1,958</w:t>
            </w:r>
          </w:p>
        </w:tc>
      </w:tr>
      <w:tr>
        <w:trPr>
          <w:trHeight w:val="103"/>
        </w:trPr>
        <w:tc>
          <w:tcPr>
            <w:tcW w:w="2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4"/>
        </w:trPr>
        <w:tc>
          <w:tcPr>
            <w:tcW w:w="27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7"/>
              </w:rPr>
              <w:t>Depreciation, amortization and impairment of long-</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4"/>
        </w:trPr>
        <w:tc>
          <w:tcPr>
            <w:tcW w:w="2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lived assets and finite-lived 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3,336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4,673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623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5,296</w:t>
            </w:r>
          </w:p>
        </w:tc>
      </w:tr>
    </w:tbl>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1" w:lineRule="exact"/>
        <w:rPr>
          <w:sz w:val="20"/>
          <w:szCs w:val="20"/>
          <w:color w:val="auto"/>
        </w:rPr>
      </w:pPr>
    </w:p>
    <w:p>
      <w:pPr>
        <w:jc w:val="both"/>
        <w:ind w:left="340" w:hanging="332"/>
        <w:spacing w:after="0" w:line="239" w:lineRule="auto"/>
        <w:tabs>
          <w:tab w:leader="none" w:pos="3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a catch-up adjustment related to the change in estimate for recall campaigns of $874 million and charges related to flood damage of$132 million in GMNA; property and intangible asset impairment charges of $194 million related to our Russian subsidiaries in GME; Venezuela currency devaluation of $419 million in GMSA; a charge related to the ignition switch recall compensation program of $400 million in Corporate; and other of $8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For the Nine Months Ended September 30, 2013</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GM</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6"/>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GME</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GMIO</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GMSA</w:t>
            </w:r>
          </w:p>
        </w:tc>
        <w:tc>
          <w:tcPr>
            <w:tcW w:w="120" w:type="dxa"/>
            <w:vAlign w:val="bottom"/>
          </w:tcPr>
          <w:p>
            <w:pPr>
              <w:spacing w:after="0"/>
              <w:rPr>
                <w:sz w:val="15"/>
                <w:szCs w:val="15"/>
                <w:color w:val="auto"/>
              </w:rPr>
            </w:pP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Automotive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Financial</w:t>
            </w:r>
          </w:p>
        </w:tc>
        <w:tc>
          <w:tcPr>
            <w:tcW w:w="14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2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Sales</w:t>
            </w: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69,974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16,254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13,982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12,380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112,704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112,704</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GM Financial revenue</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2,238</w:t>
            </w:r>
          </w:p>
        </w:tc>
      </w:tr>
      <w:tr>
        <w:trPr>
          <w:trHeight w:val="264"/>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Intersegment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42"/>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Total net sales and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69,982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16,254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13,982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12,380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112,712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2,243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114,942</w:t>
            </w: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1"/>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44"/>
        </w:trPr>
        <w:tc>
          <w:tcPr>
            <w:tcW w:w="242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Income (loss) before interest and taxes-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80"/>
        </w:trPr>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5,577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6,003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6,679</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Adjustments(a)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189</w:t>
            </w:r>
          </w:p>
        </w:tc>
      </w:tr>
      <w:tr>
        <w:trPr>
          <w:trHeight w:val="262"/>
        </w:trPr>
        <w:tc>
          <w:tcPr>
            <w:tcW w:w="24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27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44"/>
        </w:trPr>
        <w:tc>
          <w:tcPr>
            <w:tcW w:w="24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6,271</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4"/>
        </w:trPr>
        <w:tc>
          <w:tcPr>
            <w:tcW w:w="242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Depreciation, amortization and impairment of</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35"/>
        </w:trPr>
        <w:tc>
          <w:tcPr>
            <w:tcW w:w="24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w w:val="97"/>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0"/>
        </w:trPr>
        <w:tc>
          <w:tcPr>
            <w:tcW w:w="2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2,938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4,248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4,578</w:t>
            </w:r>
          </w:p>
        </w:tc>
      </w:tr>
    </w:tbl>
    <w:p>
      <w:pPr>
        <w:spacing w:after="0"/>
        <w:rPr>
          <w:sz w:val="20"/>
          <w:szCs w:val="20"/>
          <w:color w:val="auto"/>
        </w:rPr>
      </w:pPr>
      <w:r>
        <w:rPr>
          <w:rFonts w:ascii="Times New Roman" w:cs="Times New Roman" w:eastAsia="Times New Roman" w:hAnsi="Times New Roman"/>
          <w:sz w:val="18"/>
          <w:szCs w:val="18"/>
          <w:color w:val="auto"/>
        </w:rPr>
        <w:t>________</w:t>
      </w:r>
    </w:p>
    <w:p>
      <w:pPr>
        <w:spacing w:after="0" w:line="5" w:lineRule="exact"/>
        <w:rPr>
          <w:sz w:val="20"/>
          <w:szCs w:val="20"/>
          <w:color w:val="auto"/>
        </w:rPr>
      </w:pPr>
    </w:p>
    <w:p>
      <w:pPr>
        <w:ind w:left="340" w:hanging="332"/>
        <w:spacing w:after="0" w:line="239" w:lineRule="auto"/>
        <w:tabs>
          <w:tab w:leader="none" w:pos="3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the acquisition of GM Korea preferred shares of $67 million and Goodwill impairment charges of $48 million in GMIO, which is presented net of noncontrolling interests; Venezuela currency devaluation of $162 million in GMSA; and other of $29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the accompanying condensed consolidated financial statements and the consolidated financial statements and notes thereto included in our 2013 Form 10-K, as filed with the SEC.</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2014 we changed our managerial and financial reporting structure to reclassify the results of our Russian subsidiaries previously reported in our GMIO segment to our GME segment. We have retrospectively revised the segment presentation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strategic plan includes several major initiatives that we anticipate will help us achieve 9% to 10% margins on an earnings before interest and taxes (EBIT)-adjusted basis by early next decade: (1) lead the industry in product design and leading edge technology; (2) grow our Cadillac brand; (3) continue our growth in China; (4) continue our growth of GM Financial; and (5) deliver core operating efficiencies. Our financial targets include the following:</w:t>
      </w:r>
    </w:p>
    <w:p>
      <w:pPr>
        <w:spacing w:after="0" w:line="176" w:lineRule="exact"/>
        <w:rPr>
          <w:sz w:val="20"/>
          <w:szCs w:val="20"/>
          <w:color w:val="auto"/>
        </w:rPr>
      </w:pPr>
    </w:p>
    <w:p>
      <w:pPr>
        <w:ind w:left="820" w:right="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EBIT-adjusted margins of 10% in GMNA in 2016, which we anticipate will be driven by product launches, disciplined pricing and a focus on fixed costs;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to profitability in GME in 2016 driven by investments in our product portfolio, a revised brand strategy and reducing material, development and production costs;</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results in GMIO (excluding the results of our China JVs) through our emerging market product portfolio, improvements in brand strategy and dealer networks, cost structure and sourcing over the medium term;</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net income margins in the 9% to 10% range at our China JVs, with plans to invest approximately $14 billion in China through 2018 and increase vehicle sales volumes by nearly 40% by 2018;</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core operations in GMSA through product launches and material and logistics optimization, with a long-term objective of single digit EBIT-adjusted margins; and</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GM Financial’s support of the sale of new GM vehicles around the world through an increase in prime lending in the U.S. and entry into China.</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As more fully described in the “GM North America” section of MD&amp;A we recorded charges of approximately $2.7 billion in Automotive cost of sales relating to recall campaigns and courtesy transportation in the nine months ended September 30, 2014, of which approximately 90% was recorded in GMNA.</w:t>
      </w:r>
    </w:p>
    <w:p>
      <w:pPr>
        <w:spacing w:after="0" w:line="162"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the three months ended June 30, 2014 we announced the creation of a compensation program (the Program) to compensate accident victims who died or suffered physical injury (or their families) as a result of a faulty ignition switch related to the 2.6 million vehicles recalled under the Ignition Switch Recall. Refer to the “GM North America” section of MD&amp;A for additional information on the Ignition Switch Recall. It is important to us that we reach everyone through this Program who has been impacted.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June 30, 2014 we recorded $0.4 billion in Automotive selling, general and administrative expense in Corporate which represents our best estimate of amounts that may be paid under the Program. However, it is reasonably possible that the liability could exceed our recorded amount by approximately $0.2 billion. The most significant estimates affecting the amount recorded include the number of participants that have eligible claims related to death and physical injury, which also contemplates the severity of injury, the length of hospital stays and related compensation amounts and the number of people who</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7"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actually elect to participate in the Program. Our estimate is subject to significant uncertainties, as programs of this nature are highly unusual and each eligible claim will have a unique underlying fact pattern. While we do not anticipate material changes to our current estimate, it is possible that material changes could occur if actual eligible claims and the related compensation amounts differ from this estimate. The Program began accepting claims on August 1, 2014 and will continue accepting claims through December 31, 2014. Payments to eligible claimants will begin in the fourth quarter 2014 and will continue through the first half of 2015. Accident victims (or their families) could choose not to participate in the Program and pursue litigation against us. The amount recorded in the three months ended June 30, 2014 was treated as an adjustment for EBIT-adjusted reporting purposes. As of October 17, 2014 the Program received 1,517 claims and the independent program administrator has determined 56 claims to be eligible for payment under the Program. Remaining claims are either under review, deficient awaiting further documentation or deemed ineligible. Based on currently available information we believe our accrual at September 30, 2014 is adequate to cover the estimated costs under the Program. As of October 17, 2014 no payments have been made on any claims under the Program. Accident victims that accept a payment under the Program agree to settle all claims against GM related to the accident.</w:t>
      </w:r>
    </w:p>
    <w:p>
      <w:pPr>
        <w:spacing w:after="0" w:line="18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Even though our consolidated Net income decreased from $4.3 billion to $2.0 billion we had strong financial results in the nine months ended September 30, 2014 excluding the impact of recall-related charges. GMNA and our consolidated international operations are consistent with our expectations, while Europe and China are outperforming our expectations. However, we experienced weaker performance in GMSA due to the challenging environment in Venezuela, Brazil and Argentina.</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analyze the results of our automotive business through our four geographically-based segments: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GMNA</w:t>
      </w:r>
    </w:p>
    <w:p>
      <w:pPr>
        <w:spacing w:after="0" w:line="22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Automotive industry volume has continued to grow in North America. In January we expected U.S. industry light vehicle sales for the calendar year to fall in a range of 16 - 16.5 million units. In the nine months ended September 30, 2014, the seasonally-adjusted annual selling rate for light vehicles was 16.4 million and we expect full year U.S. industry light vehicle sales to be at the high end of our original outlook.</w:t>
      </w:r>
    </w:p>
    <w:p>
      <w:pPr>
        <w:spacing w:after="0" w:line="95"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2014 our U.S. retail vehicle sales increased at a rate approximately 1.3 percentage points less than industry sales. As a result, our U.S. market share decreased by 0.2 percentage points. U.S. market share for both Chevrolet and Cadillac decreased, GMC increased and Buick was equal to the prior year.</w:t>
      </w:r>
    </w:p>
    <w:p>
      <w:pPr>
        <w:spacing w:after="0" w:line="9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GMNA continued to generate increases in average transaction prices (ATP) in U.S. According to J.D. Power PIN estimates, in the nine months ended September 30, 2014 we achieved record ATP in the U.S. on the strength of new products such as large pick-ups and SUVs. Contributing to the record ATP, our U.S. year-to-date incentive spending as a percentage of ATP decreased by 0.2 percentage points, while industry spending increased by 0.4 percentage points compared to the prior year.</w:t>
      </w:r>
    </w:p>
    <w:p>
      <w:pPr>
        <w:spacing w:after="0" w:line="9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first deliveries of the new 2015 Chevrolet Colorado and GMC Canyon mid-size pick-ups occurred in September 2014. We have announced plans to add a third shift at our Wentzville, Mo., assembly plant in early 2015 to meet expected demand for both mid-size pick-ups and full-size vans.</w:t>
      </w:r>
    </w:p>
    <w:p>
      <w:pPr>
        <w:spacing w:after="0" w:line="81" w:lineRule="exact"/>
        <w:rPr>
          <w:sz w:val="20"/>
          <w:szCs w:val="20"/>
          <w:color w:val="auto"/>
        </w:rPr>
      </w:pPr>
    </w:p>
    <w:p>
      <w:pPr>
        <w:jc w:val="both"/>
        <w:ind w:firstLine="162"/>
        <w:spacing w:after="0" w:line="252" w:lineRule="auto"/>
        <w:rPr>
          <w:sz w:val="20"/>
          <w:szCs w:val="20"/>
          <w:color w:val="auto"/>
        </w:rPr>
      </w:pPr>
      <w:r>
        <w:rPr>
          <w:rFonts w:ascii="Times New Roman" w:cs="Times New Roman" w:eastAsia="Times New Roman" w:hAnsi="Times New Roman"/>
          <w:sz w:val="18"/>
          <w:szCs w:val="18"/>
          <w:color w:val="auto"/>
        </w:rPr>
        <w:t>Customer safety and satisfaction were the major reasons for the recall of approximately 32 million vehicles announced during the nine months ended September 30, 2014. These recalls included: (1) approximately 2.6 million vehicles to repair ignition switches that could result in a loss of electrical power under certain circumstances that may prevent front airbags from deploying in the event of a crash (accident victims who died or suffered physical injury associated with these vehicles (or their families) may be eligible to participate in a compensation program, as more fully described in Note 10 to our condensed consolidated financial statements) and to fix ignition lock cylinders that could allow removal of the ignition key while the engine is running, leading to possible rollaway or crash; (2) approximately 1.9 million vehicles to replace either the power steering motor, the steering column, the power steering motor control unit or a combination of the steering column and the power steering motor control unit as the electric power steering could fail under certain circumstances; (3) approximately 1.3 million vehicles prone to non-deployment of the side impact restraints if vehicles are not serviced when the Service Air Bag warning light is illuminated; (4) approximately 2.7 million vehicles to modify the brake lamp wiring harness that could have corrosion develop due to micro-vibration; (5) approximately 1.5 million vehicles to replace front safety lap belt cables that could fatigue and separate over time; (6) approximately 1.4 million vehicles to replace the shift cable that could wear out over time resulting in mismatches of the gear position indicated by the shift lever; (7) approximately 12.1 million vehicles to rework or replace ignition keys because the ignition switch may move out of the “run” position which may impact power steering and power braking and, depending on timing of the key movement relative to the activation of the sensing algorithm of a crash event, may result in airbags not deploying; (8) approximately 1.1 million vehicles to repair a loose battery cable that could impact vehicle warning systems; (9) approximately 0.7 million vehicles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repair ignition mechanisms where the ignition key could be pulled out while the vehicle is in the run position; (10) approximately 0.6 million vehicles to replace the wave plate in all vehicles with 6T70 and 6T75 transmissions which could crack under certain circumstances; and (11) approximately 6.3 million vehicles for other matters. In the three and six months ended June 30, 2014 we recorded charges of approximately $1.1 billion and $2.4 billion primarily for the estimated costs of parts and labor to repair these vehicles and for courtesy transportation. The cost of the vehicles recalled in the three months ended September 30, 2014 were comprehended in the June 30, 2014 catch-up adjustment of $874 million associated with a change in estimate for previously sold vehicles. Total Net sales and revenue for GMNA have increased for both the three and nine months ended September 30, 2014 as compared to prior year periods by 9.8% and 8.4%. It is difficult to determine the impact, if any, on current or future net sales and revenue due to our recent recall activity. Of the approximately 32 million vehicles subject to recall, approximately 61% of the vehicles and 66% of the costs involve vehicles we no longer produce or sell. We began repairing vehicles in early April and we have produced sufficient parts to have the ability to repair all vehicles impacted by the Ignition Switch Recall. Refer to the "GM North America" section of MD&amp;A for additional information on all of the recalls we announced in 2014.</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GME</w:t>
      </w:r>
    </w:p>
    <w:p>
      <w:pPr>
        <w:spacing w:after="0" w:line="22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automotive industry conditions in Europe remain challenging due to economic uncertainty resulting from weak gross domestic growth, high unemployment and vehicle production overcapacity. Despite such conditions, automotive industry sales to retail and fleet customers began to improve in the three months ended December 31, 2013 compared to the corresponding period in 2012. This trend continued in the nine months ended September 30, 2014 with industry sales to retail and fleet customers of 14 million vehicles representing a 1.6% increase compared to the corresponding period in 2013.</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European operations are benefiting from this trend and continue to show signs of improvement underscored by further improvement in our Opel and Vauxhall market share in the nine months ended September 30, 2014, which builds on our first market share increase in 14 years in 2013. This market share increase was partially driven by the success of the recently launched Opel Mokka.</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continue to implement various strategic actions to strengthen our operations and increase our competitiveness. The key actions include investments in our product portfolio including the next generation Opel Astra and Corsa, a revised brand strategy and reducing material, development and production costs, including restructuring activities. The success of these actions will depend on a combination of our ability to execute and external factors which are outside of our control.</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Our restructuring activities include our effort to rationalize our manufacturing footprint in GME whereby we reached agreement with the labor union in Germany to terminate all vehicle and transmission production at our Bochum, Germany facility by the end of 2014. Affected employees will be eligible for a voluntary restructuring separation program. Restructuring charges will be recorded primarily through 2014. Refer to Note 12 to our condensed consolidated financial statements for additional information.</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2014 we completed a strategic assessment of our Russian operations as a result of a significant deterioration in sales volumes due to challenging market conditions and deterioration in the Russian Ruble. Our review indicated that the existing long-lived assets in our Russian operations were not recoverable. As a result we recorded impairment charges of $0.2 billion in Automotive cost of sales which was treated as an adjustment for EBIT-adjusted reporting purposes.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expect the European automotive industry to continue to moderately improve and we expect to be profitable in GME in 2016.</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GMIO</w:t>
      </w:r>
    </w:p>
    <w:p>
      <w:pPr>
        <w:spacing w:after="0" w:line="227"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8"/>
          <w:szCs w:val="18"/>
          <w:color w:val="auto"/>
        </w:rPr>
        <w:t>We are addressing many of the challenges in our GMIO operations and have strategically assessed the manner in which we operate in certain countries within GMIO. We announced the withdrawal of the Chevrolet brand from Western and Central Europe and the ceasing of manufacturing and engineering operations in Australia by 2017 and incurred impairment and other charges in 2013. We continue to execute to these plans and within the financial impact that we projected. As we continue to assess our performance throughout the region, additional restructuring and rationalization actions may be required. With the significant reduction in wholesale volumes and forward pricing pressures, we tested certain long-lived assets for impairment and additional testing may occur in the near term. Determining whether long-lived assets need to be tested for impairment, whether recorded amounts are recoverable and the estimate of impairment and other charges, if any, is subject to significant uncertainty and highly dependent on finalization of our strategic assessments.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right="560" w:firstLine="162"/>
        <w:spacing w:after="0" w:line="266" w:lineRule="auto"/>
        <w:rPr>
          <w:sz w:val="20"/>
          <w:szCs w:val="20"/>
          <w:color w:val="auto"/>
        </w:rPr>
      </w:pPr>
      <w:r>
        <w:rPr>
          <w:rFonts w:ascii="Times New Roman" w:cs="Times New Roman" w:eastAsia="Times New Roman" w:hAnsi="Times New Roman"/>
          <w:sz w:val="18"/>
          <w:szCs w:val="18"/>
          <w:color w:val="auto"/>
        </w:rPr>
        <w:t>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GMSA</w:t>
      </w:r>
    </w:p>
    <w:p>
      <w:pPr>
        <w:spacing w:after="0" w:line="227"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2014 we recorded devaluation charges related to a change in the exchange rate we use for remeasuring our Venezuelan subsidiaries’ non-U.S. Dollar denominated monetary assets and liabilities from the Venezuela official exchange rate to the rate determined by an auction process conducted by Venezuela’s Complementary System of Foreign Currency Administration (SICAD I). In addition to currency controls already in place the Venezuelan government announced pricing controls that, taken with other initiatives, require us to closely monitor and consider our ability to maintain a controlling financial interest in our Venezuelan subsidiaries. Refer to the "GM South America" section of MD&amp;A for additional information.</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September 2014 we repurchased 5 million shares of our outstanding common stock for $0.2 billion, to offset the dilution from the June 2014 grant of stock incentive awards under the LTIP.</w:t>
      </w:r>
    </w:p>
    <w:p>
      <w:pPr>
        <w:spacing w:after="0" w:line="162"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At September 30, 2014 our European businesses had deferred tax asset valuation allowances of $5.0 billion. As a result of the changes in our European operating structure and improving financial performance in certain jurisdictions, we are experiencing positive evidence trends in certain operations. If these operations generate profits and taxable income in the future, it is reasonably possible our conclusion regarding the need for full valuation allowances could change, resulting in the reversal of significant portions of the valuation allowances. In the quarter in which significant valuation allowances are reversed, we will record a material tax benefit reflecting the reversal, which could result in a negative effective tax rate for both the quarter and full year.</w:t>
      </w:r>
    </w:p>
    <w:p>
      <w:pPr>
        <w:spacing w:after="0" w:line="18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On or after December 31, 2014 we intend to redeem all of our shares of Series A Preferred Stock outstanding at a redemption price equal to $25.00 per share plus any accrued and unpaid dividends. The difference of $0.8 billion between the carrying amount and the consideration paid will be recorded as a reduction to Net income attributable to common stockholders upon redemption of all the shares.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Wholesale and Retail Vehicle Sales</w:t>
      </w:r>
    </w:p>
    <w:p>
      <w:pPr>
        <w:spacing w:after="0" w:line="227"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present both wholesale and retail vehicle sales data to assist in the analysis of our revenue and our market share. Worldwide market share and vehicle sales data exclude the markets of Cuba, Iran, North Korea, Sudan and Syria. The joint venture agreements with SAIC-GM-Wuling Automobile Co., Ltd. (SGMW) and FAW-GM Light Duty Commercial Vehicle Co., Ltd. (FAW-GM) allow for significant rights as a member as well as the contractual right to report SGMW and FAW-GM joint venture retail vehicle sales in China.</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Wholesale vehicle sales data, which represents sales directly to dealers and others, is the measure that correlates vehicle sales to our revenue from the sale of vehicles, which is the largest component of automotive Net sales and revenue. Wholesale vehicle sales exclude vehicles produced by unconsolidated joint ventures. In the nine months ended September 30, 2014, 52.3% of our wholesale vehicle sales volume was generated outside the U.S. The following table summarizes total wholesale vehicle sales of new vehicles by automotive segment (vehicles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Borders>
              <w:bottom w:val="single" w:sz="8" w:color="auto"/>
            </w:tcBorders>
          </w:tcPr>
          <w:p>
            <w:pPr>
              <w:spacing w:after="0"/>
              <w:rPr>
                <w:sz w:val="16"/>
                <w:szCs w:val="16"/>
                <w:color w:val="auto"/>
              </w:rPr>
            </w:pPr>
          </w:p>
        </w:tc>
      </w:tr>
      <w:tr>
        <w:trPr>
          <w:trHeight w:val="264"/>
        </w:trPr>
        <w:tc>
          <w:tcPr>
            <w:tcW w:w="3640" w:type="dxa"/>
            <w:vAlign w:val="bottom"/>
          </w:tcPr>
          <w:p>
            <w:pPr>
              <w:spacing w:after="0"/>
              <w:rPr>
                <w:sz w:val="22"/>
                <w:szCs w:val="22"/>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96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86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249"/>
        </w:trPr>
        <w:tc>
          <w:tcPr>
            <w:tcW w:w="3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GMNA</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GME</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3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GMIO</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GMSA</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7"/>
        </w:trPr>
        <w:tc>
          <w:tcPr>
            <w:tcW w:w="3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Worldwide</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Retail vehicle sales data, which represents estimated sales to the end customer, including fleets, does not correlate directly to the revenue we recognize during the period. However, retail vehicle sales data is indicative of the underlying demand for our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vehicles, is the basis for our market share, and is based upon the good faith estimates of management. Retail vehicle sales data includes all sales by joint ventures on a total vehicle basis, not based on the percentage of ownership in the joint venture. Market share information is based primarily on retail vehicle sales volume, but estimates may be used where retail vehicle sales volume is not available. The following table summarizes total industry retail sales volume, or estimated sales volume where retail sales volume is not available, of new vehicles and the related competitive position by geographic region (vehicles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3"/>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6"/>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rPr>
              <w:t>September 30, 2014</w:t>
            </w:r>
          </w:p>
        </w:tc>
        <w:tc>
          <w:tcPr>
            <w:tcW w:w="580" w:type="dxa"/>
            <w:vAlign w:val="bottom"/>
          </w:tcPr>
          <w:p>
            <w:pPr>
              <w:spacing w:after="0"/>
              <w:rPr>
                <w:sz w:val="21"/>
                <w:szCs w:val="21"/>
                <w:color w:val="auto"/>
              </w:rPr>
            </w:pPr>
          </w:p>
        </w:tc>
        <w:tc>
          <w:tcPr>
            <w:tcW w:w="102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w w:val="95"/>
              </w:rPr>
              <w:t>September 30, 2013</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w w:val="95"/>
              </w:rPr>
              <w:t>September 30, 2014</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w w:val="95"/>
              </w:rPr>
              <w:t>September 30, 2013</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GM %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GM % of</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GM % of</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2"/>
                <w:szCs w:val="12"/>
                <w:b w:val="1"/>
                <w:bCs w:val="1"/>
                <w:color w:val="auto"/>
                <w:w w:val="94"/>
              </w:rPr>
              <w:t>GM % of</w:t>
            </w:r>
          </w:p>
        </w:tc>
        <w:tc>
          <w:tcPr>
            <w:tcW w:w="0" w:type="dxa"/>
            <w:vAlign w:val="bottom"/>
          </w:tcPr>
          <w:p>
            <w:pPr>
              <w:spacing w:after="0"/>
              <w:rPr>
                <w:sz w:val="1"/>
                <w:szCs w:val="1"/>
                <w:color w:val="auto"/>
              </w:rPr>
            </w:pPr>
          </w:p>
        </w:tc>
      </w:tr>
      <w:tr>
        <w:trPr>
          <w:trHeight w:val="152"/>
        </w:trPr>
        <w:tc>
          <w:tcPr>
            <w:tcW w:w="2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GM</w:t>
            </w: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GM</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GM</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GM</w:t>
            </w:r>
          </w:p>
        </w:tc>
        <w:tc>
          <w:tcPr>
            <w:tcW w:w="600" w:type="dxa"/>
            <w:vAlign w:val="bottom"/>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w w:val="98"/>
              </w:rPr>
              <w:t>Industry</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752</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12,676</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2,208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132</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8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83"/>
        </w:trPr>
        <w:tc>
          <w:tcPr>
            <w:tcW w:w="234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North America</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884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4,848</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15,176</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2,559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14,392</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2,449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United Kingdom</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75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2,232</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Germany</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780" w:type="dxa"/>
            <w:vAlign w:val="bottom"/>
            <w:gridSpan w:val="3"/>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58</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0" w:type="dxa"/>
            <w:vAlign w:val="bottom"/>
            <w:gridSpan w:val="3"/>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c>
          <w:tcPr>
            <w:tcW w:w="780" w:type="dxa"/>
            <w:vAlign w:val="bottom"/>
            <w:gridSpan w:val="3"/>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780" w:type="dxa"/>
            <w:vAlign w:val="bottom"/>
            <w:gridSpan w:val="3"/>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78"/>
        </w:trPr>
        <w:tc>
          <w:tcPr>
            <w:tcW w:w="23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80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78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Russia</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112</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7,422</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8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83"/>
        </w:trPr>
        <w:tc>
          <w:tcPr>
            <w:tcW w:w="234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Europe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284</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13,988</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958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13,765</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Asia/Pacific, Middle East and Africa</w:t>
            </w: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China</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850</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5,186</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17,525</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2,581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15,998</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4,666</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14,429</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14,419</w:t>
            </w:r>
          </w:p>
        </w:tc>
        <w:tc>
          <w:tcPr>
            <w:tcW w:w="8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83"/>
        </w:trPr>
        <w:tc>
          <w:tcPr>
            <w:tcW w:w="234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34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Total Asia/Pacific, Middle East and</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10,256</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1,065</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31,954</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3,213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30,417</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2,974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3"/>
        </w:trPr>
        <w:tc>
          <w:tcPr>
            <w:tcW w:w="2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Africa</w:t>
            </w:r>
          </w:p>
        </w:tc>
        <w:tc>
          <w:tcPr>
            <w:tcW w:w="580" w:type="dxa"/>
            <w:vAlign w:val="bottom"/>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South America</w:t>
            </w: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Brazil</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139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8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7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7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73"/>
        </w:trPr>
        <w:tc>
          <w:tcPr>
            <w:tcW w:w="23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78</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8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83"/>
        </w:trPr>
        <w:tc>
          <w:tcPr>
            <w:tcW w:w="234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South America</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8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217</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8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6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8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6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73"/>
        </w:trPr>
        <w:tc>
          <w:tcPr>
            <w:tcW w:w="234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0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Worldwide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21,228</w:t>
            </w:r>
          </w:p>
        </w:tc>
        <w:tc>
          <w:tcPr>
            <w:tcW w:w="780" w:type="dxa"/>
            <w:vAlign w:val="bottom"/>
            <w:gridSpan w:val="3"/>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2,450</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20,651</w:t>
            </w:r>
          </w:p>
        </w:tc>
        <w:tc>
          <w:tcPr>
            <w:tcW w:w="800" w:type="dxa"/>
            <w:vAlign w:val="bottom"/>
            <w:gridSpan w:val="3"/>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65,015</w:t>
            </w:r>
          </w:p>
        </w:tc>
        <w:tc>
          <w:tcPr>
            <w:tcW w:w="780" w:type="dxa"/>
            <w:vAlign w:val="bottom"/>
            <w:gridSpan w:val="3"/>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7,372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63,008</w:t>
            </w:r>
          </w:p>
        </w:tc>
        <w:tc>
          <w:tcPr>
            <w:tcW w:w="780" w:type="dxa"/>
            <w:vAlign w:val="bottom"/>
            <w:gridSpan w:val="3"/>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7,251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64"/>
        </w:trPr>
        <w:tc>
          <w:tcPr>
            <w:tcW w:w="234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780" w:type="dxa"/>
            <w:vAlign w:val="bottom"/>
            <w:gridSpan w:val="3"/>
            <w:vMerge w:val="continue"/>
            <w:shd w:val="clear" w:color="auto" w:fill="CCEEFF"/>
          </w:tcPr>
          <w:p>
            <w:pPr>
              <w:spacing w:after="0"/>
              <w:rPr>
                <w:sz w:val="5"/>
                <w:szCs w:val="5"/>
                <w:color w:val="auto"/>
              </w:rPr>
            </w:pPr>
          </w:p>
        </w:tc>
        <w:tc>
          <w:tcPr>
            <w:tcW w:w="8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80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78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78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Cars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262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5,862</w:t>
            </w:r>
          </w:p>
        </w:tc>
        <w:tc>
          <w:tcPr>
            <w:tcW w:w="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841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75"/>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Trucks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7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299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7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65"/>
        </w:trPr>
        <w:tc>
          <w:tcPr>
            <w:tcW w:w="2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Crossovers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191</w:t>
            </w:r>
          </w:p>
        </w:tc>
        <w:tc>
          <w:tcPr>
            <w:tcW w:w="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567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242"/>
        </w:trPr>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United States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7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752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4,031</w:t>
            </w:r>
          </w:p>
        </w:tc>
        <w:tc>
          <w:tcPr>
            <w:tcW w:w="8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12,676</w:t>
            </w:r>
          </w:p>
        </w:tc>
        <w:tc>
          <w:tcPr>
            <w:tcW w:w="7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7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North America retail vehicle sales primarily represent sales to the end customer. Europe (including Chevrolet Europe vehicle sales that will cease in 2015), Asia/Pacific, Middle East and Africa and South America retail vehicle sales primarily represent estimated sales to the end customer. In countries where end customer data is not readily available other data sources, such as wholesale or forecast volumes, are used to estimate retail vehicle sales. Certain fleet sales that are accounted for as operating leases are included in retail vehicle sales at the time of delivery to the daily rental car companies. The vehicle sales at our China JVs presented in the following table are included in our retail vehicle sales (vehicles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624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2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SAIC General Motors Sales Co., Ltd.</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1,111</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SGMW and FAW-GM</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1,198</w:t>
            </w:r>
          </w:p>
        </w:tc>
      </w:tr>
    </w:tbl>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2014 we estimate we had the largest market share, based upon retail vehicle sales, in North America and South America, the number five market share in Europe and the number three market share in the Asia/Pacific, Middle East and Africa region. In the nine months ended September 30, 2014 the Asia/Pacific, Middle East and Africa region was our largest region by retail vehicle sales volume and represented 43.6% of our global retail vehicle sales.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7" w:right="2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Financial's automotive finance and financial services businesses in Europe and Latin America during 2013. GM Financial expects to complete the acquisition of Ally Financial's equity interest in its joint venture in China, which is subject to certain regulatory and other approvals, in late 2014 or as soon as practicable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Management uses EBIT-adjusted to review the operating results of our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 Refer to Note 15 to our condensed consolidated financial statements for our reconciliation of these non-GAAP measures to the most directly comparable financial measure under U.S. GAAP.</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Management uses free cash flow and adjusted free cash flow to review the liquidity of our automotive operations. We measure free cash flow as cash flow from operations less capital expenditures. We measure adjusted free cash flow as free cash flow adjusted for management actions, primarily related to strengthening our balance sheet, such as accrued interest on prepayments of debt and voluntary contributions to employee benefit plans. Refer to the “Liquidity” section of MD&amp;A for our reconciliation of these non-GAAP measures to the most directly comparable financial measure under U.S. GAAP.</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calculation of these non-GAAP measures may not be comparable to similarly titled measures of other companies due to potential differences between companies in the method of calculation. As a result the use of these non-GAAP measures has limitations and should not be considered in isolation from, or as a substitute for, related U.S. GAAP measures.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r>
      <w:tr>
        <w:trPr>
          <w:trHeight w:val="142"/>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2"/>
                <w:szCs w:val="12"/>
                <w:color w:val="auto"/>
              </w:rPr>
            </w:pPr>
          </w:p>
        </w:tc>
        <w:tc>
          <w:tcPr>
            <w:tcW w:w="960" w:type="dxa"/>
            <w:vAlign w:val="bottom"/>
          </w:tcPr>
          <w:p>
            <w:pPr>
              <w:jc w:val="right"/>
              <w:ind w:right="190"/>
              <w:spacing w:after="0" w:line="142"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6"/>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560" w:type="dxa"/>
            <w:vAlign w:val="bottom"/>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5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60" w:type="dxa"/>
            <w:vAlign w:val="bottom"/>
          </w:tcPr>
          <w:p>
            <w:pPr>
              <w:spacing w:after="0"/>
              <w:rPr>
                <w:sz w:val="15"/>
                <w:szCs w:val="15"/>
                <w:color w:val="auto"/>
              </w:rPr>
            </w:pPr>
          </w:p>
        </w:tc>
        <w:tc>
          <w:tcPr>
            <w:tcW w:w="56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262"/>
        </w:trPr>
        <w:tc>
          <w:tcPr>
            <w:tcW w:w="35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r>
      <w:tr>
        <w:trPr>
          <w:trHeight w:val="278"/>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25,816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23,508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2,308</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9.8 %</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r>
      <w:tr>
        <w:trPr>
          <w:trHeight w:val="265"/>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GME</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5,226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5,376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75"/>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GMIO</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4,818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GMSA</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3,202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(0.9)</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70"/>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and eliminations</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Automotive</w:t>
            </w: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37,999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38,120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70"/>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 Financial</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393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45.5 %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0.4</w:t>
            </w:r>
          </w:p>
        </w:tc>
      </w:tr>
      <w:tr>
        <w:trPr>
          <w:trHeight w:val="242"/>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39,255</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38,983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272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0.7 %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(0.8)</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r>
      <w:tr>
        <w:trPr>
          <w:trHeight w:val="142"/>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2"/>
                <w:szCs w:val="12"/>
                <w:color w:val="auto"/>
              </w:rPr>
            </w:pPr>
          </w:p>
        </w:tc>
        <w:tc>
          <w:tcPr>
            <w:tcW w:w="960" w:type="dxa"/>
            <w:vAlign w:val="bottom"/>
          </w:tcPr>
          <w:p>
            <w:pPr>
              <w:jc w:val="right"/>
              <w:ind w:right="190"/>
              <w:spacing w:after="0" w:line="142"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6"/>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Mix</w:t>
            </w:r>
          </w:p>
        </w:tc>
        <w:tc>
          <w:tcPr>
            <w:tcW w:w="260" w:type="dxa"/>
            <w:vAlign w:val="bottom"/>
          </w:tcPr>
          <w:p>
            <w:pPr>
              <w:spacing w:after="0"/>
              <w:rPr>
                <w:sz w:val="15"/>
                <w:szCs w:val="15"/>
                <w:color w:val="auto"/>
              </w:rPr>
            </w:pPr>
          </w:p>
        </w:tc>
        <w:tc>
          <w:tcPr>
            <w:tcW w:w="60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20" w:type="dxa"/>
            <w:vAlign w:val="bottom"/>
          </w:tcPr>
          <w:p>
            <w:pPr>
              <w:spacing w:after="0"/>
              <w:rPr>
                <w:sz w:val="15"/>
                <w:szCs w:val="15"/>
                <w:color w:val="auto"/>
              </w:rPr>
            </w:pPr>
          </w:p>
        </w:tc>
        <w:tc>
          <w:tcPr>
            <w:tcW w:w="56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262"/>
        </w:trPr>
        <w:tc>
          <w:tcPr>
            <w:tcW w:w="35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r>
      <w:tr>
        <w:trPr>
          <w:trHeight w:val="278"/>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75,891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69,982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5,909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8.4 %</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0.2</w:t>
            </w:r>
          </w:p>
        </w:tc>
      </w:tr>
      <w:tr>
        <w:trPr>
          <w:trHeight w:val="265"/>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GME</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16,820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16,254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3.5 %</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r>
      <w:tr>
        <w:trPr>
          <w:trHeight w:val="275"/>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GMIO</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10,548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13,982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(24.6)%</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(3.7)</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65"/>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GMSA</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9,404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12,380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70"/>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and eliminations</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Automotive</w:t>
            </w: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112,776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112,704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70"/>
        </w:trPr>
        <w:tc>
          <w:tcPr>
            <w:tcW w:w="3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 Financial</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3,536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2,238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1,298</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58.0 %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r>
      <w:tr>
        <w:trPr>
          <w:trHeight w:val="242"/>
        </w:trPr>
        <w:tc>
          <w:tcPr>
            <w:tcW w:w="35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116,312</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114,942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1,370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r>
      <w:tr>
        <w:trPr>
          <w:trHeight w:val="20"/>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the regional sections of the MD&amp;A for additional information.</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Cost of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40" w:type="dxa"/>
            <w:vAlign w:val="bottom"/>
          </w:tcPr>
          <w:p>
            <w:pPr>
              <w:spacing w:after="0"/>
              <w:rPr>
                <w:sz w:val="12"/>
                <w:szCs w:val="12"/>
                <w:color w:val="auto"/>
              </w:rPr>
            </w:pPr>
          </w:p>
        </w:tc>
        <w:tc>
          <w:tcPr>
            <w:tcW w:w="96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2013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320" w:type="dxa"/>
            <w:vAlign w:val="bottom"/>
          </w:tcPr>
          <w:p>
            <w:pPr>
              <w:spacing w:after="0"/>
              <w:rPr>
                <w:sz w:val="15"/>
                <w:szCs w:val="15"/>
                <w:color w:val="auto"/>
              </w:rPr>
            </w:pPr>
          </w:p>
        </w:tc>
        <w:tc>
          <w:tcPr>
            <w:tcW w:w="680" w:type="dxa"/>
            <w:vAlign w:val="bottom"/>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8"/>
              </w:rPr>
              <w:t>Mix</w:t>
            </w:r>
          </w:p>
        </w:tc>
        <w:tc>
          <w:tcPr>
            <w:tcW w:w="160" w:type="dxa"/>
            <w:vAlign w:val="bottom"/>
          </w:tcPr>
          <w:p>
            <w:pPr>
              <w:spacing w:after="0"/>
              <w:rPr>
                <w:sz w:val="15"/>
                <w:szCs w:val="15"/>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4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5"/>
              </w:rPr>
              <w:t>(Dollars in billions)</w:t>
            </w: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21,996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19,707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65"/>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GME</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5,301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5,140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0.2</w:t>
            </w: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5"/>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GMIO</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3,603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4,586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983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GMSA</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3,836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21.8 %</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0.7</w:t>
            </w: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23"/>
                <w:szCs w:val="23"/>
                <w:color w:val="auto"/>
              </w:rPr>
            </w:pPr>
          </w:p>
        </w:tc>
        <w:tc>
          <w:tcPr>
            <w:tcW w:w="1040" w:type="dxa"/>
            <w:vAlign w:val="bottom"/>
            <w:tcBorders>
              <w:right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42"/>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automotive cost of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34,054</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33,166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0.8</w:t>
            </w: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4"/>
            <w:vMerge w:val="restart"/>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40" w:type="dxa"/>
            <w:vAlign w:val="bottom"/>
          </w:tcPr>
          <w:p>
            <w:pPr>
              <w:spacing w:after="0"/>
              <w:rPr>
                <w:sz w:val="12"/>
                <w:szCs w:val="12"/>
                <w:color w:val="auto"/>
              </w:rPr>
            </w:pPr>
          </w:p>
        </w:tc>
        <w:tc>
          <w:tcPr>
            <w:tcW w:w="960" w:type="dxa"/>
            <w:vAlign w:val="bottom"/>
          </w:tcPr>
          <w:p>
            <w:pPr>
              <w:jc w:val="center"/>
              <w:ind w:right="7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2013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0" w:type="dxa"/>
            <w:vAlign w:val="bottom"/>
            <w:gridSpan w:val="2"/>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320" w:type="dxa"/>
            <w:vAlign w:val="bottom"/>
          </w:tcPr>
          <w:p>
            <w:pPr>
              <w:spacing w:after="0"/>
              <w:rPr>
                <w:sz w:val="15"/>
                <w:szCs w:val="15"/>
                <w:color w:val="auto"/>
              </w:rPr>
            </w:pPr>
          </w:p>
        </w:tc>
        <w:tc>
          <w:tcPr>
            <w:tcW w:w="680" w:type="dxa"/>
            <w:vAlign w:val="bottom"/>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w w:val="98"/>
              </w:rPr>
              <w:t>Mix</w:t>
            </w:r>
          </w:p>
        </w:tc>
        <w:tc>
          <w:tcPr>
            <w:tcW w:w="160" w:type="dxa"/>
            <w:vAlign w:val="bottom"/>
          </w:tcPr>
          <w:p>
            <w:pPr>
              <w:spacing w:after="0"/>
              <w:rPr>
                <w:sz w:val="15"/>
                <w:szCs w:val="15"/>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42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3"/>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5"/>
              </w:rPr>
              <w:t>(Dollars in billions)</w:t>
            </w: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67,841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59,810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65"/>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GME</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16,389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15,261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75"/>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GMIO</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10,263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13,158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2,895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2.9</w:t>
            </w: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65"/>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GMSA</w:t>
            </w:r>
          </w:p>
        </w:tc>
        <w:tc>
          <w:tcPr>
            <w:tcW w:w="1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9,387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11,448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18.0 %</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w:t>
            </w: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0"/>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23"/>
                <w:szCs w:val="23"/>
                <w:color w:val="auto"/>
              </w:rPr>
            </w:pPr>
          </w:p>
        </w:tc>
        <w:tc>
          <w:tcPr>
            <w:tcW w:w="1040" w:type="dxa"/>
            <w:vAlign w:val="bottom"/>
            <w:tcBorders>
              <w:right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42"/>
        </w:trPr>
        <w:tc>
          <w:tcPr>
            <w:tcW w:w="4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automotive cost of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104,032</w:t>
            </w:r>
          </w:p>
        </w:tc>
        <w:tc>
          <w:tcPr>
            <w:tcW w:w="12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99,607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the regional sections of the MD&amp;A for additional information on volume and mix.</w:t>
      </w:r>
    </w:p>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2014 unfavorable Other was due primarily to: (1) increased material and freight cost including new launches of $0.5 billion; (2) impairment of long lived assets of $0.3 billion, primarily related to our Russian subsidiaries; (3) unfavorable net foreign currency effect of $0.2 billion due primarily to the strengthening of the Euro against the U.S. Dollar; (4) increased restructuring related charges of $0.2 billion; and (5) charges related to flood damage of $0.1 billion.</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2014 unfavorable Other was due primarily to: (1) recall campaign actions and recall related charges, including catch-up adjustment, of $3.2 billion; (2) increased material and freight cost including new launches of</w:t>
      </w:r>
    </w:p>
    <w:p>
      <w:pPr>
        <w:sectPr>
          <w:pgSz w:w="11900" w:h="16838" w:orient="portrait"/>
          <w:cols w:equalWidth="0" w:num="1">
            <w:col w:w="11420"/>
          </w:cols>
          <w:pgMar w:left="240" w:top="33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7"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$2.3 billion; (3) increased restructuring related charges of $0.6 billion; and (4) impairment of long-lived assets of $0.5 billion; partially offset by (5) favorable intangible amortization of $0.4 billion; and (6) favorable foreign currency effect of $0.2 billion due primarily to the weakening of the Brazilian Real, Canadian Dollar and Russian Ruble against the U.S. Dollar; partially offset by the strengthening of the British Pound and Euro against the U.S. Dollar and the Venezuela Bolivar Feurte (BsF) devaluation.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Automotive Selling, General and Administrative Expense</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840" w:type="dxa"/>
            <w:vAlign w:val="bottom"/>
            <w:gridSpan w:val="4"/>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0" w:type="dxa"/>
            <w:vAlign w:val="bottom"/>
          </w:tcPr>
          <w:p>
            <w:pPr>
              <w:spacing w:after="0"/>
              <w:rPr>
                <w:sz w:val="1"/>
                <w:szCs w:val="1"/>
                <w:color w:val="auto"/>
              </w:rPr>
            </w:pPr>
          </w:p>
        </w:tc>
      </w:tr>
      <w:tr>
        <w:trPr>
          <w:trHeight w:val="280"/>
        </w:trPr>
        <w:tc>
          <w:tcPr>
            <w:tcW w:w="2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w w:val="95"/>
              </w:rPr>
              <w:t>2014 vs. 2013</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w w:val="95"/>
              </w:rPr>
              <w:t>2014 vs. 2013</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2"/>
                <w:szCs w:val="12"/>
                <w:color w:val="auto"/>
              </w:rPr>
            </w:pPr>
          </w:p>
        </w:tc>
        <w:tc>
          <w:tcPr>
            <w:tcW w:w="130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9"/>
        </w:trPr>
        <w:tc>
          <w:tcPr>
            <w:tcW w:w="27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Automotive selling, general and administrative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2,876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9,205</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8,753</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   $</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w:t>
            </w: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2014 Automotive selling, general and administrative expense remained flat due primarily to: (1) legal costs related to the Ignition Switch Recall of $0.1 billion; offset by (2) cost reductions of $0.1 billion due primarily to the withdrawal of the Chevrolet brand from Europe.</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2014 Automotive selling, general and administrative expense increased due primarily to: (1) $0.4 billion expense related to the Ignition Switch Compensation Program; (2) legal costs related to the Ignition Switch Recall of $0.2 billion; partially offset by (3) cost reductions of $0.2 billion due primarily to the withdrawal of the Chevrolet brand from Europe.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3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2"/>
              </w:rPr>
              <w:t>Variance Due To</w:t>
            </w: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2"/>
                <w:szCs w:val="12"/>
                <w:color w:val="auto"/>
              </w:rPr>
            </w:pPr>
          </w:p>
        </w:tc>
        <w:tc>
          <w:tcPr>
            <w:tcW w:w="106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60" w:type="dxa"/>
            <w:vAlign w:val="bottom"/>
          </w:tcPr>
          <w:p>
            <w:pPr>
              <w:spacing w:after="0"/>
              <w:rPr>
                <w:sz w:val="12"/>
                <w:szCs w:val="12"/>
                <w:color w:val="auto"/>
              </w:rPr>
            </w:pPr>
          </w:p>
        </w:tc>
        <w:tc>
          <w:tcPr>
            <w:tcW w:w="104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2014</w:t>
            </w:r>
          </w:p>
        </w:tc>
        <w:tc>
          <w:tcPr>
            <w:tcW w:w="240" w:type="dxa"/>
            <w:vAlign w:val="bottom"/>
          </w:tcPr>
          <w:p>
            <w:pPr>
              <w:spacing w:after="0"/>
              <w:rPr>
                <w:sz w:val="15"/>
                <w:szCs w:val="15"/>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9"/>
              </w:rPr>
              <w:t>2013</w:t>
            </w:r>
          </w:p>
        </w:tc>
        <w:tc>
          <w:tcPr>
            <w:tcW w:w="16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5"/>
                <w:szCs w:val="15"/>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(Dollars in millions)</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2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25,816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23,508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6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EBIT-adjusted</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2,452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2,187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75"/>
        </w:trPr>
        <w:tc>
          <w:tcPr>
            <w:tcW w:w="3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(Vehicles in thousands)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vehicle sales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240" w:type="dxa"/>
            <w:vAlign w:val="bottom"/>
          </w:tcPr>
          <w:p>
            <w:pPr>
              <w:spacing w:after="0"/>
              <w:rPr>
                <w:sz w:val="23"/>
                <w:szCs w:val="23"/>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775</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60" w:type="dxa"/>
            <w:vAlign w:val="bottom"/>
            <w:gridSpan w:val="6"/>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vMerge w:val="restart"/>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2"/>
              </w:rPr>
              <w:t>Variance Due To</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6"/>
            <w:vMerge w:val="continue"/>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3"/>
                <w:szCs w:val="13"/>
                <w:b w:val="1"/>
                <w:bCs w:val="1"/>
                <w:color w:val="auto"/>
                <w:w w:val="93"/>
              </w:rPr>
              <w:t>September 30,</w:t>
            </w:r>
          </w:p>
        </w:tc>
        <w:tc>
          <w:tcPr>
            <w:tcW w:w="240" w:type="dxa"/>
            <w:vAlign w:val="bottom"/>
          </w:tcPr>
          <w:p>
            <w:pPr>
              <w:spacing w:after="0"/>
              <w:rPr>
                <w:sz w:val="12"/>
                <w:szCs w:val="12"/>
                <w:color w:val="auto"/>
              </w:rPr>
            </w:pPr>
          </w:p>
        </w:tc>
        <w:tc>
          <w:tcPr>
            <w:tcW w:w="1060" w:type="dxa"/>
            <w:vAlign w:val="bottom"/>
          </w:tcPr>
          <w:p>
            <w:pPr>
              <w:jc w:val="center"/>
              <w:ind w:right="233"/>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60" w:type="dxa"/>
            <w:vAlign w:val="bottom"/>
          </w:tcPr>
          <w:p>
            <w:pPr>
              <w:spacing w:after="0"/>
              <w:rPr>
                <w:sz w:val="12"/>
                <w:szCs w:val="12"/>
                <w:color w:val="auto"/>
              </w:rPr>
            </w:pPr>
          </w:p>
        </w:tc>
        <w:tc>
          <w:tcPr>
            <w:tcW w:w="104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Favorable /</w:t>
            </w:r>
          </w:p>
        </w:tc>
        <w:tc>
          <w:tcPr>
            <w:tcW w:w="7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3"/>
                <w:szCs w:val="13"/>
                <w:b w:val="1"/>
                <w:bCs w:val="1"/>
                <w:color w:val="auto"/>
              </w:rPr>
              <w:t>2014</w:t>
            </w:r>
          </w:p>
        </w:tc>
        <w:tc>
          <w:tcPr>
            <w:tcW w:w="240" w:type="dxa"/>
            <w:vAlign w:val="bottom"/>
          </w:tcPr>
          <w:p>
            <w:pPr>
              <w:spacing w:after="0"/>
              <w:rPr>
                <w:sz w:val="15"/>
                <w:szCs w:val="15"/>
                <w:color w:val="auto"/>
              </w:rPr>
            </w:pPr>
          </w:p>
        </w:tc>
        <w:tc>
          <w:tcPr>
            <w:tcW w:w="106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color w:val="auto"/>
                <w:w w:val="92"/>
              </w:rPr>
              <w:t>2013</w:t>
            </w:r>
          </w:p>
        </w:tc>
        <w:tc>
          <w:tcPr>
            <w:tcW w:w="12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72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60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5"/>
                <w:szCs w:val="15"/>
                <w:color w:val="auto"/>
              </w:rPr>
            </w:pPr>
          </w:p>
        </w:tc>
        <w:tc>
          <w:tcPr>
            <w:tcW w:w="60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34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(Dollars in millions)</w:t>
            </w: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2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75,891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69,982</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5,909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6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EBIT-adjusted</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4,394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5,577</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(1,183)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0.6</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5"/>
        </w:trPr>
        <w:tc>
          <w:tcPr>
            <w:tcW w:w="3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(Vehicles in thousands)</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vehicle sales</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240" w:type="dxa"/>
            <w:vAlign w:val="bottom"/>
          </w:tcPr>
          <w:p>
            <w:pPr>
              <w:spacing w:after="0"/>
              <w:rPr>
                <w:sz w:val="23"/>
                <w:szCs w:val="23"/>
                <w:color w:val="auto"/>
              </w:rPr>
            </w:pPr>
          </w:p>
        </w:tc>
        <w:tc>
          <w:tcPr>
            <w:tcW w:w="106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2,413</w:t>
            </w:r>
          </w:p>
        </w:tc>
        <w:tc>
          <w:tcPr>
            <w:tcW w:w="160" w:type="dxa"/>
            <w:vAlign w:val="bottom"/>
          </w:tcPr>
          <w:p>
            <w:pPr>
              <w:spacing w:after="0"/>
              <w:rPr>
                <w:sz w:val="23"/>
                <w:szCs w:val="23"/>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GMNA Total Net Sales and Revenue</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2014 Total net sales and revenue increased due primarily to: (1) increased wholesale volumes due to full-size pick-ups, full-size SUVs, Chevrolet Cruze and Chevrolet Corvette, partially offset by decreases in Chevrolet Impala; (2) favorable vehicle pricing related to full-size pick-ups and full-size SUVs; and (3) favorable mix due to Chevrolet Corvette and Chevrolet Impala partially offset by Chevrolet Cruze.</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2014 Total net sales and revenue increased due primarily to: (1) favorable vehicle pricing related to full-size pick-ups and full-size SUVs; (2) increased wholesale volumes due to full-size pick-ups, full-size SUVs, Chevrolet Corvette and Chevrolet Malibu, partially offset by decreases in Chevrolet Impala; and (3) favorable mix due to Chevrolet Corvette and Chevrolet Impala.</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GMNA EBIT-Adjusted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2014 EBIT-adjusted increased due primarily to: (1) increased wholesale volumes due to full-size pick-ups, full-size SUVs, Chevrolet Cruze and Chevrolet Corvette, partially offset by decreases in Chevrolet Impala; and (2) favorable vehicle pricing due to new launches of $0.8 billion primarily related to full-size pick-ups and full-size SUVs, partially offset by unfavorable vehicle pricing related to our carryover products of $0.4 billion; partially offset by (3) unfavorable mix primarily due to Chevrolet Cruze and due to an increased proportion of sales in Canada and Mexico; and (4) unfavorable Other of $0.6 billion primarily due to increased material and freight costs, including new launches.</w:t>
      </w:r>
    </w:p>
    <w:p>
      <w:pPr>
        <w:spacing w:after="0" w:line="184"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2014 EBIT-adjusted decreased due primarily to: (1) unfavorable Other of $4.6 billion due primarily to recall campaign actions and recall related charges in 2014 of $2.5 billion, as subsequently described; and increased material and freight costs, including new launches, of $2.4 billion; partially offset by (2) favorable vehicle pricing due to new launches of full-size pick-ups and full-size SUVs; and (3) increased wholesale volumes due to full-size pick-ups, Chevrolet Corvette and Chevrolet Malibu, partially offset by decreases in Chevrolet Impala.</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Recall Campaigns</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2014 we experienced a significant increase in the number of vehicles subject to recall in North America resulting in incremental charges for the estimated costs of parts and labor to repair these vehicles and courtesy transportation for certain recalls. There were approximately 32 million vehicles subject to recalls announced during this period. This included approximately 7 million vehicles subject to multiple recalls and reflects the results of our ongoing comprehensive safety review, additional engineering analysis and our overall commitment to customer satisfaction.</w:t>
      </w:r>
    </w:p>
    <w:p>
      <w:pPr>
        <w:spacing w:after="0" w:line="180"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In the three months ended March 31, 2014 we announced a recall to repair ignition switches in vehicles that we are no longer producing that under certain circumstances could result in a loss of electrical power that may prevent front airbags from deploying in the event of a crash. It was originally estimated that approximately 800,000 vehicles were equipped with ignition switches needing repair. These vehicles include model years 2005–2007 Chevrolet Cobalt, 2007 Pontiac G5 and 2005–2006 Pursuit. In the three months ended December 31, 2013 we recorded approximately $40 million in Automotive cost of sales to cover the repairs as these costs were considered probable and estimable at that time. In the three months ended March 31, 2014 we expanded this recall by approximately 1.8 million additional vehicles for the same issue. These vehicles, consisting of model years 2008–2010 Chevrolet Cobalt, model years 2006– 2011 HHR, model years 2008–2010 Pontiac G5, model years 2006–2010 Solstice, model years 2003–2007 Saturn ION and model years 2007–2010 Sky, were not included in the initial recall. In the three months ended March 31, 2014 we recorded approximately $90 million in Automotive cost of sales to repair these vehicles and approximately $270 million in Automotive cost of sales to provide courtesy transportation to owners of affected vehicles. These recalls, relating to ignition switches, are collectively referred to as the “Ignition Switch Recall.” Refer to Note 10 to our condensed consolidated financial statements for litigation associated with the Ignition Switch Recall. A second repair was added to these vehicles as a result of the comprehensive review described below to fix ignition lock cylinders that could allow removal of the ignition key while the engine is running, leading to possible rollaway or crash. In the three months ended March 31, 2014 we recorded approximately $320 million in Automotive cost of sales to repair ignition lock cylinders.</w:t>
      </w:r>
    </w:p>
    <w:p>
      <w:pPr>
        <w:spacing w:after="0" w:line="189"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color w:val="auto"/>
        </w:rPr>
        <w:t>In response to these developments we conducted an in-depth review of the Ignition Switch Recall and our overall recall processes. We hired a former U.S. Attorney to conduct an internal investigation of the Ignition Switch Recall and to provide recommendations to improve our recall processes. Pursuant to the investigation a report was provided to us in the three months ended June 30, 2014. The investigation report made a series of recommendations in eight major areas. We intend to act on each of the recommendations. After reviewing the investigation report, we made a number of personnel decisions. Fifteen individuals identified in the investigation report are no longer with the Company. Five additional individuals were disciplined. Prior to the receipt of the investigation report we began the process of adding nearly 60 new safety investigators allowing us to bolster capacity and capability in identifying potential emerging issues and conducting product investigations, launched a Speak Up for Safety program encouraging employees to report potential safety issues quickly and restructured the safety decision-making process to raise safety issues to the highest levels of the Company. These measures are in addition to our creation and appointment of a new Global Vice President of Vehicle Safety responsible for the safety development of our vehicle systems, confirmation and validation of safety performance, as well as post-sale safety activities, including recalls and the creation of a new Global Product Integrity organization within Global Product Development with the goal of executing the highest levels of safety performance across all of our vehicles.</w:t>
      </w:r>
    </w:p>
    <w:p>
      <w:pPr>
        <w:spacing w:after="0" w:line="19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are also actively engaging customers and servicing vehicles affected by the Ignition Switch Recall. We notified affected customers to schedule an appointment with their dealers as replacement parts are available. We began repairing vehicles in early April using parts that have undergone end-of-line quality inspection for performance of six critical operating parameters. We have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produced sufficient parts to have the ability to repair all vehicles impacted by the ignition switch and ignition cylinder recalls. Through October 20, 2014 we have repaired approximately 48% of the 2.6 million vehicles subject to recall.</w:t>
      </w:r>
    </w:p>
    <w:p>
      <w:pPr>
        <w:spacing w:after="0" w:line="16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As a result of the Ignition Switch Recall senior leadership initiated a comprehensive review and engineering analysis to identify any additional issues which could potentially result in safety or satisfaction concerns for our customers. As part of our normal process and as a result of these reviews we announced the following additional recall campaigns in the six months ended June 30, 2014:</w:t>
      </w:r>
    </w:p>
    <w:p>
      <w:pPr>
        <w:spacing w:after="0" w:line="176" w:lineRule="exact"/>
        <w:rPr>
          <w:sz w:val="20"/>
          <w:szCs w:val="20"/>
          <w:color w:val="auto"/>
        </w:rPr>
      </w:pPr>
    </w:p>
    <w:p>
      <w:pPr>
        <w:jc w:val="both"/>
        <w:ind w:left="660" w:hanging="328"/>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2014 approximately 1.9 million vehicles were recalled to replace either the power steering motor, the steering column, the power steering motor control unit or a combination of the steering column and the power steering motor control unit as the electric power steering could fail under certain circumstances — model years 2004–2006, 2008–2009 Chevrolet Malibu, model years 2004–2006 Malibu Maxx, model years 2006–2010 HHR, model years 2005–2010 Cobalt, model years 2008–2009 Saturn Aura, model years 2003–2007 ION, model years 2007–2010 Pontiac G5, model years 2005–2006, 2008–2009 G6 and model years 2005–2006 Pursuit and G4. We recorded approximately $340 million in Automotive cost of sales to repair these vehicles.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2014 approximately 1.3 million vehicles were recalled that are prone to non-deployment of the side impact restraints if vehicles are not serviced when the Service Air Bag warning light is illuminated — model years 2008–2013 Buick Enclave and GMC Acadia, model years 2009–2013 Chevrolet Traverse and model years 2008–2010 Saturn Outlook. We recorded approximately $185 million in Automotive cost of sales to repair these vehicles.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June 30, 2014 approximately 2.7 million vehicles were recalled to modify the brake lamp wiring harness that could have corrosion develop due to micro-vibration — model years 2004–2012 Chevrolet Malibu, model years 2004–2007 Malibu Maxx, model years 2005– 2010 Pontiac G6 and model years 2007–2010 Saturn Aura. We recorded approximately $90 million in Automotive cost of sales to repair these vehicles.</w:t>
      </w:r>
    </w:p>
    <w:p>
      <w:pPr>
        <w:spacing w:after="0" w:line="180"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June 30, 2014 approximately 1.5 million vehicles were recalled to replace front safety lap belt cables that could fatigue and separate over time — model years 2009–2014 Buick Enclave, Chevrolet Traverse, GMC Acadia and model years 2009–2010 Saturn Outlook. We recorded approximately $80 million in Automotive cost of sales to repair these vehicles.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June 30, 2014 approximately 1.4 million vehicles were recalled to replace the shift cable that could wear out over time resulting in mismatches of the gear position indicated by the shift lever — model years 2004–2008 Chevrolet Malibu, model years 2004–2007 Malibu Maxx, model years 2007-2008 Saturn Aura, model years 2013–2014 Cadillac ATS, model year 2014 CTS and model years 2005–2008 Pontiac G6. We recorded approximately $150 million in Automotive cost of sales to repair these vehicles.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June 30, 2014 approximately 12.1 million vehicles were recalled to rework or replace ignition keys because the ignition switch may move out of the “run” position which may impact power steering and power braking. The timing of the key movement relative to the activation of the sensing algorithm of a crash event may result in airbags not deploying — model years 2005–2009 Buick Allure and Lacrosse, model year 2004 Regal LS/GS, model years 2006–2011 Lucerne, model years 1997–2005 Chevrolet Malibu, model years 2000-2007 Monte Carlo, model years 2010–2014 Camaro, model years 2000–2014 Impala, model years 1998–2002 Oldsmobile Intrigue, model years 1999–2004 Alero, model years 1999–2005 Pontiac Grand Am, model years 2004–2008 Grand Prix, model years 2004–2006 Cadillac SRX, model years 2003–2014 CTS, model years 2000–2005 Deville and model years 2006–2011 DTS. We recorded approximately $325 million in Automotive cost of sales to repair these vehicles.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three months ended March 31, 2014 and June 30, 2014 five and 17 recalls were announced covering approximately 1.2 million and 4.0 million vehicles related to safety, customer satisfaction and other matters. We recorded approximately $70 million and $450 million in Automotive cost of sales to repair these vehicles in the three months ended March 31, 2014 and June 30, 2014. None of these announced recalls were individually significant.</w:t>
      </w:r>
    </w:p>
    <w:p>
      <w:pPr>
        <w:spacing w:after="0" w:line="180"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In total we recorded approximately $1.3 billion and $1.1 billion for the above-described actions in the three months ended March 31, 2014 and June 30, 2014.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2014 we announced the following recalls related to safety, customer satisfaction and other matters, the costs of which are comprehended in the June 30, 2014 catch-up adjustment of $874 million associated with a change in estimate for previously sold vehicles:</w:t>
      </w:r>
    </w:p>
    <w:p>
      <w:pPr>
        <w:spacing w:after="0" w:line="162"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1.1 million vehicles were recalled to repair a loose battery cable that could impact vehicle warning systems and loss of power steering assist — model years 2011–2014 Chevrolet Cruze.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0.7 million vehicles were recalled to repair ignition mechanisms where the ignition key could be pulled out while the vehicle is in the run position — model years 2004–2007 Saturn Vue, model years 2005–2006 Chevrolet Equinox, model year 2006 Pontiac Torrent.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0.6 million vehicles were recalled to replace the wave plate in all vehicles with 6T70 and 6T75 transmissions which could crack under certain circumstances — model years 2007–2009 GMC Acadia, Pontiac G6, Saturn Aura and Outlook, model years 2008–2009 Buick Enclave, Chevrolet Equinox and Malibu, Pontiac Torrent, Saturn Vue, model year 2009 Chevrolet Traverse.</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1.1 million vehicles were announced under seven additional recalls, none of which were individually significant.</w:t>
      </w:r>
    </w:p>
    <w:p>
      <w:pPr>
        <w:spacing w:after="0" w:line="225"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customer satisfaction campaigns, safety recalls, non-compliance recalls and special coverage in GMNA, including courtesy transportation (dollars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851</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prior periods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9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862</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prior periods</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9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30</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9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prior periods</w:t>
            </w: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9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r>
      <w:tr>
        <w:trPr>
          <w:trHeight w:val="20"/>
        </w:trPr>
        <w:tc>
          <w:tcPr>
            <w:tcW w:w="9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Adjustments to prior periods in the three months ended June 30, 2014 included: (1) a catch-up adjustment associated with a change in estimate for previously sold vehicles of $874 million; partially offset by (2) adjustments of approximately $95 million for courtesy transportation as a result of greater part availability and fewer customers utilizing courtesy transportation than originally estimated; and (3) approximately $80 million for costs originally estimated separately for ignition switches and ignition lock cylinders that are now being shipped and repaired at the same time resulting in reduced costs. Based on the per vehicle part and labor cost, number of vehicles impacted and the expected number of vehicles to be repaired we believe the amounts recorded are adequate to cover the costs of these recall campaigns.</w:t>
      </w:r>
    </w:p>
    <w:p>
      <w:pPr>
        <w:spacing w:after="0" w:line="18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Adjustments to prior periods in the three months ended September 30, 2014 included an additional catch-up adjustment to our change in estimate for previously sold vehicles, which was partially offset by a change in estimate on a previously announced specific recall action due to reduced costs for both parts and labor. On a net basis, recall related adjustments for our previously sold vehicles increased approximately $52 million in the three months ended September 30, 2014.</w:t>
      </w:r>
    </w:p>
    <w:p>
      <w:pPr>
        <w:spacing w:after="0" w:line="180"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Ignition Switch Recall has led to various governmental investigations and inquiries including a subpoena from the U.S. Attorney for the Southern District of New York, and investigations by Congress, the SEC and various state attorneys general.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the Ignition Switch Recall and the other recalls described above have resulted in a number of claims and lawsuits. Refer to Part II Item 1. Legal Proceedings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Europe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4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8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Favorable /</w:t>
            </w: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September 30, 2014</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2013</w:t>
            </w: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5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Mix</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5"/>
                <w:szCs w:val="15"/>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(Dollars in millions)</w:t>
            </w: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5,226</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65"/>
        </w:trPr>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EBIT (loss)-adjusted</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75"/>
        </w:trPr>
        <w:tc>
          <w:tcPr>
            <w:tcW w:w="3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(Vehicles in thousands)</w:t>
            </w: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Wholesale vehicle sales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3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287</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20" w:type="dxa"/>
            <w:vAlign w:val="bottom"/>
            <w:gridSpan w:val="4"/>
            <w:vMerge w:val="restart"/>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vMerge w:val="restart"/>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vMerge w:val="continue"/>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Favorable /</w:t>
            </w: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September 30, 2014</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2013</w:t>
            </w: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580" w:type="dxa"/>
            <w:vAlign w:val="bottom"/>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Mix</w:t>
            </w:r>
          </w:p>
        </w:tc>
        <w:tc>
          <w:tcPr>
            <w:tcW w:w="260" w:type="dxa"/>
            <w:vAlign w:val="bottom"/>
          </w:tcPr>
          <w:p>
            <w:pPr>
              <w:spacing w:after="0"/>
              <w:rPr>
                <w:sz w:val="15"/>
                <w:szCs w:val="15"/>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40" w:type="dxa"/>
            <w:vAlign w:val="bottom"/>
          </w:tcPr>
          <w:p>
            <w:pPr>
              <w:spacing w:after="0"/>
              <w:rPr>
                <w:sz w:val="15"/>
                <w:szCs w:val="15"/>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34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(Dollars in millions)</w:t>
            </w:r>
          </w:p>
        </w:tc>
        <w:tc>
          <w:tcPr>
            <w:tcW w:w="1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gridSpan w:val="3"/>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16,820</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16,254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566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65"/>
        </w:trPr>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EBIT (loss)-adjusted</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(504)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75"/>
        </w:trPr>
        <w:tc>
          <w:tcPr>
            <w:tcW w:w="34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(Vehicles in thousands)</w:t>
            </w: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Wholesale vehicle sales</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380" w:type="dxa"/>
            <w:vAlign w:val="bottom"/>
          </w:tcPr>
          <w:p>
            <w:pPr>
              <w:spacing w:after="0"/>
              <w:rPr>
                <w:sz w:val="23"/>
                <w:szCs w:val="23"/>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866</w:t>
            </w:r>
          </w:p>
        </w:tc>
        <w:tc>
          <w:tcPr>
            <w:tcW w:w="1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GME Total Net Sales and Revenue</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2014 Total net sales and revenue decreased due primarily to: (1) decreased wholesale volumes associated with lower demand of the Astra and Corsa in Turkey and decreases across the Russian portfolio, partially offset by higher demand primarily for the Mokka across the region, the Insignia in the United Kingdom and the Astra and Corsa in Spain; and (2) unfavorable Other of $0.1 billion due primarily to net foreign currency effect due to weakening of the Russian Ruble against the U.S. Dollar, partially offset by the strengthening of the British Pound against the U.S. Dollar; partially offset by (3) favorable vehicle mix due to increased sales of higher priced vehicles.</w:t>
      </w:r>
    </w:p>
    <w:p>
      <w:pPr>
        <w:spacing w:after="0" w:line="184"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2014 Total net sales and revenue increased due primarily to: (1) favorable vehicle mix due to increased sales of higher priced vehicles; (2) increased wholesale volumes associated with generally higher demand primarily for the Mokka across the region, the Corsa in Spain and Germany, the Insignia in Germany and the United Kingdom, partially offset by lower demand of the Astra and Corsa in Turkey and decreases across the Russian portfolio; and (3) favorable Other of $0.1 billion due primarily to net foreign currency effect due to the strengthening of the Euro and British Pound against the U.S. Dollar, partially offset by the weakening of the Russian Ruble against the U.S. Dollar; partially offset by (4) unfavorable vehicle pricing primarily resulting from increased incentive support associated with difficult market conditions.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GME EBIT (Loss)-Adjusted</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three months ended September 30, 2014 EBIT (loss)-adjusted increased due primarily to: (1) unfavorable Other of $0.2 billion due primarily to restructuring related charges; partially offset by (2) favorable vehicle mix due to increased sales of higher priced vehicles.</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2014 EBIT (loss)-adjusted increased due primarily to: (1) unfavorable price effects; and (2) unfavorable Other of $0.5 billion due primarily to restructuring related charges; partially offset by (3) favorable vehicle mix due to increased sales of higher priced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Focus on Chinese Market</w:t>
      </w:r>
    </w:p>
    <w:p>
      <w:pPr>
        <w:spacing w:after="0" w:line="22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nameplates under the Buick, Chevrolet and Cadillac brands in China and continue to grow our business under the Baojun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certain key operational and financial data for the China JVs (dollars in millions, vehicles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7"/>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9"/>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00" w:type="dxa"/>
            <w:vAlign w:val="bottom"/>
          </w:tcPr>
          <w:p>
            <w:pPr>
              <w:spacing w:after="0"/>
              <w:rPr>
                <w:sz w:val="22"/>
                <w:szCs w:val="22"/>
                <w:color w:val="auto"/>
              </w:rPr>
            </w:pPr>
          </w:p>
        </w:tc>
        <w:tc>
          <w:tcPr>
            <w:tcW w:w="14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60" w:type="dxa"/>
            <w:vAlign w:val="bottom"/>
          </w:tcPr>
          <w:p>
            <w:pPr>
              <w:spacing w:after="0"/>
              <w:rPr>
                <w:sz w:val="22"/>
                <w:szCs w:val="22"/>
                <w:color w:val="auto"/>
              </w:rPr>
            </w:pPr>
          </w:p>
        </w:tc>
        <w:tc>
          <w:tcPr>
            <w:tcW w:w="13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249"/>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wholesale vehicles(a)</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868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8"/>
              </w:rPr>
              <w:t>2,374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share in China</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10,512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31,542</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1,008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3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w w:val="98"/>
              </w:rPr>
              <w:t>2,897</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  Including vehicles exported to markets outside of China.</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0" w:type="dxa"/>
            <w:vAlign w:val="bottom"/>
            <w:tcBorders>
              <w:bottom w:val="single" w:sz="8" w:color="CCEEFF"/>
            </w:tcBorders>
          </w:tcPr>
          <w:p>
            <w:pPr>
              <w:spacing w:after="0"/>
              <w:rPr>
                <w:sz w:val="24"/>
                <w:szCs w:val="24"/>
                <w:color w:val="auto"/>
              </w:rPr>
            </w:pPr>
          </w:p>
        </w:tc>
        <w:tc>
          <w:tcPr>
            <w:tcW w:w="3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5,059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25"/>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GMIO Total Net Sales and Revenue and EBIT-Adjusted</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6"/>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6"/>
            <w:vMerge w:val="restart"/>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2"/>
              </w:rPr>
              <w:t>Variance Due To</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6"/>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6"/>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2"/>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240" w:type="dxa"/>
            <w:vAlign w:val="bottom"/>
          </w:tcPr>
          <w:p>
            <w:pPr>
              <w:spacing w:after="0"/>
              <w:rPr>
                <w:sz w:val="12"/>
                <w:szCs w:val="12"/>
                <w:color w:val="auto"/>
              </w:rPr>
            </w:pPr>
          </w:p>
        </w:tc>
        <w:tc>
          <w:tcPr>
            <w:tcW w:w="1060" w:type="dxa"/>
            <w:vAlign w:val="bottom"/>
            <w:gridSpan w:val="2"/>
          </w:tcPr>
          <w:p>
            <w:pPr>
              <w:jc w:val="center"/>
              <w:ind w:right="188"/>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2"/>
                <w:szCs w:val="12"/>
                <w:color w:val="auto"/>
              </w:rPr>
            </w:pPr>
          </w:p>
        </w:tc>
        <w:tc>
          <w:tcPr>
            <w:tcW w:w="9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Favorable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2"/>
              </w:rPr>
              <w:t>2014</w:t>
            </w:r>
          </w:p>
        </w:tc>
        <w:tc>
          <w:tcPr>
            <w:tcW w:w="240" w:type="dxa"/>
            <w:vAlign w:val="bottom"/>
          </w:tcPr>
          <w:p>
            <w:pPr>
              <w:spacing w:after="0"/>
              <w:rPr>
                <w:sz w:val="15"/>
                <w:szCs w:val="15"/>
                <w:color w:val="auto"/>
              </w:rPr>
            </w:pPr>
          </w:p>
        </w:tc>
        <w:tc>
          <w:tcPr>
            <w:tcW w:w="680" w:type="dxa"/>
            <w:vAlign w:val="bottom"/>
          </w:tcPr>
          <w:p>
            <w:pPr>
              <w:jc w:val="center"/>
              <w:ind w:left="49"/>
              <w:spacing w:after="0"/>
              <w:rPr>
                <w:sz w:val="20"/>
                <w:szCs w:val="20"/>
                <w:color w:val="auto"/>
              </w:rPr>
            </w:pPr>
            <w:r>
              <w:rPr>
                <w:rFonts w:ascii="Times New Roman" w:cs="Times New Roman" w:eastAsia="Times New Roman" w:hAnsi="Times New Roman"/>
                <w:sz w:val="13"/>
                <w:szCs w:val="13"/>
                <w:b w:val="1"/>
                <w:bCs w:val="1"/>
                <w:color w:val="auto"/>
                <w:w w:val="92"/>
              </w:rPr>
              <w:t>2013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220" w:type="dxa"/>
            <w:vAlign w:val="bottom"/>
          </w:tcPr>
          <w:p>
            <w:pPr>
              <w:spacing w:after="0"/>
              <w:rPr>
                <w:sz w:val="15"/>
                <w:szCs w:val="15"/>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Mix</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5"/>
                <w:szCs w:val="15"/>
                <w:color w:val="auto"/>
              </w:rPr>
            </w:pPr>
          </w:p>
        </w:tc>
        <w:tc>
          <w:tcPr>
            <w:tcW w:w="62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(Dollars in millions)</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6"/>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3,716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4,818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2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2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68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color w:val="auto"/>
              </w:rPr>
              <w:t>0.1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(Vehicles in thousands)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vehicle sales</w:t>
            </w:r>
          </w:p>
        </w:tc>
        <w:tc>
          <w:tcPr>
            <w:tcW w:w="14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159</w:t>
            </w:r>
          </w:p>
        </w:tc>
        <w:tc>
          <w:tcPr>
            <w:tcW w:w="240" w:type="dxa"/>
            <w:vAlign w:val="bottom"/>
          </w:tcPr>
          <w:p>
            <w:pPr>
              <w:spacing w:after="0"/>
              <w:rPr>
                <w:sz w:val="23"/>
                <w:szCs w:val="23"/>
                <w:color w:val="auto"/>
              </w:rPr>
            </w:pP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60" w:type="dxa"/>
            <w:vAlign w:val="bottom"/>
            <w:gridSpan w:val="6"/>
            <w:vMerge w:val="restart"/>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6"/>
            <w:vMerge w:val="restart"/>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6"/>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6"/>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40" w:type="dxa"/>
            <w:vAlign w:val="bottom"/>
          </w:tcPr>
          <w:p>
            <w:pPr>
              <w:spacing w:after="0"/>
              <w:rPr>
                <w:sz w:val="12"/>
                <w:szCs w:val="12"/>
                <w:color w:val="auto"/>
              </w:rPr>
            </w:pPr>
          </w:p>
        </w:tc>
        <w:tc>
          <w:tcPr>
            <w:tcW w:w="1060" w:type="dxa"/>
            <w:vAlign w:val="bottom"/>
            <w:gridSpan w:val="2"/>
          </w:tcPr>
          <w:p>
            <w:pPr>
              <w:jc w:val="center"/>
              <w:ind w:right="148"/>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2"/>
                <w:szCs w:val="12"/>
                <w:color w:val="auto"/>
              </w:rPr>
            </w:pPr>
          </w:p>
        </w:tc>
        <w:tc>
          <w:tcPr>
            <w:tcW w:w="98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Favorable /</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2"/>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240" w:type="dxa"/>
            <w:vAlign w:val="bottom"/>
          </w:tcPr>
          <w:p>
            <w:pPr>
              <w:spacing w:after="0"/>
              <w:rPr>
                <w:sz w:val="15"/>
                <w:szCs w:val="15"/>
                <w:color w:val="auto"/>
              </w:rPr>
            </w:pPr>
          </w:p>
        </w:tc>
        <w:tc>
          <w:tcPr>
            <w:tcW w:w="680" w:type="dxa"/>
            <w:vAlign w:val="bottom"/>
          </w:tcPr>
          <w:p>
            <w:pPr>
              <w:jc w:val="center"/>
              <w:ind w:left="69"/>
              <w:spacing w:after="0"/>
              <w:rPr>
                <w:sz w:val="20"/>
                <w:szCs w:val="20"/>
                <w:color w:val="auto"/>
              </w:rPr>
            </w:pPr>
            <w:r>
              <w:rPr>
                <w:rFonts w:ascii="Times New Roman" w:cs="Times New Roman" w:eastAsia="Times New Roman" w:hAnsi="Times New Roman"/>
                <w:sz w:val="13"/>
                <w:szCs w:val="13"/>
                <w:b w:val="1"/>
                <w:bCs w:val="1"/>
                <w:color w:val="auto"/>
                <w:w w:val="99"/>
              </w:rPr>
              <w:t>2013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Volume</w:t>
            </w:r>
          </w:p>
        </w:tc>
        <w:tc>
          <w:tcPr>
            <w:tcW w:w="22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Mix</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5"/>
                <w:szCs w:val="15"/>
                <w:color w:val="auto"/>
              </w:rPr>
            </w:pPr>
          </w:p>
        </w:tc>
        <w:tc>
          <w:tcPr>
            <w:tcW w:w="620" w:type="dxa"/>
            <w:vAlign w:val="bottom"/>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(Dollars in millions)</w:t>
            </w: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6"/>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(3,434)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Borders>
              <w:right w:val="single" w:sz="8" w:color="auto"/>
            </w:tcBorders>
            <w:gridSpan w:val="2"/>
            <w:shd w:val="clear" w:color="auto" w:fill="CCEEFF"/>
          </w:tcPr>
          <w:p>
            <w:pPr>
              <w:spacing w:after="0"/>
              <w:rPr>
                <w:sz w:val="24"/>
                <w:szCs w:val="24"/>
                <w:color w:val="auto"/>
              </w:rPr>
            </w:pPr>
          </w:p>
        </w:tc>
        <w:tc>
          <w:tcPr>
            <w:tcW w:w="2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826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1,027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60" w:type="dxa"/>
            <w:vAlign w:val="bottom"/>
            <w:tcBorders>
              <w:right w:val="single" w:sz="8" w:color="auto"/>
            </w:tcBorders>
            <w:gridSpan w:val="2"/>
          </w:tcPr>
          <w:p>
            <w:pPr>
              <w:spacing w:after="0"/>
              <w:rPr>
                <w:sz w:val="23"/>
                <w:szCs w:val="23"/>
                <w:color w:val="auto"/>
              </w:rPr>
            </w:pPr>
          </w:p>
        </w:tc>
        <w:tc>
          <w:tcPr>
            <w:tcW w:w="2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3"/>
                <w:szCs w:val="23"/>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(Vehicles in thousands)</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Wholesale vehicle sales</w:t>
            </w: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40" w:type="dxa"/>
            <w:vAlign w:val="bottom"/>
          </w:tcPr>
          <w:p>
            <w:pPr>
              <w:spacing w:after="0"/>
              <w:rPr>
                <w:sz w:val="23"/>
                <w:szCs w:val="23"/>
                <w:color w:val="auto"/>
              </w:rPr>
            </w:pPr>
          </w:p>
        </w:tc>
        <w:tc>
          <w:tcPr>
            <w:tcW w:w="10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GMIO Total Net Sales and Revenue</w:t>
      </w:r>
    </w:p>
    <w:p>
      <w:pPr>
        <w:spacing w:after="0" w:line="229" w:lineRule="exact"/>
        <w:rPr>
          <w:sz w:val="20"/>
          <w:szCs w:val="20"/>
          <w:color w:val="auto"/>
        </w:rPr>
      </w:pPr>
    </w:p>
    <w:p>
      <w:pPr>
        <w:jc w:val="both"/>
        <w:ind w:right="20" w:firstLine="162"/>
        <w:spacing w:after="0" w:line="282" w:lineRule="auto"/>
        <w:rPr>
          <w:sz w:val="20"/>
          <w:szCs w:val="20"/>
          <w:color w:val="auto"/>
        </w:rPr>
      </w:pPr>
      <w:r>
        <w:rPr>
          <w:rFonts w:ascii="Times New Roman" w:cs="Times New Roman" w:eastAsia="Times New Roman" w:hAnsi="Times New Roman"/>
          <w:sz w:val="18"/>
          <w:szCs w:val="18"/>
          <w:color w:val="auto"/>
        </w:rPr>
        <w:t>The vehicle sales of our China JVs are not reflected in Total net sales and revenue. The results of our joint ventures are recorded in Equity income. Our share in China JVs earnings was $0.5 billion and $1.6 billion in the three and nine months ended September 30, 2014.</w:t>
      </w:r>
    </w:p>
    <w:p>
      <w:pPr>
        <w:spacing w:after="0" w:line="162"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2014 Total net sales and revenue decreased due primarily to: (1) decreased wholesale volume primarily related to discontinuing sales of Chevrolet brand vehicles in Europe, and lower sales of Impala, Acadia, Tahoe and Yukon in the Middle East, Commodore, Cruze, Colorado, Malibu and Barina in Australia, and Colorado, Sonic, Trailblazer, Cruze, Captiva, and Spin in Thailand; partially offset by (2) favorable mix primarily in Korea due to improved sales portfolio from Malibu, Alpheon and Trax; and (3) favorable price due primarily to sales of new full-size Tahoe, Suburban, Yukon, Yukon XL, Escalade, Sierra and Silverado trucks in the Middle East.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2014 Total net sales and revenue decreased due primarily to: (1) decreased wholesale volume primarily related to discontinuing sales of Chevrolet brand vehicles in Europe, and lower sales of Tahoe, Yukon, Yukon XL, Sierra and Silverado ahead of the new full-size truck introduction in the Middle East, Colorado, Sonic, Trailblazer, Cruze and Captiva in Thailand, Beat, Spark, Sail and Cruze in India, and Cruze and Barina in Australia; and (2) unfavorable Other of $0.3 billion due primarily to unfavorable net foreign currency effect of $0.2 billion driven by the weakening of the Australian Dollar, South Africa Rand and the Thai Baht against the U.S. Dollar, and decrease in components, parts and accessories revenue of $0.1 billion; partially offset by (3) favorable mix primarily in Korea from improved sales portfolio on Malibu, Orlando, Captiva and Alpheon and in Middle East from higher sales of new full-size trucks; and (4) favorable price due to new full-size trucks in Middle East, Commodore and Cruze in Australia, and the majority of our products in South Africa.</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GMIO EBIT-Adjusted</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the three months ended September 30, 2014 EBIT-adjusted decreased due primarily to: (1) decreased net wholesale volume primarily related to discontinuing sales of Chevrolet brand vehicles in Europe, and lower sales of Impala, Acadia, Tahoe and Yukon in the Middle East, Commodore, Cruze, Colorado, Malibu and Barina in Australia, and Colorado, Sonic, Trailblazer, Cruze, Captiva and Spin in Thailand; partially offset by (2) favorable mix primarily in Korea due to improved sales portfolio from Malibu, Alpheon and Trax; (3) favorable price primarily due to sales of new full-size trucks in Middle East; and (4) favorable Other of $0.1 billion due primarily to favorable manufacturing costs and depreciation of $0.1 billion, and favorable equity income from China JVs of $0.1 billion, partially offset by charges for tooling impairment of $0.1 billion due primarily to our Korean sourced Aveo and Indonesia Spin.</w:t>
      </w:r>
    </w:p>
    <w:p>
      <w:pPr>
        <w:spacing w:after="0" w:line="18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In the nine months ended September 30, 2014 EBIT-adjusted decreased due primarily to: (1) decreased net wholesale volume primarily related to discontinuing sales of Chevrolet brand vehicles in Europe, and lower sales of Tahoe, Yukon, Yukon XL, Sierra and Silverado ahead of the new full-size truck introduction in the Middle East, and Colorado, Sonic, Trailblazer, Cruze and Captiva in Thailand; and (2) unfavorable net vehicle mix primarily from higher cost Commodore and Colorado in Australia; partially offset by (3) favorable price due to new full-size trucks in Middle East, Commodore and Cruze in Australia, and the majority of our products in South Africa; and (4) favorable Other of $0.5 billion due primarily to favorable manufacturing costs and depreciation of $0.3 billion, favorable engineering cost of $0.2 billion, decrease of administrative expense and advertising expense of $0.2 billion and favorable equity income from China JVs of $0.2 billion, partially offset by unfavorable recall programs of $0.1 billion, increased restructuring related charges of $0.1 billion, charges for tooling impairment of $0.1 billion due primarily to our Thailand Sonic, Korea Aveo and Indonesia Spin and unfavorable foreign currency effect of $0.1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South America</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Venezuelan Operations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Effective February 13, 2013 the Venezuelan government set the official fixed exchange rate of the BsF at BsF 6.3 to $1.00 from BsF 4.3 to $1.00. The devaluation resulted in a charge of $0.2 billion recorded in Automotive cost of sales in the three months ended March 31, 2013 from the remeasurement of our Venezuelan subsidiaries' non-U.S. Dollar denominated monetary assets and liabilities. The remeasurement charge was treated as an adjustment for EBIT-adjusted reporting purposes.</w:t>
      </w:r>
    </w:p>
    <w:p>
      <w:pPr>
        <w:spacing w:after="0" w:line="180"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Effective March 31, 2014 we changed the exchange rate we use for remeasuring our Venezuelan subsidiaries’ non-U.S. Dollar denominated monetary assets and liabilities from the Venezuela official exchange rate to the rate determined by an auction process conducted by Venezuela’s SICAD I. We changed the exchange rate we use because we believe the SICAD I rate is the most representative rate to be used for remeasurement. In August 2014 the Venezuelan government announced the SICAD I rate as the official rate for the automotive industry going forward and clarified BsF 6.3 to $1.00 as the official rate for pre-existing debt settlements. Gains on pre-existing debt settlements at more favorable rates than the SICAD I exchange rate will not be recognized until collection is assured. Dollar denominated assets and liabilities of our Venezuelan subsidiaries may be impacted by periodic auctions in SICAD I rates which may have a material impact on the results of operations in Venezuela in future quarters. At March 31, 2014 the SICAD I exchange rate was BsF 10.7 to $1.00. The devaluation resulted in a charge of $0.4 billion recorded in Automotive cost of sales in the three months ended March 31, 2014. The remeasurement charge in the three months ended March 31, 2014 was treated as an adjustment for EBIT-adjusted reporting purposes. At September 30, 2014 the SICAD I exchange rate was BsF 12.0 to $1.00 and we recorded an insignificant net devaluation loss in Automotive costs of sales in the three months ended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September 30, 2014. Based on our September 30, 2014 non-U.S. Dollar denominated net monetary assets a charge of less than $0.1 billion would result for every 10% devaluation of the BsF from the SICAD I exchange rate of BsF 12.0 to $1.00 in the period of devaluation.</w:t>
      </w:r>
    </w:p>
    <w:p>
      <w:pPr>
        <w:spacing w:after="0" w:line="162"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The Venezuelan government has foreign exchange control regulations that make it difficult to convert BsF to U.S. Dollar which affect our Venezuelan subsidiaries’ ability to pay non-BsF denominated obligations and to pay dividends. The total amounts pending government approval for settlement in U.S. Dollar at September 30, 2014 and December 31, 2013 were BsF 3.9 billion (equivalent to $0.6 billion) and BsF 3.7 billion (equivalent to $0.6 billion). These amounts include dividend requests in the amount of BsF 0.6 billion (equivalent to $0.1 billion) that have been pending from 2007. Our Venezuelan subsidiaries' net assets were $0.4 billion at September 30, 2014, including non-U.S. Dollar denominated net monetary assets of $0.4 billion. At September 30, 2014 other consolidated entities had receivables from our Venezuelan subsidiaries denominated in other currencies of $0.5 billion.</w:t>
      </w:r>
    </w:p>
    <w:p>
      <w:pPr>
        <w:spacing w:after="0" w:line="188"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January 2014 the Venezuela government enacted a law limiting sale prices and establishing a maximum margin of 30% above a defined cost structure. At this time it is unclear based on the current regulations how this new law may affect our current vehicle and parts and accessories sale pricing structure. These regulations, when considered with the foreign exchange process, other governmental policies impacting labor force reductions and other circumstances in Venezuela, may impact our ability to fully benefit from and maintain our controlling financial interest in our Venezuelan subsidiaries. The financial impact on our operations in Venezuela of these events and associated ongoing restrictions are uncertain.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GMSA Total Net Sales and Revenue and GMSA EBIT (Loss)-Adjusted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8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Favorable /</w:t>
            </w: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2014</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September 30, 2013</w:t>
            </w:r>
          </w:p>
        </w:tc>
        <w:tc>
          <w:tcPr>
            <w:tcW w:w="1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60" w:type="dxa"/>
            <w:vAlign w:val="bottom"/>
          </w:tcPr>
          <w:p>
            <w:pPr>
              <w:spacing w:after="0"/>
              <w:rPr>
                <w:sz w:val="15"/>
                <w:szCs w:val="15"/>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33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(Dollars in millions)</w:t>
            </w: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2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3,202</w:t>
            </w:r>
          </w:p>
        </w:tc>
        <w:tc>
          <w:tcPr>
            <w:tcW w:w="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4,381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(0.9)</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65"/>
        </w:trPr>
        <w:tc>
          <w:tcPr>
            <w:tcW w:w="3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EBIT (loss)-adjusted</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tcPr>
          <w:p>
            <w:pPr>
              <w:spacing w:after="0"/>
              <w:rPr>
                <w:sz w:val="23"/>
                <w:szCs w:val="23"/>
                <w:color w:val="auto"/>
              </w:rPr>
            </w:pPr>
          </w:p>
        </w:tc>
        <w:tc>
          <w:tcPr>
            <w:tcW w:w="9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(Vehicles in thousands)</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Wholesale vehicle sales</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282</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23"/>
                <w:szCs w:val="23"/>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________</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80" w:type="dxa"/>
            <w:vAlign w:val="bottom"/>
            <w:gridSpan w:val="4"/>
            <w:vMerge w:val="restart"/>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3"/>
            <w:vMerge w:val="restart"/>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5"/>
              </w:rPr>
              <w:t>Variance Due To</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3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vMerge w:val="continue"/>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Favorable /</w:t>
            </w:r>
          </w:p>
        </w:tc>
        <w:tc>
          <w:tcPr>
            <w:tcW w:w="8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2014</w:t>
            </w:r>
          </w:p>
        </w:tc>
        <w:tc>
          <w:tcPr>
            <w:tcW w:w="1340" w:type="dxa"/>
            <w:vAlign w:val="bottom"/>
            <w:gridSpan w:val="2"/>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September 30, 2013</w:t>
            </w:r>
          </w:p>
        </w:tc>
        <w:tc>
          <w:tcPr>
            <w:tcW w:w="1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w w:val="96"/>
              </w:rPr>
              <w:t>Volume</w:t>
            </w:r>
          </w:p>
        </w:tc>
        <w:tc>
          <w:tcPr>
            <w:tcW w:w="260" w:type="dxa"/>
            <w:vAlign w:val="bottom"/>
          </w:tcPr>
          <w:p>
            <w:pPr>
              <w:spacing w:after="0"/>
              <w:rPr>
                <w:sz w:val="15"/>
                <w:szCs w:val="15"/>
                <w:color w:val="auto"/>
              </w:rPr>
            </w:pPr>
          </w:p>
        </w:tc>
        <w:tc>
          <w:tcPr>
            <w:tcW w:w="600" w:type="dxa"/>
            <w:vAlign w:val="bottom"/>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Mix</w:t>
            </w:r>
          </w:p>
        </w:tc>
        <w:tc>
          <w:tcPr>
            <w:tcW w:w="240" w:type="dxa"/>
            <w:vAlign w:val="bottom"/>
          </w:tcPr>
          <w:p>
            <w:pPr>
              <w:spacing w:after="0"/>
              <w:rPr>
                <w:sz w:val="15"/>
                <w:szCs w:val="15"/>
                <w:color w:val="auto"/>
              </w:rPr>
            </w:pPr>
          </w:p>
        </w:tc>
        <w:tc>
          <w:tcPr>
            <w:tcW w:w="58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60" w:type="dxa"/>
            <w:vAlign w:val="bottom"/>
          </w:tcPr>
          <w:p>
            <w:pPr>
              <w:spacing w:after="0"/>
              <w:rPr>
                <w:sz w:val="15"/>
                <w:szCs w:val="15"/>
                <w:color w:val="auto"/>
              </w:rPr>
            </w:pPr>
          </w:p>
        </w:tc>
        <w:tc>
          <w:tcPr>
            <w:tcW w:w="58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262"/>
        </w:trPr>
        <w:tc>
          <w:tcPr>
            <w:tcW w:w="33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(Dollars in millions)</w:t>
            </w:r>
          </w:p>
        </w:tc>
        <w:tc>
          <w:tcPr>
            <w:tcW w:w="1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3"/>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7"/>
              </w:rPr>
              <w:t>(Dollars in billions)</w:t>
            </w:r>
          </w:p>
        </w:tc>
        <w:tc>
          <w:tcPr>
            <w:tcW w:w="2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net sales and revenue</w:t>
            </w:r>
          </w:p>
        </w:tc>
        <w:tc>
          <w:tcPr>
            <w:tcW w:w="42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9,404</w:t>
            </w:r>
          </w:p>
        </w:tc>
        <w:tc>
          <w:tcPr>
            <w:tcW w:w="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5"/>
        </w:trPr>
        <w:tc>
          <w:tcPr>
            <w:tcW w:w="3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EBIT (loss)-adjusted</w:t>
            </w:r>
          </w:p>
        </w:tc>
        <w:tc>
          <w:tcPr>
            <w:tcW w:w="4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20" w:type="dxa"/>
            <w:vAlign w:val="bottom"/>
          </w:tcPr>
          <w:p>
            <w:pPr>
              <w:spacing w:after="0"/>
              <w:rPr>
                <w:sz w:val="23"/>
                <w:szCs w:val="23"/>
                <w:color w:val="auto"/>
              </w:rPr>
            </w:pPr>
          </w:p>
        </w:tc>
        <w:tc>
          <w:tcPr>
            <w:tcW w:w="98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75"/>
        </w:trPr>
        <w:tc>
          <w:tcPr>
            <w:tcW w:w="3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(Vehicles in thousands)</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Wholesale vehicle sales</w:t>
            </w:r>
          </w:p>
        </w:tc>
        <w:tc>
          <w:tcPr>
            <w:tcW w:w="4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793</w:t>
            </w: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23"/>
                <w:szCs w:val="23"/>
                <w:color w:val="auto"/>
              </w:rPr>
            </w:pPr>
          </w:p>
        </w:tc>
        <w:tc>
          <w:tcPr>
            <w:tcW w:w="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________</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GMSA Total Net Sales and Revenue</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 xml:space="preserve">In the three months ended September 30, 2014 Total net sales and revenue decreased due primarily to: (1) decreased wholesale volumes </w:t>
      </w:r>
      <w:r>
        <w:rPr>
          <w:rFonts w:ascii="Times New Roman" w:cs="Times New Roman" w:eastAsia="Times New Roman" w:hAnsi="Times New Roman"/>
          <w:sz w:val="18"/>
          <w:szCs w:val="18"/>
          <w:color w:val="333333"/>
        </w:rPr>
        <w:t>in Brazil associated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with lower demand of the Chevrolet Celta, Classic and Agile and decreases across the portfolios in Argentina and Venezuela caused by difficult economic conditions</w:t>
      </w:r>
      <w:r>
        <w:rPr>
          <w:rFonts w:ascii="Times New Roman" w:cs="Times New Roman" w:eastAsia="Times New Roman" w:hAnsi="Times New Roman"/>
          <w:sz w:val="18"/>
          <w:szCs w:val="18"/>
          <w:color w:val="000000"/>
        </w:rPr>
        <w:t>; and (2) unfavorable Other of $0.3 billion due primarily to unfavorable net foreign currency effect due to the strengthening of the U.S. Dollar</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against all currencies across the region.</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 xml:space="preserve">In the nine months ended September 30, 2014 Total net sales and revenue decreased due primarily to: (1) decreased wholesale volumes </w:t>
      </w:r>
      <w:r>
        <w:rPr>
          <w:rFonts w:ascii="Times New Roman" w:cs="Times New Roman" w:eastAsia="Times New Roman" w:hAnsi="Times New Roman"/>
          <w:sz w:val="18"/>
          <w:szCs w:val="18"/>
          <w:color w:val="333333"/>
        </w:rPr>
        <w:t>in Brazil associated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with lower demand of the Chevrolet Celta, Classic and Agile and decreases across the portfolios in Argentina and Venezuela caused by difficult economic conditions</w:t>
      </w:r>
      <w:r>
        <w:rPr>
          <w:rFonts w:ascii="Times New Roman" w:cs="Times New Roman" w:eastAsia="Times New Roman" w:hAnsi="Times New Roman"/>
          <w:sz w:val="18"/>
          <w:szCs w:val="18"/>
          <w:color w:val="000000"/>
        </w:rPr>
        <w:t>; and (2) unfavorable Other of $1.3 billion due to unfavorable net foreign currency effect due to the strengthening of the U.S. Dollar against all</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currencies across the region; partially offset by (3) favorable vehicle pricing primarily due to high inflation in Argentina and Venezuela.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GMSA EBIT (Loss)-Adjusted</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 xml:space="preserve">In the three months ended September 30, 2014 EBIT (loss)-adjusted was $32 million compared to EBIT-adjusted of $0.3 billion in the three months ended September 30, 2013 due primarily to: (1) decreased wholesale volumes </w:t>
      </w:r>
      <w:r>
        <w:rPr>
          <w:rFonts w:ascii="Times New Roman" w:cs="Times New Roman" w:eastAsia="Times New Roman" w:hAnsi="Times New Roman"/>
          <w:sz w:val="18"/>
          <w:szCs w:val="18"/>
          <w:color w:val="333333"/>
        </w:rPr>
        <w:t>in Brazil associated with lower demand of the Chevrolet Celta, Classic and Agile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decreases across the portfolios in Argentina and Venezuela caused by difficult economic conditions</w:t>
      </w:r>
      <w:r>
        <w:rPr>
          <w:rFonts w:ascii="Times New Roman" w:cs="Times New Roman" w:eastAsia="Times New Roman" w:hAnsi="Times New Roman"/>
          <w:sz w:val="18"/>
          <w:szCs w:val="18"/>
          <w:color w:val="000000"/>
        </w:rPr>
        <w:t>; and (2) unfavorable Other of $0.2 billion due primarily to</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unfavorable net foreign currency effect due to the strengthening of the U.S. Dollar against all currencies across the region.</w:t>
      </w:r>
    </w:p>
    <w:p>
      <w:pPr>
        <w:spacing w:after="0" w:line="180"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 xml:space="preserve">In the nine months ended September 30, 2014 EBIT (loss)-adjusted was $0.3 billion compared to EBIT-adjusted of $0.3 billion in the nine months ended September 30, 2013 due primarily to: (1) decreased wholesale volumes </w:t>
      </w:r>
      <w:r>
        <w:rPr>
          <w:rFonts w:ascii="Times New Roman" w:cs="Times New Roman" w:eastAsia="Times New Roman" w:hAnsi="Times New Roman"/>
          <w:sz w:val="18"/>
          <w:szCs w:val="18"/>
          <w:color w:val="333333"/>
        </w:rPr>
        <w:t>in Brazil associated with lower demand of the Chevrolet Celta, Classic and Agile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decreases across the portfolios in Argentina and Venezuela caused by difficult economic conditions</w:t>
      </w:r>
      <w:r>
        <w:rPr>
          <w:rFonts w:ascii="Times New Roman" w:cs="Times New Roman" w:eastAsia="Times New Roman" w:hAnsi="Times New Roman"/>
          <w:sz w:val="18"/>
          <w:szCs w:val="18"/>
          <w:color w:val="000000"/>
        </w:rPr>
        <w:t>; and (2) unfavorable Other of $0.5 billion due to</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unfavorable net foreign currency effect due to the strengthening of the U.S. Dollar against all currencies across the region; partially offset by (3) favorable vehicle pricing primarily due to high inflation in Argentina and Venezuela.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Financial</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4"/>
                <w:szCs w:val="14"/>
                <w:color w:val="auto"/>
              </w:rPr>
            </w:pPr>
          </w:p>
        </w:tc>
        <w:tc>
          <w:tcPr>
            <w:tcW w:w="1560" w:type="dxa"/>
            <w:vAlign w:val="bottom"/>
            <w:gridSpan w:val="2"/>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280"/>
        </w:trPr>
        <w:tc>
          <w:tcPr>
            <w:tcW w:w="3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2014 vs. 2013</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2014 vs. 2013</w:t>
            </w:r>
          </w:p>
        </w:tc>
        <w:tc>
          <w:tcPr>
            <w:tcW w:w="460" w:type="dxa"/>
            <w:vAlign w:val="bottom"/>
            <w:tcBorders>
              <w:bottom w:val="single" w:sz="8" w:color="auto"/>
            </w:tcBorders>
          </w:tcPr>
          <w:p>
            <w:pPr>
              <w:spacing w:after="0"/>
              <w:rPr>
                <w:sz w:val="24"/>
                <w:szCs w:val="24"/>
                <w:color w:val="auto"/>
              </w:rPr>
            </w:pPr>
          </w:p>
        </w:tc>
      </w:tr>
      <w:tr>
        <w:trPr>
          <w:trHeight w:val="142"/>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80" w:type="dxa"/>
            <w:vAlign w:val="bottom"/>
          </w:tcPr>
          <w:p>
            <w:pPr>
              <w:spacing w:after="0"/>
              <w:rPr>
                <w:sz w:val="12"/>
                <w:szCs w:val="12"/>
                <w:color w:val="auto"/>
              </w:rPr>
            </w:pPr>
          </w:p>
        </w:tc>
        <w:tc>
          <w:tcPr>
            <w:tcW w:w="10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2"/>
                <w:szCs w:val="12"/>
                <w:color w:val="auto"/>
              </w:rPr>
            </w:pPr>
          </w:p>
        </w:tc>
        <w:tc>
          <w:tcPr>
            <w:tcW w:w="102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00" w:type="dxa"/>
            <w:vAlign w:val="bottom"/>
          </w:tcPr>
          <w:p>
            <w:pPr>
              <w:spacing w:after="0"/>
              <w:rPr>
                <w:sz w:val="12"/>
                <w:szCs w:val="12"/>
                <w:color w:val="auto"/>
              </w:rPr>
            </w:pPr>
          </w:p>
        </w:tc>
        <w:tc>
          <w:tcPr>
            <w:tcW w:w="10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2"/>
                <w:szCs w:val="12"/>
                <w:color w:val="auto"/>
              </w:rPr>
            </w:pPr>
          </w:p>
        </w:tc>
        <w:tc>
          <w:tcPr>
            <w:tcW w:w="112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460" w:type="dxa"/>
            <w:vAlign w:val="bottom"/>
          </w:tcPr>
          <w:p>
            <w:pPr>
              <w:spacing w:after="0"/>
              <w:rPr>
                <w:sz w:val="12"/>
                <w:szCs w:val="12"/>
                <w:color w:val="auto"/>
              </w:rPr>
            </w:pPr>
          </w:p>
        </w:tc>
      </w:tr>
      <w:tr>
        <w:trPr>
          <w:trHeight w:val="176"/>
        </w:trPr>
        <w:tc>
          <w:tcPr>
            <w:tcW w:w="3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2014</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2013</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2013</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w w:val="95"/>
              </w:rPr>
              <w:t>(Decrease)</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49"/>
        </w:trPr>
        <w:tc>
          <w:tcPr>
            <w:tcW w:w="3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8"/>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GM Financial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1,261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867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3,549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2,243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394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1,306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265"/>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160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408</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43</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97</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275"/>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before income taxes-adjusted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205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684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(34)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11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62"/>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(Dollars in billions)</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78"/>
        </w:trPr>
        <w:tc>
          <w:tcPr>
            <w:tcW w:w="3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Average debt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4"/>
                <w:szCs w:val="14"/>
                <w:color w:val="auto"/>
              </w:rPr>
              <w:t>10.0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12.6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r>
      <w:tr>
        <w:trPr>
          <w:trHeight w:val="260"/>
        </w:trPr>
        <w:tc>
          <w:tcPr>
            <w:tcW w:w="30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Effective rate of interest paid</w:t>
            </w:r>
          </w:p>
        </w:tc>
        <w:tc>
          <w:tcPr>
            <w:tcW w:w="12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1.5%</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1.4%</w:t>
            </w:r>
          </w:p>
        </w:tc>
        <w:tc>
          <w:tcPr>
            <w:tcW w:w="460" w:type="dxa"/>
            <w:vAlign w:val="bottom"/>
          </w:tcPr>
          <w:p>
            <w:pPr>
              <w:spacing w:after="0"/>
              <w:rPr>
                <w:sz w:val="22"/>
                <w:szCs w:val="22"/>
                <w:color w:val="auto"/>
              </w:rPr>
            </w:pPr>
          </w:p>
        </w:tc>
      </w:tr>
    </w:tbl>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Financial Revenue</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2014 GM Financial revenue increased due primarily to: (1) increased finance charge income of $0.2 billion due to growth in the portfolio resulting from the acquisition of the Ally Financial international operations; and (2) increased lease vehicle income of $0.1 billion due to the increased size of the leased asset portfolio.</w:t>
      </w:r>
    </w:p>
    <w:p>
      <w:pPr>
        <w:spacing w:after="0" w:line="176"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2014 GM Financial revenue increased due primarily to: (1) increased finance charge income of $0.9 billion due to growth in the portfolio resulting from the acquisition of the Ally Financial international operations; and (2) increased lease vehicle income of $0.3 billion due to the increased size of the leased asset portfolio.</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Financial Income Before Income Taxes-Adjusted</w:t>
      </w:r>
    </w:p>
    <w:p>
      <w:pPr>
        <w:spacing w:after="0" w:line="22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ended September 30, 2014 Income before income taxes-adjusted remained flat due primarily to: (1) increased revenue of $0.4 billion; offset by (2) increased interest expense of $0.2 billion due to higher average debt outstanding and effective rate of interest; (3) increased operating expenses of $0.1 billion due to the acquisition of the Ally Financial international operations; and (4) increased lease vehicle expenses of $0.1 billion due to the increased size of the leased asset portfolio.</w:t>
      </w:r>
    </w:p>
    <w:p>
      <w:pPr>
        <w:spacing w:after="0" w:line="180"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30, 2014 Income before income taxes-adjusted remained flat due primarily to: (1) increased revenue of $1.3 billion; offset by (2) increased interest expense of $0.6 billion due to higher average debt outstanding and effective rate of interest; (3) increased operating expenses of $0.3 billion due to the acquisition of the Ally Financial international operations; (4) increased lease vehicle expenses of $0.2 billion due to the increased size of the leased asset portfolio; and (5) increased provision for loan losses of $0.1 billion due to an increase in consumer and commercial originations.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800" w:type="dxa"/>
            <w:vAlign w:val="bottom"/>
            <w:gridSpan w:val="4"/>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280"/>
        </w:trPr>
        <w:tc>
          <w:tcPr>
            <w:tcW w:w="2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w w:val="95"/>
              </w:rPr>
              <w:t>2014 vs. 2013</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ind w:left="375"/>
              <w:spacing w:after="0"/>
              <w:rPr>
                <w:sz w:val="20"/>
                <w:szCs w:val="20"/>
                <w:color w:val="auto"/>
              </w:rPr>
            </w:pPr>
            <w:r>
              <w:rPr>
                <w:rFonts w:ascii="Times New Roman" w:cs="Times New Roman" w:eastAsia="Times New Roman" w:hAnsi="Times New Roman"/>
                <w:sz w:val="13"/>
                <w:szCs w:val="13"/>
                <w:b w:val="1"/>
                <w:bCs w:val="1"/>
                <w:color w:val="auto"/>
                <w:w w:val="95"/>
              </w:rPr>
              <w:t>2014 vs. 2013</w:t>
            </w:r>
          </w:p>
        </w:tc>
        <w:tc>
          <w:tcPr>
            <w:tcW w:w="540" w:type="dxa"/>
            <w:vAlign w:val="bottom"/>
            <w:tcBorders>
              <w:bottom w:val="single" w:sz="8" w:color="auto"/>
            </w:tcBorders>
          </w:tcPr>
          <w:p>
            <w:pPr>
              <w:spacing w:after="0"/>
              <w:rPr>
                <w:sz w:val="24"/>
                <w:szCs w:val="24"/>
                <w:color w:val="auto"/>
              </w:rPr>
            </w:pPr>
          </w:p>
        </w:tc>
      </w:tr>
      <w:tr>
        <w:trPr>
          <w:trHeight w:val="142"/>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40" w:type="dxa"/>
            <w:vAlign w:val="bottom"/>
          </w:tcPr>
          <w:p>
            <w:pPr>
              <w:spacing w:after="0"/>
              <w:rPr>
                <w:sz w:val="12"/>
                <w:szCs w:val="12"/>
                <w:color w:val="auto"/>
              </w:rPr>
            </w:pPr>
          </w:p>
        </w:tc>
        <w:tc>
          <w:tcPr>
            <w:tcW w:w="126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540" w:type="dxa"/>
            <w:vAlign w:val="bottom"/>
          </w:tcPr>
          <w:p>
            <w:pPr>
              <w:spacing w:after="0"/>
              <w:rPr>
                <w:sz w:val="12"/>
                <w:szCs w:val="12"/>
                <w:color w:val="auto"/>
              </w:rPr>
            </w:pPr>
          </w:p>
        </w:tc>
      </w:tr>
      <w:tr>
        <w:trPr>
          <w:trHeight w:val="176"/>
        </w:trPr>
        <w:tc>
          <w:tcPr>
            <w:tcW w:w="2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2014</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57"/>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EBIT (loss)-adjusted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(44.7)%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the three and nine months ended September 30, 2014 EBIT (loss)-adjusted increased due primarily to legal costs related to the Ignition Switch Recall.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Overview</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believe that our current level of cash and cash equivalents, marketable securities and availability under our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which may provide an additional source of liquidity. Our future uses of cash, which may vary from time to time based on market conditions and other factors, are centered around three objectives: (1) reinvest in our business; (2) continue to strengthen our balance sheet; and (3) return cash to shareholders. Our known future material uses of cash include, among other possible demands:</w:t>
      </w:r>
    </w:p>
    <w:p>
      <w:pPr>
        <w:spacing w:after="0" w:line="3" w:lineRule="exact"/>
        <w:rPr>
          <w:sz w:val="20"/>
          <w:szCs w:val="20"/>
          <w:color w:val="auto"/>
        </w:rPr>
      </w:pPr>
    </w:p>
    <w:p>
      <w:pPr>
        <w:jc w:val="both"/>
        <w:ind w:firstLine="8"/>
        <w:spacing w:after="0" w:line="253" w:lineRule="auto"/>
        <w:tabs>
          <w:tab w:leader="none" w:pos="2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as well as payments for engineering and product development activities; (2) payments associated with recently announced vehicle recalls and the Program; (3) payments for previously announced restructuring activities; (4) acquiring Ally Financial's equity interests in GMAC-SAIC Automotive Finance Company Limited for approximately $1.0 billion; (5) payments to service debt and other long-term obligations; (6) payments to purchase the remaining outstanding shares of our Series A Preferred Stock with a liquidation amount of $3.9 billion on or after December 31, 2014; and (7) dividend payments on our preferred and common stock that are declared by our Board of Directors.</w:t>
      </w:r>
    </w:p>
    <w:p>
      <w:pPr>
        <w:spacing w:after="0" w:line="18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“Risk Factors” section of our 2013 Form 10-K as updated in our Form 10-Q for the period ended March 31, 2014, some of which are outside our control. Macroeconomic conditions could limit our ability to successfully execute our business plans and therefore adversely affect our liquidity plans.</w:t>
      </w:r>
    </w:p>
    <w:p>
      <w:pPr>
        <w:spacing w:after="0" w:line="17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We continue to monitor and evaluate opportunities to strengthen our balance sheet and competitive position over the long term. These actions may include opportunistic payments to reduce our long-term obligations while maintaining minimal financial leverage as well as the possibility of acquisitions, dispositions and strategic alliances that we believe would generate significant advantages and substantially strengthen our business. These actions may include additional loans, investments with our joint venture partners or the acquisitions of certain operations or ownership stakes in outside businesses. These actions may negatively impact our liquidity in the short term including the payments related to our recent recalls and the related litigation.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Available Liquidity</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Total available liquidity includes cash, cash equivalents, marketable securities and funds available under credit facilities. At September 30, 2014 our available liquidity was $36.6 billion, including funds available under credit facilities of $10.5 billion. The amount of available liquidity is subject to intra-month and seasonal fluctuations and includes balances held by various business units and subsidiaries worldwide that are needed to fund their operations.</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manage our liquidity primarily at our treasury centers as well as at certain of our significant consolidated overseas subsidiaries. Available liquidity held within North America and at our regional treasury centers represented approximately 88% of our available liquidity at September 30, 2014. A portion of our available liquidity includes amounts deemed indefinitely reinvested in our foreign subsidiaries. We have used and will continue to use other methods including intercompany loans to utilize these funds across our global operations as needed.</w:t>
      </w:r>
    </w:p>
    <w:p>
      <w:pPr>
        <w:spacing w:after="0" w:line="180"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cash equivalents and marketable securities balances are primarily denominated in U.S. Dollars and include investments in U.S. government and agency obligations, foreign government securities, time deposits and corporate debt securities. Our investment guidelines, which we may change from time to time, prescribe certain minimum credit worthiness thresholds and limit our exposures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any particular sector, asset class, issuance or security type. Substantially all of our current investments in debt securities are with A/A2 or better rated issuers.</w:t>
      </w:r>
    </w:p>
    <w:p>
      <w:pPr>
        <w:spacing w:after="0" w:line="162"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and to fund working capital needs at certain of our subsidiaries. The total size of our credit facilities was $11.1 billion and $11.2 billion at September 30, 2014 and December 31, 2013. At September 30, 2014 and December 31, 2013 we had revolving credit facilities primarily including a three-year, $5.5 billion facility maturing in 2015 and a five-year, $5.5 billion facility maturing in 2017. We did not borrow against these facilities, but had amounts in use under the letter of credit sub-facility of $0.5 billion at September 30, 2014. GM Financial had access to the three-year facility, but did not borrow against it. In September 2014 the collateral previously securing these revolving credit facilities was released upon obtaining an investment grade corporate rating from both Moody’s and S&amp;P.</w:t>
      </w:r>
    </w:p>
    <w:p>
      <w:pPr>
        <w:spacing w:after="0" w:line="188"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In October 2014 we amended our two primary revolving credit facilities, increasing our aggregate borrowing capacity from $11.0 billion to $12.5 billion. These facilities consist of a three-year, $5.0 billion facility and a five-year, $7.5 billion facility. Both facilities are available to the Company as well as certain wholly-owned subsidiaries, including GM Financial. The three-year, $5.0 billion facility allows for borrowings in U.S. Dollars and other currencies and includes a GM Financial borrowing sub-limit of $2.0 billion, a letter of credit sub-facility of $1.6 billion and a Brazilian Real sub-facility of $0.3 billion. The five-year, $7.5 billion facility allows for borrowings in U.S. Dollars and other currencies and includes a GM Financial borrowing sub-limit of $2.0 billion, a letter of credit sub-limit of $0.5 billion and a Brazilian Real sub-facility of $0.2 billion.</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automotive liquidity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Available liquidity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under credit facilities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available liquidity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0" w:type="dxa"/>
            <w:vAlign w:val="bottom"/>
          </w:tcPr>
          <w:p>
            <w:pPr>
              <w:spacing w:after="0"/>
              <w:rPr>
                <w:sz w:val="1"/>
                <w:szCs w:val="1"/>
                <w:color w:val="auto"/>
              </w:rPr>
            </w:pPr>
          </w:p>
        </w:tc>
      </w:tr>
      <w:tr>
        <w:trPr>
          <w:trHeight w:val="249"/>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7"/>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change in available liquidity</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summarize automotive cash flows from operating, investing and financing activities (dollars in billions):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8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22"/>
                <w:szCs w:val="22"/>
                <w:color w:val="auto"/>
              </w:rPr>
            </w:pPr>
          </w:p>
        </w:tc>
        <w:tc>
          <w:tcPr>
            <w:tcW w:w="14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unfavorable change in cash flows related to Working capital was due primarily to the decreases in payables related to timing of payments and increases in inventory. The change in Accrued liabilities and other liabilities was primarily related to provisions for product warranty and recall related liabilities, establishment of the ignition switch recall compensation program and daily rental deposits. The change in Other was due primarily to changes in deferred taxes primarily related to recall charges announced in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8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22"/>
                <w:szCs w:val="22"/>
                <w:color w:val="auto"/>
              </w:rPr>
            </w:pP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unfavorable change in marketable securities was primarily a result of rebalancing our investment portfolio between marketable securities and cash and cash equivalents as part of liquidity management in the normal course of business.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8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22"/>
                <w:szCs w:val="22"/>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(including charge related to purchase of Series A Preferred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and payments of debt, net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of Series A Preferred Stock</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unfavorable change in Dividends paid is due to the initiation of a common stock dividend in the current period; partially offset by a charge related to the purchase of Series A Preferred Stock and dividends paid related to Series B Preferred Stock in the prior period. The change in Proceeds and payments of debt, net includes proceeds of $4.5 billion from the issuance of senior unsecured notes; partially offset by a payment to acquire the remaining balance of GM Korea's mandatorily redeemable preferred shares of $0.7 billion in 2013 that did not occur in 2014.</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automotive free cash flow and adjusted free cash flow (dollars in billions):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64"/>
        </w:trPr>
        <w:tc>
          <w:tcPr>
            <w:tcW w:w="8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22"/>
                <w:szCs w:val="22"/>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2013</w:t>
            </w:r>
          </w:p>
        </w:tc>
      </w:tr>
      <w:tr>
        <w:trPr>
          <w:trHeight w:val="249"/>
        </w:trPr>
        <w:tc>
          <w:tcPr>
            <w:tcW w:w="8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cash flow</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Adjustments to free cash flow included pension contributions of $0.1 billion related to the previously announced annuitization of the U.S. salaried pension plan in the nine months ended September 30, 2014 and 2013.</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Status of Credit Ratings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receive ratings from four independent credit rating agencies: DBRS Limited, Fitch, Moody's and S&amp;P. DBRS Limited, Moody's and S&amp;P currently rate our corporate credit at investment grade while Fitch currently rates our corporate credit at non-investment grade. The following table summarizes our credit ratings at October 21,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Credit Facilities</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Senior Unsecured</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49"/>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DBRS Limited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BBB (low)</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BBB (low)</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Fitch</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BB+</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Positive</w:t>
            </w:r>
          </w:p>
        </w:tc>
      </w:tr>
      <w:tr>
        <w:trPr>
          <w:trHeight w:val="27"/>
        </w:trPr>
        <w:tc>
          <w:tcPr>
            <w:tcW w:w="4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Moody's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Investment Grade</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Baa3</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Ba1</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43"/>
        </w:trPr>
        <w:tc>
          <w:tcPr>
            <w:tcW w:w="4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BBB-</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BBB-</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Rating actions taken by each of the credit rating agencies from January 1, 2014 through October 21, 2014 were as follows: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DBRS Limited: Assigned revolving credit facilities rating of BBB (low) in October 2014.</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Fitch: Assigned revolving credit facilities rating of BB+ in October 2014.</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Moody’s: Assigned revolving credit facilities rating of Baa3 in October 2014.</w:t>
      </w:r>
    </w:p>
    <w:p>
      <w:pPr>
        <w:spacing w:after="0" w:line="22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S&amp;P: Assigned revolving credit facilities rating of BBB- in October 2014. Upgraded our corporate rating and senior unsecured ratings to an investment grade rating of BBB- from BB+ and revised their outlook to Stable from Positive in September 2014.</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Improving credit ratings provides us with greater financial flexibility and a lower cost of borrowing. Additionally the collateral formerly pledged to our revolving credit facilities was released in conjunction with achieving investment grade status from both Moody’s and S&amp;P.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Automotive Financing - GM Financial</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 Overview</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GM Financial's primary sources of cash are finance charge income, leasing income, servicing fees, net distributions from secured debt, secured and unsecured borrowings, net proceeds from senior notes transactions and collections and recoveries on finance receivables. GM Financial's primary uses of cash are purchases of consumer finance receivables and leased vehicles, funding of commercial finance receivables, funding credit enhancement requirements for secured debt, repayment of secured and unsecured debt, operating expenses, interest costs, capital expenditures and business acquisitions. GM Financial continues to monitor and evaluate opportunities to optimize its liquidity position and the mix of its debt.</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Available Liquidity</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7"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8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r>
      <w:tr>
        <w:trPr>
          <w:trHeight w:val="257"/>
        </w:trPr>
        <w:tc>
          <w:tcPr>
            <w:tcW w:w="8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liquidity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increase in available liquidity is due primarily to the issuance of $3.9 billion of senior unsecured notes in 2014.</w:t>
      </w:r>
    </w:p>
    <w:p>
      <w:pPr>
        <w:spacing w:after="0" w:line="225"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As previously mentioned GM Financial has the ability to borrow up to $2.0 billion against each of our three-year, $5.0 billion and five-year, $7.5 billion revolving credit facilities. In September 2014 we and GM Financial entered into a support agreement which, among other things, established commitments of funding from us to GM Financial. This agreement also provides that we will continue to own all of GM Financial’s outstanding voting shares so long as any unsecured debt securities remain outstanding at GM Financial. In addition we are required to use our commercially reasonable efforts to ensure GM Financial remains a subsidiary borrower under our corporate revolving credit facilities.</w:t>
      </w:r>
    </w:p>
    <w:p>
      <w:pPr>
        <w:spacing w:after="0" w:line="184"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October 2014 GM Financial issued Euro 500 million term notes which are due in October 2019. GM Financial intends to use the net proceeds for general corporate purposes.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GM Financial cash flows from operating, investing and financing activities (dollars in billions):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5"/>
        </w:trPr>
        <w:tc>
          <w:tcPr>
            <w:tcW w:w="6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2014 vs. 2013</w:t>
            </w: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5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7"/>
        </w:trPr>
        <w:tc>
          <w:tcPr>
            <w:tcW w:w="6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2014 Net cash provided by operating activities increased due primarily to an increase in net income resulting from the acquisition of the Ally Financial international operations.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30, 2014 Net cash used in investing activities increased due primarily to: (1) an increase in loan purchases and funding, net of collections, of $1.7 billion; and (2) an increase in purchases of leased vehicles of $1.4 billion; partially offset by (3) a decrease in cash used for business acquisitions of $2.1 billion.</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2014 Net cash provided by financing activities increased due primarily to: (1) repayment of debt to Ally Financial of $1.4 billion in 2013, with no related activity in 2014; and (2) a net increase in borrowings of $0.3 billion.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Provided to Third Parties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have provided guarantees related to certain suppliers' commitments, certain product-related claims, third party commercial loans and other obligations and the residual value of operating leases. The maximum potential obligation under these commitments was $4.8 billion and $16.9 billion at September 30, 2014 and December 31, 2013.</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Refer to Note 10 to our condensed consolidated financial statements for additional information on guarantees we have provided.</w:t>
      </w:r>
    </w:p>
    <w:p>
      <w:pPr>
        <w:sectPr>
          <w:pgSz w:w="11900" w:h="16838" w:orient="portrait"/>
          <w:cols w:equalWidth="0" w:num="1">
            <w:col w:w="11420"/>
          </w:cols>
          <w:pgMar w:left="240" w:top="33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7"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2013 Form 10-K, as supplemented by the subsequent discussion of Pensions and Policy, Product Warranty and Recall Campaigns.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Our defined benefit pension plans are accounted for on an actuarial basis, which requires the selection of various assumptions, including the mortality of participants. The mortality assumptions for participants in our U.S. plans incorporates future mortality improvements from tables published by the Society of Actuaries (SOA). We periodically review the mortality experience of our U.S. plans’ participants against these assumptions.</w:t>
      </w:r>
    </w:p>
    <w:p>
      <w:pPr>
        <w:spacing w:after="0" w:line="176"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the three months ending December 31, 2014 the SOA is expected to issue new mortality and mortality improvement tables that will raise the life expectancies and thereby indicate the amount of estimated aggregate benefit payments to our U.S. plans' participants could be increasing. If the tables are adopted by the SOA and we determine they represent the best estimate of our plans' mortality, we would incorporate the tables into our year-end measurement of the plans’ benefit obligations. This would result in an increase to our U.S. pension obligations and a decrease to our 2015 net pension income.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Policy, Product Warranty and Recall Campaigns</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We have historically accrued estimated costs related to recall campaigns in GMNA when they are probable and reasonably estimable, which typically occurs once it is determined a specific recall campaign is needed and announced. During the three months ended June 30, 2014, following the significant increase in the number of vehicles subject to recall in GMNA, the results of our ongoing comprehensive safety review, additional engineering analysis, the creation of a new Global Product Integrity organization, the appointment of a new Global Vice President of Vehicle Safety responsible for the safety development of our vehicle systems and our overall commitment to customer satisfaction, we accumulated sufficient historical data in GMNA to support the use of an actuarial-based estimation technique for recall campaigns. As such, we now accrue at the time of vehicle sale in GMNA the costs for recall campaigns. In the three months ended June 30, 2014 we recorded a catch-up adjustment of $0.9 billion in Automotive cost of sales to adjust the estimate for recall costs for previously sold vehicles. The change in estimate was treated as an adjustment for EBIT-adjusted reporting purposes. In the other regions, there is not sufficient historical data to support the application of an actuarial-based estimation technique and the estimated costs will continue to be accrued at the time when they are probable and reasonably estimable, which typically occurs once it is determined a specific recall campaign is needed and announced.</w:t>
      </w:r>
    </w:p>
    <w:p>
      <w:pPr>
        <w:spacing w:after="0" w:line="186"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The estimates related to policy and product warranties are established using historical information on the nature, frequency and average cost of claims of each vehicle line or each model year of the vehicle line and assumptions about future activity and events. When little or no claims experience exists for a model year or a vehicle line, the estimate is based on comparable models. The estimates related to recall campaigns accrued at the time of vehicle sale are established by applying a frequency times severity approach that considers the number of recall events, the number of vehicles per recall event, the assumed number of vehicles that will be brought in by customers for repair (take rate) and the cost per vehicle for each recall event. Estimates contemplate the nature, frequency and magnitude of historical events with consideration for changes in future expectations. Costs associated with campaigns not accrued at the time of vehicle sale are estimated based on the per unit part and labor cost, number of units impacted and the take rate. Depending on part availability and time to complete repairs we may, from time-to-time, offer courtesy transportation at no cost to our customers. These estimates are re-evaluated on an ongoing basis and based on the best available information; revisions are made when necessary. We consider trends of claims and take action to improve vehicle quality and minimize claims.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In the six months ended June 30, 2014 we recorded charges of $2.5 billion for recall campaigns and courtesy transportation that have been separately announced and $0.9 billion related to the catch-up adjustment associated with a change in estimate. The catch-up adjustment and estimated amount accrued at the time of a vehicle sale for recall campaigns is most sensitive to the estimated number of recall events, the number of vehicles per recall event, the take rate, and the cost per vehicle for each recall event. The estimated cost of a recall campaign that is accrued on an individual basis is most sensitive to our estimated assumed take rate that is primarily developed based on our historical take rate experience. We believe the amounts recorded are adequate to cover the costs of these recall campaigns. A 10% increase in the estimated take rate for specifically announced recall campaigns would increase the estimated cost by approximately $0.2 billion.</w:t>
      </w:r>
    </w:p>
    <w:p>
      <w:pPr>
        <w:spacing w:after="0" w:line="189"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Actual experience could differ from the amounts estimated requiring adjustments to these liabilities in future periods. Due to the uncertainty and potential volatility of the factors contributing to developing estimates, changes in our assumptions could materially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9" w:lineRule="exact"/>
        <w:rPr>
          <w:sz w:val="20"/>
          <w:szCs w:val="20"/>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production efficiencies and to achieve reductions in costs as a result of our restructuring initiatives and labor modifications;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quality control over our vehicles and avoid material vehicle recalls and the cost and effect on our reputation and products;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financing sources including as required to fund our planned significant investment in new technology;</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successful vehicle applications of new technology;</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increases or volatility in the price of oil, including as a result of political instability in the Middle East and African nations;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customers, particularly for our new products, including cars and crossover vehicles;</w:t>
      </w:r>
    </w:p>
    <w:p>
      <w:pPr>
        <w:spacing w:after="0" w:line="117"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financing on acceptable terms to our customers, dealers, distributors and suppliers to enable them to continue their business relationships with us;</w:t>
      </w:r>
    </w:p>
    <w:p>
      <w:pPr>
        <w:spacing w:after="0" w:line="53"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deliver parts, systems and components without disruption and at such times to allow us to meet production schedules;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distribution channels for our products;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restructure our European and consolidated international operations;</w:t>
      </w:r>
    </w:p>
    <w:p>
      <w:pPr>
        <w:spacing w:after="0" w:line="117"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both wholesale and retail financing from Ally Financial and its affiliates and other finance companies in markets in which we operate to support our ability to sell vehicles, which is dependent on those entities' ability to obtain funding and their continued willingness to provide financing;</w:t>
      </w:r>
    </w:p>
    <w:p>
      <w:pPr>
        <w:spacing w:after="0" w:line="68"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develop captive financing capability, including GM Financial;</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 Financial's ability to successfully integrate certain Ally Financial international operations;</w:t>
      </w:r>
    </w:p>
    <w:p>
      <w:pPr>
        <w:spacing w:after="0" w:line="117"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the automotive industry, both in the U.S. and in global markets;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7"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ind w:left="660" w:hanging="490"/>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commodity prices, housing prices, foreign currency exchange rates or political stability in the markets in which we operate;</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economic, political and market conditions in China, including the effect of competition from new market entrants, on our vehicle sales and market position in China;</w:t>
      </w:r>
    </w:p>
    <w:p>
      <w:pPr>
        <w:spacing w:after="0" w:line="53"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68"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litigation and government investigations including those related to our recent recalls;</w:t>
      </w:r>
    </w:p>
    <w:p>
      <w:pPr>
        <w:spacing w:after="0" w:line="117" w:lineRule="exact"/>
        <w:rPr>
          <w:rFonts w:ascii="Times New Roman" w:cs="Times New Roman" w:eastAsia="Times New Roman" w:hAnsi="Times New Roman"/>
          <w:sz w:val="18"/>
          <w:szCs w:val="18"/>
          <w:color w:val="auto"/>
        </w:rPr>
      </w:pPr>
    </w:p>
    <w:p>
      <w:pPr>
        <w:ind w:left="660" w:right="20" w:hanging="490"/>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our pension expense or projected pension contributions resulting from changes in the value of plan assets, the discount rate applied to value the pension liabilities or mortality or other assumption changes; and</w:t>
      </w:r>
    </w:p>
    <w:p>
      <w:pPr>
        <w:spacing w:after="0" w:line="53"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their application or interpretation, and our ability to make estimates and the assumptions underlying the estimates, which could have an effect on earnings.</w:t>
      </w:r>
    </w:p>
    <w:p>
      <w:pPr>
        <w:spacing w:after="0" w:line="162"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2013. Refer to Item 7A of our 2013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Executive Vice President and CFO, evaluated the effectiveness of our disclosure controls and procedures (as defined in Rules 13a-15(e) or 15d-15(e) promulgated under the Exchange Act) at September 30, 2014. Based on this evaluation required by paragraph (b) of Rules 13a-15 or 15d-15, our CEO and CFO concluded that our disclosure controls and procedures were effective as of September 30,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We have commenced several transformation initiatives to centralize and simplify our business processes and systems. These are long-term initiatives which we believe will enhance our internal controls over financial reporting due to increased automation and further integration of related processes. We will continue to monitor our internal controls over financial reporting throughout the transformation.</w:t>
      </w:r>
    </w:p>
    <w:p>
      <w:pPr>
        <w:spacing w:after="0" w:line="176"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There have not been any other changes in internal control over financial reporting during the three months ended September 30, 2014 that have materially affected, or are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7"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right"/>
        <w:ind w:right="227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 * * * * * *</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219"/>
          </w:cols>
          <w:pgMar w:left="240" w:top="337" w:right="1440"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162"/>
        <w:spacing w:after="0" w:line="261" w:lineRule="auto"/>
        <w:rPr>
          <w:sz w:val="20"/>
          <w:szCs w:val="20"/>
          <w:color w:val="auto"/>
        </w:rPr>
      </w:pPr>
      <w:r>
        <w:rPr>
          <w:rFonts w:ascii="Times New Roman" w:cs="Times New Roman" w:eastAsia="Times New Roman" w:hAnsi="Times New Roman"/>
          <w:sz w:val="18"/>
          <w:szCs w:val="18"/>
          <w:color w:val="auto"/>
        </w:rPr>
        <w:t>The discussion in the following paragraphs describe material legal proceedings that arose in the three months ended September 30, 2014 or provides an update of developments that have occurred in various material pending legal proceedings to which we are a party, other than ordinary routine litigation incidental to our business. The proceedings that are being updated are fully described in our 2013 Form 10-K as updated in our Form 10-Q filings for the periods ended March 31, 2014 and June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Related to Ignition Switch and Other Recalls</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2014, we announced recalls to repair ignition switches that under certain circumstances could unintentionally move from the “run” position to the “accessory” or “off” position with a corresponding loss of power, which in turn may prevent airbags from deploying in the event of a crash. Those recalls included Chevrolet Cobalt, HHR, Pontiac G5, Pursuit, Solstice, and Saturn ION and Sky vehicles. Since those recalls, we have announced a number of additional recalls in the nine months ending September 30, 2014, relating to safety, customer satisfaction, and other matters. Refer to the “Recall Campaigns” section of MD&amp;A for additional information.</w:t>
      </w:r>
    </w:p>
    <w:p>
      <w:pPr>
        <w:spacing w:after="0" w:line="184" w:lineRule="exact"/>
        <w:rPr>
          <w:sz w:val="20"/>
          <w:szCs w:val="20"/>
          <w:color w:val="auto"/>
        </w:rPr>
      </w:pPr>
    </w:p>
    <w:p>
      <w:pPr>
        <w:jc w:val="both"/>
        <w:ind w:firstLine="162"/>
        <w:spacing w:after="0" w:line="255" w:lineRule="auto"/>
        <w:rPr>
          <w:sz w:val="20"/>
          <w:szCs w:val="20"/>
          <w:color w:val="auto"/>
        </w:rPr>
      </w:pPr>
      <w:r>
        <w:rPr>
          <w:rFonts w:ascii="Times New Roman" w:cs="Times New Roman" w:eastAsia="Times New Roman" w:hAnsi="Times New Roman"/>
          <w:sz w:val="18"/>
          <w:szCs w:val="18"/>
          <w:color w:val="auto"/>
        </w:rPr>
        <w:t>Through October 20, 2014, we are aware of 107 putative class actions that are pending against GM in various U.S. District Courts and state courts alleging that consumers who purchased or leased GM vehicles have been economically harmed by one or more of the recalls announced this year and/or the underlying vehicle conditions associated with those recalls. In the aggregate, these economic-loss cases seek recovery for purported compensatory damages, including alleged diminution in value of the vehicles, punitive damages, and injunctive and other relief. In addition, through October 20, 2014, we are aware of 63 actions pending against GM alleging injury or death as a result of defects that may be the subject of recalls announced in the nine months ending September 30, 2014, including faulty ignition switches and/or the failure of air bags to properly deploy due to faulty ignition switches. In the aggregate, these personal injury cases seek recovery for purported compensatory damages, punitive damages, and other relief.</w:t>
      </w:r>
    </w:p>
    <w:p>
      <w:pPr>
        <w:spacing w:after="0" w:line="18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Since June 2014, the United States Judicial Panel on Multidistrict Litigation has issued orders from time to time directing that certain pending economic-loss and personal injury federal lawsuits involving alleged faulty ignition switches or other defects that may be related to the recalls announced this year be transferred to, and consolidated in, a single federal court, the Southern District of New York (the multidistrict litigation). Through October 20, 2014, 130 cases have been transferred and consolidated as part of the multidistrict litigation. GM has requested that various other recently filed federal lawsuits also be transferred and consolidated in the multidistrict litigation. The court in the multidistrict litigation has appointed lead counsel to prosecute the claims on behalf of all plaintiffs in the consolidated cases. On October 14, 2014, lead counsel filed two amended consolidated complaints. In addition to the cases pending in the multidistrict litigation, other economic-loss and personal injury cases related to ignition-switch and other alleged defects that may be the subject of recalls in 2014 are pending in various other state and federal courts throughout the country. Additionally, through October 20, 2014, 17 putative class actions have been filed in various Provincial Courts in Canada seeking similar relief as the U.S.-based cases.</w:t>
      </w:r>
    </w:p>
    <w:p>
      <w:pPr>
        <w:spacing w:after="0" w:line="189" w:lineRule="exact"/>
        <w:rPr>
          <w:sz w:val="20"/>
          <w:szCs w:val="20"/>
          <w:color w:val="auto"/>
        </w:rPr>
      </w:pPr>
    </w:p>
    <w:p>
      <w:pPr>
        <w:jc w:val="both"/>
        <w:ind w:firstLine="162"/>
        <w:spacing w:after="0" w:line="256" w:lineRule="auto"/>
        <w:rPr>
          <w:sz w:val="20"/>
          <w:szCs w:val="20"/>
          <w:color w:val="auto"/>
        </w:rPr>
      </w:pPr>
      <w:r>
        <w:rPr>
          <w:rFonts w:ascii="Times New Roman" w:cs="Times New Roman" w:eastAsia="Times New Roman" w:hAnsi="Times New Roman"/>
          <w:sz w:val="18"/>
          <w:szCs w:val="18"/>
          <w:color w:val="auto"/>
        </w:rPr>
        <w:t>With regard to the two previously reported shareholder derivative actions pending in the United States District Court for the Eastern District of Michigan against certain current and former GM directors, those actions have been consolidated and GM filed a motion to dismiss the consolidated amended complaint on October 9, 2014. With regard to the four previously reported shareholder derivative actions pending in the Chancery Court for the State of Delaware, those actions have been consolidated and plaintiffs filed an amended consolidated complaint on October 13, 2014. With regard to the two previously reported derivative actions filed in the Circuit Court of Wayne County, Michigan, those actions have been consolidated and stayed pending the federal derivative actions.</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GM intends to vigorously defend all of these actions.</w:t>
      </w:r>
    </w:p>
    <w:p>
      <w:pPr>
        <w:spacing w:after="0" w:line="225"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We are also the subject of various inquiries, investigations, subpoenas and requests for information from the U.S. Attorney’s Office for the Southern District of New York, Congress, the SEC, Transport Canada, and 48 state attorneys general in connection with our recent recalls. We are also in discussions with NHTSA on various recall related matters. We are investigating these matters and believe we are cooperating fully with all requests. Such investigations and discussions could in the future result in the imposition of material damages, fines or civil and criminal penalties and other remedies.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7"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GM Financial Subpoena</w:t>
      </w:r>
    </w:p>
    <w:p>
      <w:pPr>
        <w:spacing w:after="0" w:line="229" w:lineRule="exact"/>
        <w:rPr>
          <w:sz w:val="20"/>
          <w:szCs w:val="20"/>
          <w:color w:val="auto"/>
        </w:rPr>
      </w:pPr>
    </w:p>
    <w:p>
      <w:pPr>
        <w:jc w:val="both"/>
        <w:ind w:firstLine="162"/>
        <w:spacing w:after="0" w:line="254" w:lineRule="auto"/>
        <w:rPr>
          <w:sz w:val="20"/>
          <w:szCs w:val="20"/>
          <w:color w:val="auto"/>
        </w:rPr>
      </w:pPr>
      <w:r>
        <w:rPr>
          <w:rFonts w:ascii="Times New Roman" w:cs="Times New Roman" w:eastAsia="Times New Roman" w:hAnsi="Times New Roman"/>
          <w:sz w:val="18"/>
          <w:szCs w:val="18"/>
          <w:color w:val="auto"/>
        </w:rPr>
        <w:t>In July 2014, GM Financial was served with a subpoena by the U.S. Department of Justice directing GM Financial to produce certain documents relating to GM Financial’s and its subsidiaries’ and affiliates’ origination and securitization of subprime automobile loans since 2007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In September 2014, GM Financial was served with additional investigative subpoenas to produce documents from state attorneys general and other governmental offices relating to its subprime auto finance business and securitization of subprime auto loans. GM Financial is investigating these matters internally and believes that it is cooperating with all requests. Such investigations could in the future result in the imposition of damages, fines or civil or criminal claims and/or penalties. No assurance can be given that the ultimate outcome of the investigations or any resulting proceedings would not materially and adversely affect GM Financial or any of its subsidiaries and affiliates.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results of operations and financial condition could be materially adversely affected by these risk factors. There have been no material changes to the Risk Factors disclosed in our 2013 Form 10-K and our Form 10-Q for the three months ended March 31, 2014.</w:t>
      </w:r>
    </w:p>
    <w:p>
      <w:pPr>
        <w:spacing w:after="0" w:line="17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for Cash</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In June 2014 our stockholders approved the LTIP which authorizes awards of stock options, stock appreciation rights, restricted stock, RSUs, performance awards or other stock-based awards to selected employees, consultants, advisors and non-employee directors of the Company. In June 2014 the Board of Directors authorized the Company to repurchase up to 5 million shares of common stock, which is intended to offset dilution from the June 2014 grant of stock incentive awards under the LTIP. In September 2014 we repurchased 5 million shares of our outstanding common stock at a weighted-average price of $33.69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Purchases of Equity Securities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our non-cash purchases of common stock in each of the three months ended September 30, 2014: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Programs</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Under Announced Programs</w:t>
            </w:r>
          </w:p>
        </w:tc>
        <w:tc>
          <w:tcPr>
            <w:tcW w:w="0" w:type="dxa"/>
            <w:vAlign w:val="bottom"/>
          </w:tcPr>
          <w:p>
            <w:pPr>
              <w:spacing w:after="0"/>
              <w:rPr>
                <w:sz w:val="1"/>
                <w:szCs w:val="1"/>
                <w:color w:val="auto"/>
              </w:rPr>
            </w:pPr>
          </w:p>
        </w:tc>
      </w:tr>
      <w:tr>
        <w:trPr>
          <w:trHeight w:val="249"/>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2014 through July 31, 2014</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2,637,526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2014 through August 31, 2014</w:t>
            </w: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17,821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2014 through September 30, 2014</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49,194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2,704,541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70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N/A = not applicable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Shares purchased represents shares of common stock retained by us for the payment of the exercise price upon the exercise of warrants and shares of common stock delivered by employees or directors back to us for the payment of taxes resulting from issuance of common stock upon the vesting of RSUs and Restricted Stock Awards relating to compensation plans. Refer to Notes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337"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21 and 23 to our consolidated financial statements in our 2013 Form 10-K for additional details on warrants issued and employee stock incentive plans.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 *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280"/>
          </w:cols>
          <w:pgMar w:left="240" w:top="337" w:right="379" w:bottom="1440" w:gutter="0" w:footer="0" w:header="0"/>
        </w:sect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40" w:type="dxa"/>
            <w:vAlign w:val="bottom"/>
          </w:tcPr>
          <w:p>
            <w:pPr>
              <w:spacing w:after="0"/>
              <w:rPr>
                <w:sz w:val="13"/>
                <w:szCs w:val="13"/>
                <w:color w:val="auto"/>
              </w:rPr>
            </w:pPr>
          </w:p>
        </w:tc>
        <w:tc>
          <w:tcPr>
            <w:tcW w:w="8420" w:type="dxa"/>
            <w:vAlign w:val="bottom"/>
            <w:gridSpan w:val="3"/>
          </w:tcPr>
          <w:p>
            <w:pPr>
              <w:ind w:left="3920"/>
              <w:spacing w:after="0"/>
              <w:rPr>
                <w:sz w:val="20"/>
                <w:szCs w:val="20"/>
                <w:color w:val="auto"/>
              </w:rPr>
            </w:pPr>
            <w:r>
              <w:rPr>
                <w:rFonts w:ascii="Times New Roman" w:cs="Times New Roman" w:eastAsia="Times New Roman" w:hAnsi="Times New Roman"/>
                <w:sz w:val="14"/>
                <w:szCs w:val="14"/>
                <w:b w:val="1"/>
                <w:bCs w:val="1"/>
                <w:color w:val="auto"/>
              </w:rPr>
              <w:t>Exhibit Name</w:t>
            </w:r>
          </w:p>
        </w:tc>
      </w:tr>
      <w:tr>
        <w:trPr>
          <w:trHeight w:val="20"/>
        </w:trPr>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1"/>
                <w:szCs w:val="21"/>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Amended and Restated 3-Year Revolving Credit Agreement, dated as of October 17, 2014, among General</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Motors Company, General Motors Financial Company, Inc., GM Europe Treasury Company AB, General Motors</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do Brasil Ltda., the subsidiary borrowers from time to time parties thereto, the several lenders from time to time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party thereto, JPMorgan Chase Bank, N.A., as administrative agent, and Citibank, N.A., as syndication agent,</w:t>
            </w: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incorporated herein by reference to Exhibit 10.1 to the Current Report on Form 8-K filed October 22, 2014.</w:t>
            </w:r>
          </w:p>
        </w:tc>
      </w:tr>
      <w:tr>
        <w:trPr>
          <w:trHeight w:val="25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1"/>
                <w:szCs w:val="21"/>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Amended and Restated 5-Year Revolving Credit Agreement, dated as of October 17, 2014, among General</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Motors Company, General Motors Financial Company, Inc., General Motors do Brasil Ltda., the subsidiary</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borrowers from time to time parties thereto, the several lenders from time to time party thereto, JPMorgan Chase</w:t>
            </w:r>
          </w:p>
        </w:tc>
      </w:tr>
      <w:tr>
        <w:trPr>
          <w:trHeight w:val="216"/>
        </w:trPr>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Bank, N.A., as administrative agent, and Citibank, N.A., as syndication agent, incorporated herein by reference to</w:t>
            </w:r>
          </w:p>
        </w:tc>
      </w:tr>
      <w:tr>
        <w:trPr>
          <w:trHeight w:val="234"/>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Exhibit 10.2 to the Current Report on Form 8-K filed October 22, 2014.</w:t>
            </w: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3"/>
                <w:szCs w:val="23"/>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Section 302 Certification of the Chief Executive Officer</w:t>
            </w: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3"/>
                <w:szCs w:val="23"/>
                <w:color w:val="auto"/>
              </w:rPr>
            </w:pPr>
          </w:p>
        </w:tc>
        <w:tc>
          <w:tcPr>
            <w:tcW w:w="8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Section 302 Certification of the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720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6" w:lineRule="exact"/>
        <w:rPr>
          <w:sz w:val="20"/>
          <w:szCs w:val="20"/>
          <w:color w:val="auto"/>
        </w:rPr>
      </w:pPr>
    </w:p>
    <w:p>
      <w:pPr>
        <w:ind w:left="1500" w:hanging="1465"/>
        <w:spacing w:after="0" w:line="281"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2"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279"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279"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w:t>
      </w:r>
    </w:p>
    <w:p>
      <w:pPr>
        <w:spacing w:after="0" w:line="23"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Submitted electronically with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Incorporated by Reference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Furnished with this Report</w:t>
      </w:r>
    </w:p>
    <w:p>
      <w:pPr>
        <w:spacing w:after="0" w:line="567" w:lineRule="exact"/>
        <w:rPr>
          <w:sz w:val="20"/>
          <w:szCs w:val="20"/>
          <w:color w:val="auto"/>
        </w:rPr>
      </w:pPr>
    </w:p>
    <w:p>
      <w:pPr>
        <w:sectPr>
          <w:pgSz w:w="11900" w:h="16838" w:orient="portrait"/>
          <w:cols w:equalWidth="0" w:num="2">
            <w:col w:w="9700" w:space="200"/>
            <w:col w:w="1380"/>
          </w:cols>
          <w:pgMar w:left="240" w:top="337" w:right="3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color w:val="auto"/>
        </w:rPr>
        <w:t>* * * * * * *</w:t>
      </w: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80"/>
          </w:cols>
          <w:pgMar w:left="240" w:top="337" w:right="37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24" w:lineRule="exact"/>
        <w:rPr>
          <w:sz w:val="20"/>
          <w:szCs w:val="20"/>
          <w:color w:val="auto"/>
        </w:rPr>
      </w:pPr>
    </w:p>
    <w:p>
      <w:pPr>
        <w:ind w:firstLine="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34290</wp:posOffset>
            </wp:positionV>
            <wp:extent cx="27959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Thomas S. Timko, Vice President, Controller and Chief</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45"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October 23, 2014</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337" w:right="2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095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5"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October 23, 2014</w:t>
      </w:r>
    </w:p>
    <w:p>
      <w:pPr>
        <w:sectPr>
          <w:pgSz w:w="11900" w:h="16838" w:orient="portrait"/>
          <w:cols w:equalWidth="0" w:num="1">
            <w:col w:w="11420"/>
          </w:cols>
          <w:pgMar w:left="240" w:top="576"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25"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197"/>
        <w:spacing w:after="0" w:line="282" w:lineRule="auto"/>
        <w:tabs>
          <w:tab w:leader="none" w:pos="39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197"/>
        <w:spacing w:after="0" w:line="266" w:lineRule="auto"/>
        <w:tabs>
          <w:tab w:leader="none" w:pos="3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5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8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60" w:firstLine="188"/>
        <w:spacing w:after="0" w:line="282" w:lineRule="auto"/>
        <w:tabs>
          <w:tab w:leader="none" w:pos="7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60" w:firstLine="188"/>
        <w:spacing w:after="0" w:line="266" w:lineRule="auto"/>
        <w:tabs>
          <w:tab w:leader="none" w:pos="7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197"/>
        <w:spacing w:after="0" w:line="282" w:lineRule="auto"/>
        <w:tabs>
          <w:tab w:leader="none" w:pos="3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60" w:right="20" w:firstLine="188"/>
        <w:spacing w:after="0" w:line="282" w:lineRule="auto"/>
        <w:tabs>
          <w:tab w:leader="none" w:pos="7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60" w:firstLine="188"/>
        <w:spacing w:after="0" w:line="282" w:lineRule="auto"/>
        <w:tabs>
          <w:tab w:leader="none" w:pos="7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0956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October 23, 2014</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September 30, 2014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76" w:lineRule="exact"/>
        <w:rPr>
          <w:sz w:val="20"/>
          <w:szCs w:val="20"/>
          <w:color w:val="auto"/>
        </w:rPr>
      </w:pPr>
    </w:p>
    <w:p>
      <w:pPr>
        <w:ind w:left="720" w:hanging="172"/>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172"/>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095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Mary T. Barra</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095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Charles K. Stevens III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5"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October 23,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32"/>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2019-12-07T20:28:02Z</dcterms:created>
  <dcterms:modified xsi:type="dcterms:W3CDTF">2019-12-07T20:28:02Z</dcterms:modified>
</cp:coreProperties>
</file>