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59"/>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ind w:right="-959"/>
        <w:spacing w:after="0"/>
        <w:rPr>
          <w:sz w:val="20"/>
          <w:szCs w:val="20"/>
          <w:color w:val="auto"/>
        </w:rPr>
      </w:pPr>
      <w:r>
        <w:rPr>
          <w:rFonts w:ascii="Arial" w:cs="Arial" w:eastAsia="Arial" w:hAnsi="Arial"/>
          <w:sz w:val="23"/>
          <w:szCs w:val="23"/>
          <w:b w:val="1"/>
          <w:bCs w:val="1"/>
          <w:color w:val="auto"/>
        </w:rPr>
        <w:t>SCHEDULE 14A</w:t>
      </w:r>
    </w:p>
    <w:p>
      <w:pPr>
        <w:spacing w:after="0" w:line="39" w:lineRule="exact"/>
        <w:rPr>
          <w:sz w:val="24"/>
          <w:szCs w:val="24"/>
          <w:color w:val="auto"/>
        </w:rPr>
      </w:pPr>
    </w:p>
    <w:p>
      <w:pPr>
        <w:jc w:val="center"/>
        <w:ind w:right="-959"/>
        <w:spacing w:after="0"/>
        <w:rPr>
          <w:sz w:val="20"/>
          <w:szCs w:val="20"/>
          <w:color w:val="auto"/>
        </w:rPr>
      </w:pPr>
      <w:r>
        <w:rPr>
          <w:rFonts w:ascii="Arial" w:cs="Arial" w:eastAsia="Arial" w:hAnsi="Arial"/>
          <w:sz w:val="18"/>
          <w:szCs w:val="18"/>
          <w:color w:val="auto"/>
        </w:rPr>
        <w:t>(Rule 14a -101)</w:t>
      </w:r>
    </w:p>
    <w:p>
      <w:pPr>
        <w:spacing w:after="0" w:line="7" w:lineRule="exact"/>
        <w:rPr>
          <w:sz w:val="24"/>
          <w:szCs w:val="24"/>
          <w:color w:val="auto"/>
        </w:rPr>
      </w:pPr>
    </w:p>
    <w:p>
      <w:pPr>
        <w:jc w:val="center"/>
        <w:ind w:right="-959"/>
        <w:spacing w:after="0"/>
        <w:rPr>
          <w:sz w:val="20"/>
          <w:szCs w:val="20"/>
          <w:color w:val="auto"/>
        </w:rPr>
      </w:pPr>
      <w:r>
        <w:rPr>
          <w:rFonts w:ascii="Arial" w:cs="Arial" w:eastAsia="Arial" w:hAnsi="Arial"/>
          <w:sz w:val="17"/>
          <w:szCs w:val="17"/>
          <w:color w:val="auto"/>
        </w:rPr>
        <w:t>INFORMATION REQUIRED IN PROXY STATEMENT</w:t>
      </w:r>
    </w:p>
    <w:p>
      <w:pPr>
        <w:spacing w:after="0" w:line="21" w:lineRule="exact"/>
        <w:rPr>
          <w:sz w:val="24"/>
          <w:szCs w:val="24"/>
          <w:color w:val="auto"/>
        </w:rPr>
      </w:pPr>
    </w:p>
    <w:p>
      <w:pPr>
        <w:jc w:val="center"/>
        <w:ind w:right="-959"/>
        <w:spacing w:after="0"/>
        <w:rPr>
          <w:sz w:val="20"/>
          <w:szCs w:val="20"/>
          <w:color w:val="auto"/>
        </w:rPr>
      </w:pPr>
      <w:r>
        <w:rPr>
          <w:rFonts w:ascii="Arial" w:cs="Arial" w:eastAsia="Arial" w:hAnsi="Arial"/>
          <w:sz w:val="18"/>
          <w:szCs w:val="18"/>
          <w:color w:val="auto"/>
        </w:rPr>
        <w:t>SCHEDULE 14A INFORMATION</w:t>
      </w:r>
    </w:p>
    <w:p>
      <w:pPr>
        <w:sectPr>
          <w:pgSz w:w="11900" w:h="16838" w:orient="portrait"/>
          <w:cols w:equalWidth="0" w:num="1">
            <w:col w:w="10480"/>
          </w:cols>
          <w:pgMar w:left="240" w:top="688" w:right="1179" w:bottom="1440" w:gutter="0" w:footer="0" w:header="0"/>
        </w:sectPr>
      </w:pPr>
    </w:p>
    <w:p>
      <w:pPr>
        <w:spacing w:after="0" w:line="157"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Proxy Statement Pursuant to Section 14(a) of</w:t>
      </w:r>
    </w:p>
    <w:p>
      <w:pPr>
        <w:spacing w:after="0" w:line="46" w:lineRule="exact"/>
        <w:rPr>
          <w:sz w:val="24"/>
          <w:szCs w:val="24"/>
          <w:color w:val="auto"/>
        </w:rPr>
      </w:pPr>
    </w:p>
    <w:p>
      <w:pPr>
        <w:ind w:left="34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95" w:lineRule="exact"/>
        <w:rPr>
          <w:sz w:val="24"/>
          <w:szCs w:val="24"/>
          <w:color w:val="auto"/>
        </w:rPr>
      </w:pPr>
    </w:p>
    <w:p>
      <w:pPr>
        <w:sectPr>
          <w:pgSz w:w="11900" w:h="16838" w:orient="portrait"/>
          <w:cols w:equalWidth="0" w:num="2">
            <w:col w:w="7380" w:space="540"/>
            <w:col w:w="2560"/>
          </w:cols>
          <w:pgMar w:left="240" w:top="688" w:right="117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Filed by the Registrant x</w:t>
      </w:r>
    </w:p>
    <w:p>
      <w:pPr>
        <w:spacing w:after="0" w:line="29"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89" w:lineRule="exact"/>
        <w:rPr>
          <w:sz w:val="24"/>
          <w:szCs w:val="24"/>
          <w:color w:val="auto"/>
        </w:rPr>
      </w:pPr>
    </w:p>
    <w:p>
      <w:pPr>
        <w:ind w:left="340"/>
        <w:spacing w:after="0"/>
        <w:rPr>
          <w:sz w:val="20"/>
          <w:szCs w:val="20"/>
          <w:color w:val="auto"/>
        </w:rPr>
      </w:pPr>
      <w:r>
        <w:rPr>
          <w:rFonts w:ascii="Arial" w:cs="Arial" w:eastAsia="Arial" w:hAnsi="Arial"/>
          <w:sz w:val="16"/>
          <w:szCs w:val="16"/>
          <w:color w:val="auto"/>
        </w:rPr>
        <w:t>Check the appropriate box:</w:t>
      </w:r>
    </w:p>
    <w:p>
      <w:pPr>
        <w:spacing w:after="0" w:line="248" w:lineRule="exact"/>
        <w:rPr>
          <w:sz w:val="24"/>
          <w:szCs w:val="24"/>
          <w:color w:val="auto"/>
        </w:rPr>
      </w:pPr>
    </w:p>
    <w:p>
      <w:pPr>
        <w:ind w:left="2060" w:hanging="310"/>
        <w:spacing w:after="0"/>
        <w:tabs>
          <w:tab w:leader="none" w:pos="206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PreliminaryProxy Statement</w:t>
      </w:r>
    </w:p>
    <w:p>
      <w:pPr>
        <w:spacing w:after="0" w:line="230" w:lineRule="exact"/>
        <w:rPr>
          <w:rFonts w:ascii="MS PGothic" w:cs="MS PGothic" w:eastAsia="MS PGothic" w:hAnsi="MS PGothic"/>
          <w:sz w:val="16"/>
          <w:szCs w:val="16"/>
          <w:color w:val="auto"/>
        </w:rPr>
      </w:pPr>
    </w:p>
    <w:p>
      <w:pPr>
        <w:ind w:left="2060" w:hanging="310"/>
        <w:spacing w:after="0"/>
        <w:tabs>
          <w:tab w:leader="none" w:pos="2060"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Only(as permitted by Rule 14a-6(e)(2))</w:t>
      </w:r>
    </w:p>
    <w:p>
      <w:pPr>
        <w:spacing w:after="0" w:line="238" w:lineRule="exact"/>
        <w:rPr>
          <w:rFonts w:ascii="MS PGothic" w:cs="MS PGothic" w:eastAsia="MS PGothic" w:hAnsi="MS PGothic"/>
          <w:sz w:val="16"/>
          <w:szCs w:val="16"/>
          <w:color w:val="auto"/>
        </w:rPr>
      </w:pPr>
    </w:p>
    <w:p>
      <w:pPr>
        <w:ind w:left="1400" w:right="6640" w:firstLine="350"/>
        <w:spacing w:after="0" w:line="448" w:lineRule="auto"/>
        <w:tabs>
          <w:tab w:leader="none" w:pos="2062" w:val="left"/>
        </w:tabs>
        <w:numPr>
          <w:ilvl w:val="1"/>
          <w:numId w:val="1"/>
        </w:numPr>
        <w:rPr>
          <w:rFonts w:ascii="MS PGothic" w:cs="MS PGothic" w:eastAsia="MS PGothic" w:hAnsi="MS PGothic"/>
          <w:sz w:val="15"/>
          <w:szCs w:val="15"/>
          <w:color w:val="auto"/>
        </w:rPr>
      </w:pPr>
      <w:r>
        <w:rPr>
          <w:rFonts w:ascii="Arial" w:cs="Arial" w:eastAsia="Arial" w:hAnsi="Arial"/>
          <w:sz w:val="15"/>
          <w:szCs w:val="15"/>
          <w:color w:val="auto"/>
        </w:rPr>
        <w:t>Definitive Proxy Statement x Definitive Additional Materials</w:t>
      </w:r>
    </w:p>
    <w:p>
      <w:pPr>
        <w:spacing w:after="0" w:line="31" w:lineRule="exact"/>
        <w:rPr>
          <w:rFonts w:ascii="MS PGothic" w:cs="MS PGothic" w:eastAsia="MS PGothic" w:hAnsi="MS PGothic"/>
          <w:sz w:val="15"/>
          <w:szCs w:val="15"/>
          <w:color w:val="auto"/>
        </w:rPr>
      </w:pPr>
    </w:p>
    <w:p>
      <w:pPr>
        <w:ind w:left="2060" w:hanging="310"/>
        <w:spacing w:after="0"/>
        <w:tabs>
          <w:tab w:leader="none" w:pos="206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pacing w:after="0" w:line="229" w:lineRule="exact"/>
        <w:rPr>
          <w:sz w:val="24"/>
          <w:szCs w:val="24"/>
          <w:color w:val="auto"/>
        </w:rPr>
      </w:pPr>
    </w:p>
    <w:p>
      <w:pPr>
        <w:ind w:left="3960"/>
        <w:spacing w:after="0"/>
        <w:rPr>
          <w:sz w:val="20"/>
          <w:szCs w:val="20"/>
          <w:color w:val="auto"/>
        </w:rPr>
      </w:pPr>
      <w:r>
        <w:rPr>
          <w:rFonts w:ascii="Arial" w:cs="Arial" w:eastAsia="Arial" w:hAnsi="Arial"/>
          <w:sz w:val="23"/>
          <w:szCs w:val="23"/>
          <w:b w:val="1"/>
          <w:bCs w:val="1"/>
          <w:color w:val="auto"/>
        </w:rPr>
        <w:t>GENERAL MOTORS COMPANY</w:t>
      </w:r>
    </w:p>
    <w:p>
      <w:pPr>
        <w:spacing w:after="0" w:line="39" w:lineRule="exact"/>
        <w:rPr>
          <w:sz w:val="24"/>
          <w:szCs w:val="24"/>
          <w:color w:val="auto"/>
        </w:rPr>
      </w:pPr>
    </w:p>
    <w:p>
      <w:pPr>
        <w:jc w:val="center"/>
        <w:ind w:right="-959"/>
        <w:spacing w:after="0"/>
        <w:rPr>
          <w:sz w:val="20"/>
          <w:szCs w:val="20"/>
          <w:color w:val="auto"/>
        </w:rPr>
      </w:pPr>
      <w:r>
        <w:rPr>
          <w:rFonts w:ascii="Arial" w:cs="Arial" w:eastAsia="Arial" w:hAnsi="Arial"/>
          <w:sz w:val="18"/>
          <w:szCs w:val="18"/>
          <w:color w:val="auto"/>
        </w:rPr>
        <w:t>(Name of Registrant as Specified in Its Charter)</w:t>
      </w:r>
    </w:p>
    <w:p>
      <w:pPr>
        <w:spacing w:after="0" w:line="7" w:lineRule="exact"/>
        <w:rPr>
          <w:sz w:val="24"/>
          <w:szCs w:val="24"/>
          <w:color w:val="auto"/>
        </w:rPr>
      </w:pPr>
    </w:p>
    <w:p>
      <w:pPr>
        <w:jc w:val="center"/>
        <w:ind w:right="-95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67" w:lineRule="exact"/>
        <w:rPr>
          <w:sz w:val="24"/>
          <w:szCs w:val="24"/>
          <w:color w:val="auto"/>
        </w:rPr>
      </w:pPr>
    </w:p>
    <w:p>
      <w:pPr>
        <w:ind w:left="1320" w:hanging="387"/>
        <w:spacing w:after="0"/>
        <w:tabs>
          <w:tab w:leader="none" w:pos="1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 fee required.</w:t>
      </w:r>
    </w:p>
    <w:p>
      <w:pPr>
        <w:spacing w:after="0" w:line="208" w:lineRule="exact"/>
        <w:rPr>
          <w:sz w:val="24"/>
          <w:szCs w:val="24"/>
          <w:color w:val="auto"/>
        </w:rPr>
      </w:pPr>
    </w:p>
    <w:p>
      <w:pPr>
        <w:ind w:left="1320" w:hanging="387"/>
        <w:spacing w:after="0"/>
        <w:tabs>
          <w:tab w:leader="none" w:pos="1320" w:val="left"/>
        </w:tabs>
        <w:numPr>
          <w:ilvl w:val="1"/>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396" w:lineRule="exact"/>
        <w:rPr>
          <w:rFonts w:ascii="MS PGothic" w:cs="MS PGothic" w:eastAsia="MS PGothic" w:hAnsi="MS PGothic"/>
          <w:sz w:val="16"/>
          <w:szCs w:val="16"/>
          <w:color w:val="auto"/>
        </w:rPr>
      </w:pPr>
    </w:p>
    <w:p>
      <w:pPr>
        <w:ind w:left="920" w:hanging="493"/>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7" w:lineRule="exact"/>
        <w:rPr>
          <w:rFonts w:ascii="Arial" w:cs="Arial" w:eastAsia="Arial" w:hAnsi="Arial"/>
          <w:sz w:val="16"/>
          <w:szCs w:val="16"/>
          <w:color w:val="auto"/>
        </w:rPr>
      </w:pPr>
    </w:p>
    <w:p>
      <w:pPr>
        <w:ind w:left="1780" w:hanging="489"/>
        <w:spacing w:after="0"/>
        <w:tabs>
          <w:tab w:leader="none" w:pos="1780" w:val="left"/>
        </w:tabs>
        <w:numPr>
          <w:ilvl w:val="2"/>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7" w:lineRule="exact"/>
        <w:rPr>
          <w:rFonts w:ascii="Arial" w:cs="Arial" w:eastAsia="Arial" w:hAnsi="Arial"/>
          <w:sz w:val="16"/>
          <w:szCs w:val="16"/>
          <w:color w:val="auto"/>
        </w:rPr>
      </w:pPr>
    </w:p>
    <w:p>
      <w:pPr>
        <w:ind w:left="1780" w:right="100" w:hanging="489"/>
        <w:spacing w:after="0" w:line="293" w:lineRule="auto"/>
        <w:tabs>
          <w:tab w:leader="none" w:pos="1780" w:val="left"/>
        </w:tabs>
        <w:numPr>
          <w:ilvl w:val="2"/>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44" w:lineRule="exact"/>
        <w:rPr>
          <w:rFonts w:ascii="Arial" w:cs="Arial" w:eastAsia="Arial" w:hAnsi="Arial"/>
          <w:sz w:val="16"/>
          <w:szCs w:val="16"/>
          <w:color w:val="auto"/>
        </w:rPr>
      </w:pPr>
    </w:p>
    <w:p>
      <w:pPr>
        <w:ind w:left="1780" w:hanging="489"/>
        <w:spacing w:after="0"/>
        <w:tabs>
          <w:tab w:leader="none" w:pos="1780" w:val="left"/>
        </w:tabs>
        <w:numPr>
          <w:ilvl w:val="2"/>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7" w:lineRule="exact"/>
        <w:rPr>
          <w:rFonts w:ascii="Arial" w:cs="Arial" w:eastAsia="Arial" w:hAnsi="Arial"/>
          <w:sz w:val="16"/>
          <w:szCs w:val="16"/>
          <w:color w:val="auto"/>
        </w:rPr>
      </w:pPr>
    </w:p>
    <w:p>
      <w:pPr>
        <w:ind w:left="1780" w:hanging="489"/>
        <w:spacing w:after="0"/>
        <w:tabs>
          <w:tab w:leader="none" w:pos="1780" w:val="left"/>
        </w:tabs>
        <w:numPr>
          <w:ilvl w:val="2"/>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7" w:lineRule="exact"/>
        <w:rPr>
          <w:rFonts w:ascii="Arial" w:cs="Arial" w:eastAsia="Arial" w:hAnsi="Arial"/>
          <w:sz w:val="16"/>
          <w:szCs w:val="16"/>
          <w:color w:val="auto"/>
        </w:rPr>
      </w:pPr>
    </w:p>
    <w:p>
      <w:pPr>
        <w:ind w:left="1320" w:hanging="387"/>
        <w:spacing w:after="0"/>
        <w:tabs>
          <w:tab w:leader="none" w:pos="1320" w:val="left"/>
        </w:tabs>
        <w:numPr>
          <w:ilvl w:val="1"/>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07" w:lineRule="exact"/>
        <w:rPr>
          <w:rFonts w:ascii="MS PGothic" w:cs="MS PGothic" w:eastAsia="MS PGothic" w:hAnsi="MS PGothic"/>
          <w:sz w:val="16"/>
          <w:szCs w:val="16"/>
          <w:color w:val="auto"/>
        </w:rPr>
      </w:pPr>
    </w:p>
    <w:p>
      <w:pPr>
        <w:ind w:left="1320" w:hanging="387"/>
        <w:spacing w:after="0" w:line="329" w:lineRule="auto"/>
        <w:tabs>
          <w:tab w:leader="none" w:pos="1320" w:val="left"/>
        </w:tabs>
        <w:numPr>
          <w:ilvl w:val="1"/>
          <w:numId w:val="3"/>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0" w:lineRule="exact"/>
        <w:rPr>
          <w:sz w:val="24"/>
          <w:szCs w:val="24"/>
          <w:color w:val="auto"/>
        </w:rPr>
      </w:pPr>
    </w:p>
    <w:p>
      <w:pPr>
        <w:ind w:left="920" w:hanging="493"/>
        <w:spacing w:after="0"/>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7" w:lineRule="exact"/>
        <w:rPr>
          <w:rFonts w:ascii="Arial" w:cs="Arial" w:eastAsia="Arial" w:hAnsi="Arial"/>
          <w:sz w:val="16"/>
          <w:szCs w:val="16"/>
          <w:color w:val="auto"/>
        </w:rPr>
      </w:pPr>
    </w:p>
    <w:p>
      <w:pPr>
        <w:ind w:left="1780" w:hanging="489"/>
        <w:spacing w:after="0"/>
        <w:tabs>
          <w:tab w:leader="none" w:pos="1780" w:val="left"/>
        </w:tabs>
        <w:numPr>
          <w:ilvl w:val="1"/>
          <w:numId w:val="4"/>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7" w:lineRule="exact"/>
        <w:rPr>
          <w:rFonts w:ascii="Arial" w:cs="Arial" w:eastAsia="Arial" w:hAnsi="Arial"/>
          <w:sz w:val="16"/>
          <w:szCs w:val="16"/>
          <w:color w:val="auto"/>
        </w:rPr>
      </w:pPr>
    </w:p>
    <w:p>
      <w:pPr>
        <w:ind w:left="1780" w:hanging="489"/>
        <w:spacing w:after="0"/>
        <w:tabs>
          <w:tab w:leader="none" w:pos="1780" w:val="left"/>
        </w:tabs>
        <w:numPr>
          <w:ilvl w:val="1"/>
          <w:numId w:val="4"/>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7" w:lineRule="exact"/>
        <w:rPr>
          <w:rFonts w:ascii="Arial" w:cs="Arial" w:eastAsia="Arial" w:hAnsi="Arial"/>
          <w:sz w:val="16"/>
          <w:szCs w:val="16"/>
          <w:color w:val="auto"/>
        </w:rPr>
      </w:pPr>
    </w:p>
    <w:p>
      <w:pPr>
        <w:ind w:left="1780" w:hanging="489"/>
        <w:spacing w:after="0"/>
        <w:tabs>
          <w:tab w:leader="none" w:pos="1780" w:val="left"/>
        </w:tabs>
        <w:numPr>
          <w:ilvl w:val="1"/>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480"/>
          </w:cols>
          <w:pgMar w:left="240" w:top="688" w:right="1179" w:bottom="1440" w:gutter="0" w:footer="0" w:header="0"/>
          <w:type w:val="continuous"/>
        </w:sectPr>
      </w:pPr>
    </w:p>
    <w:bookmarkStart w:id="1" w:name="page2"/>
    <w:bookmarkEnd w:id="1"/>
    <w:p>
      <w:pPr>
        <w:ind w:left="7160"/>
        <w:spacing w:after="0"/>
        <w:rPr>
          <w:sz w:val="20"/>
          <w:szCs w:val="20"/>
          <w:color w:val="auto"/>
        </w:rPr>
      </w:pPr>
      <w:r>
        <w:rPr>
          <w:rFonts w:ascii="Arial" w:cs="Arial" w:eastAsia="Arial" w:hAnsi="Arial"/>
          <w:sz w:val="18"/>
          <w:szCs w:val="18"/>
          <w:b w:val="1"/>
          <w:bCs w:val="1"/>
          <w:color w:val="auto"/>
        </w:rPr>
        <w:t>Anne T. Larin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-33655</wp:posOffset>
            </wp:positionV>
            <wp:extent cx="325755" cy="325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7"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160020</wp:posOffset>
            </wp:positionV>
            <wp:extent cx="3782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7160"/>
        <w:spacing w:after="0"/>
        <w:rPr>
          <w:sz w:val="20"/>
          <w:szCs w:val="20"/>
          <w:color w:val="auto"/>
        </w:rPr>
      </w:pPr>
      <w:r>
        <w:rPr>
          <w:rFonts w:ascii="Arial" w:cs="Arial" w:eastAsia="Arial" w:hAnsi="Arial"/>
          <w:sz w:val="14"/>
          <w:szCs w:val="14"/>
          <w:color w:val="808080"/>
        </w:rPr>
        <w:t>General Motors Company</w:t>
      </w:r>
    </w:p>
    <w:p>
      <w:pPr>
        <w:ind w:left="7160"/>
        <w:spacing w:after="0" w:line="221" w:lineRule="auto"/>
        <w:rPr>
          <w:sz w:val="20"/>
          <w:szCs w:val="20"/>
          <w:color w:val="auto"/>
        </w:rPr>
      </w:pPr>
      <w:r>
        <w:rPr>
          <w:rFonts w:ascii="Arial" w:cs="Arial" w:eastAsia="Arial" w:hAnsi="Arial"/>
          <w:sz w:val="14"/>
          <w:szCs w:val="14"/>
          <w:color w:val="808080"/>
        </w:rPr>
        <w:t>300 GM Renaissance Center</w:t>
      </w:r>
    </w:p>
    <w:p>
      <w:pPr>
        <w:ind w:left="7160"/>
        <w:spacing w:after="0"/>
        <w:rPr>
          <w:sz w:val="20"/>
          <w:szCs w:val="20"/>
          <w:color w:val="auto"/>
        </w:rPr>
      </w:pPr>
      <w:r>
        <w:rPr>
          <w:rFonts w:ascii="Arial" w:cs="Arial" w:eastAsia="Arial" w:hAnsi="Arial"/>
          <w:sz w:val="14"/>
          <w:szCs w:val="14"/>
          <w:color w:val="808080"/>
        </w:rPr>
        <w:t>Detroit, Michigan, 48265-3000</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General Motors Company</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Annual Meeting of Stockholders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Tuesday, June 12,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Dear Stockholder:</w:t>
      </w:r>
    </w:p>
    <w:p>
      <w:pPr>
        <w:spacing w:after="0" w:line="220"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With the General Motors Company Annual Meeting of Stockholders approaching, we want to share a couple of updates with you.</w:t>
      </w:r>
    </w:p>
    <w:p>
      <w:pPr>
        <w:spacing w:after="0" w:line="204" w:lineRule="exact"/>
        <w:rPr>
          <w:sz w:val="20"/>
          <w:szCs w:val="20"/>
          <w:color w:val="auto"/>
        </w:rPr>
      </w:pPr>
    </w:p>
    <w:p>
      <w:pPr>
        <w:ind w:right="160"/>
        <w:spacing w:after="0" w:line="246" w:lineRule="auto"/>
        <w:rPr>
          <w:sz w:val="20"/>
          <w:szCs w:val="20"/>
          <w:color w:val="auto"/>
        </w:rPr>
      </w:pPr>
      <w:r>
        <w:rPr>
          <w:rFonts w:ascii="Arial" w:cs="Arial" w:eastAsia="Arial" w:hAnsi="Arial"/>
          <w:sz w:val="22"/>
          <w:szCs w:val="22"/>
          <w:color w:val="auto"/>
        </w:rPr>
        <w:t>A stockholder who gave us notice that he intends to make nominations at the Annual Meeting has informed us that he may contact stockholders to solicit support for his candidates. GM's Board of Directors continues to recommend that you vote IN FAVOR of the individuals described in the proxy statement for the Annual Meeting.</w:t>
      </w:r>
    </w:p>
    <w:p>
      <w:pPr>
        <w:spacing w:after="0" w:line="208" w:lineRule="exact"/>
        <w:rPr>
          <w:sz w:val="20"/>
          <w:szCs w:val="20"/>
          <w:color w:val="auto"/>
        </w:rPr>
      </w:pPr>
    </w:p>
    <w:p>
      <w:pPr>
        <w:ind w:right="100"/>
        <w:spacing w:after="0" w:line="245" w:lineRule="auto"/>
        <w:rPr>
          <w:sz w:val="20"/>
          <w:szCs w:val="20"/>
          <w:color w:val="auto"/>
        </w:rPr>
      </w:pPr>
      <w:r>
        <w:rPr>
          <w:rFonts w:ascii="Arial" w:cs="Arial" w:eastAsia="Arial" w:hAnsi="Arial"/>
          <w:sz w:val="22"/>
          <w:szCs w:val="22"/>
          <w:color w:val="auto"/>
        </w:rPr>
        <w:t>We have recently learned about a related party transaction in 2011 not included in the proxy statement. Pernilla Ammann, the wife of GM's Chief Financial Officer Dan Ammann, is an officer and partner in an advertising agency that received approximately $600,000 for services provided to a GM subsidiary in 2011. This transaction has been properly ratified under our Related Party Transaction Policy, but not all the required procedures were followed.</w:t>
      </w:r>
    </w:p>
    <w:p>
      <w:pPr>
        <w:spacing w:after="0" w:line="250" w:lineRule="exact"/>
        <w:rPr>
          <w:sz w:val="20"/>
          <w:szCs w:val="20"/>
          <w:color w:val="auto"/>
        </w:rPr>
      </w:pPr>
    </w:p>
    <w:p>
      <w:pPr>
        <w:ind w:right="300"/>
        <w:spacing w:after="0" w:line="249" w:lineRule="auto"/>
        <w:rPr>
          <w:sz w:val="20"/>
          <w:szCs w:val="20"/>
          <w:color w:val="auto"/>
        </w:rPr>
      </w:pPr>
      <w:r>
        <w:rPr>
          <w:rFonts w:ascii="Arial" w:cs="Arial" w:eastAsia="Arial" w:hAnsi="Arial"/>
          <w:sz w:val="22"/>
          <w:szCs w:val="22"/>
          <w:color w:val="auto"/>
        </w:rPr>
        <w:t>Your vote is important. To vote by mail, telephone or Internet, please follow the instructions we sent you, so that your shares will be represented at the meeting.</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Anne T. Larin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Secretary</w:t>
      </w:r>
    </w:p>
    <w:sectPr>
      <w:pgSz w:w="11900" w:h="16838" w:orient="portrait"/>
      <w:cols w:equalWidth="0" w:num="1">
        <w:col w:w="11400"/>
      </w:cols>
      <w:pgMar w:left="240" w:top="95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
    </w:lvl>
    <w:lvl w:ilvl="1">
      <w:lvlJc w:val="left"/>
      <w:lvlText w:val="☐"/>
      <w:numFmt w:val="bullet"/>
      <w:start w:val="1"/>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1)"/>
      <w:numFmt w:val="decimal"/>
    </w:lvl>
    <w:lvl w:ilvl="1">
      <w:lvlJc w:val="left"/>
      <w:lvlText w:val="☐"/>
      <w:numFmt w:val="bullet"/>
      <w:start w:val="1"/>
    </w:lvl>
    <w:lvl w:ilvl="2">
      <w:lvlJc w:val="left"/>
      <w:lvlText w:val="(%3)"/>
      <w:numFmt w:val="decimal"/>
      <w:start w:val="2"/>
    </w:lvl>
  </w:abstractNum>
  <w:abstractNum w:abstractNumId="3">
    <w:nsid w:val="625558EC"/>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2019-12-09T20:27:05Z</dcterms:created>
  <dcterms:modified xsi:type="dcterms:W3CDTF">2019-12-09T20:27:05Z</dcterms:modified>
</cp:coreProperties>
</file>