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August 2, 2017 to the Prospectus dated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7, 2017. Registration Statement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 333-215924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as of August 2,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Floating Rate Senior Notes due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4.200% Senior Notes due 2027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5.150% Senior Notes due 2038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5.400% Senior Notes due 2048</w:t>
      </w:r>
    </w:p>
    <w:p>
      <w:pPr>
        <w:spacing w:after="0" w:line="211" w:lineRule="exact"/>
        <w:rPr>
          <w:sz w:val="24"/>
          <w:szCs w:val="24"/>
          <w:color w:val="auto"/>
        </w:rPr>
      </w:pPr>
    </w:p>
    <w:p>
      <w:pPr>
        <w:ind w:right="100"/>
        <w:spacing w:after="0" w:line="297" w:lineRule="auto"/>
        <w:rPr>
          <w:sz w:val="20"/>
          <w:szCs w:val="20"/>
          <w:color w:val="auto"/>
        </w:rPr>
      </w:pPr>
      <w:r>
        <w:rPr>
          <w:rFonts w:ascii="Arial" w:cs="Arial" w:eastAsia="Arial" w:hAnsi="Arial"/>
          <w:sz w:val="16"/>
          <w:szCs w:val="16"/>
          <w:i w:val="1"/>
          <w:iCs w:val="1"/>
          <w:color w:val="auto"/>
        </w:rPr>
        <w:t>The information in this pricing term sheet relates only to the offering of the Notes and should be read together with the preliminary prospectus supplement of General Motors Company dated August 2, 2017 (the “Preliminary Prospectus Supplement”) to its prospectus dated February 7, 2017,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Terms Applicable to the Notes</w:t>
      </w:r>
    </w:p>
    <w:p>
      <w:pPr>
        <w:sectPr>
          <w:pgSz w:w="11900" w:h="16838" w:orient="portrait"/>
          <w:cols w:equalWidth="0" w:num="1">
            <w:col w:w="11420"/>
          </w:cols>
          <w:pgMar w:left="240" w:top="233" w:right="239" w:bottom="1440" w:gutter="0" w:footer="0" w:header="0"/>
        </w:sectPr>
      </w:pP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136" w:lineRule="exact"/>
        <w:rPr>
          <w:sz w:val="24"/>
          <w:szCs w:val="24"/>
          <w:color w:val="auto"/>
        </w:rPr>
      </w:pPr>
    </w:p>
    <w:p>
      <w:pPr>
        <w:sectPr>
          <w:pgSz w:w="11900" w:h="16838" w:orient="portrait"/>
          <w:cols w:equalWidth="0" w:num="2">
            <w:col w:w="2720" w:space="720"/>
            <w:col w:w="79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August 2, 2017</w:t>
      </w:r>
    </w:p>
    <w:p>
      <w:pPr>
        <w:spacing w:after="0" w:line="136" w:lineRule="exact"/>
        <w:rPr>
          <w:sz w:val="24"/>
          <w:szCs w:val="24"/>
          <w:color w:val="auto"/>
        </w:rPr>
      </w:pPr>
    </w:p>
    <w:p>
      <w:pPr>
        <w:sectPr>
          <w:pgSz w:w="11900" w:h="16838" w:orient="portrait"/>
          <w:cols w:equalWidth="0" w:num="2">
            <w:col w:w="2720" w:space="720"/>
            <w:col w:w="79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August 7, 2017 (T+3)</w:t>
      </w:r>
    </w:p>
    <w:p>
      <w:pPr>
        <w:spacing w:after="0" w:line="136" w:lineRule="exact"/>
        <w:rPr>
          <w:sz w:val="24"/>
          <w:szCs w:val="24"/>
          <w:color w:val="auto"/>
        </w:rPr>
      </w:pPr>
    </w:p>
    <w:p>
      <w:pPr>
        <w:sectPr>
          <w:pgSz w:w="11900" w:h="16838" w:orient="portrait"/>
          <w:cols w:equalWidth="0" w:num="2">
            <w:col w:w="2720" w:space="720"/>
            <w:col w:w="79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4"/>
          <w:szCs w:val="24"/>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12" w:lineRule="exact"/>
        <w:rPr>
          <w:sz w:val="24"/>
          <w:szCs w:val="24"/>
          <w:color w:val="auto"/>
        </w:rPr>
      </w:pPr>
    </w:p>
    <w:p>
      <w:pPr>
        <w:sectPr>
          <w:pgSz w:w="11900" w:h="16838" w:orient="portrait"/>
          <w:cols w:equalWidth="0" w:num="2">
            <w:col w:w="2720" w:space="720"/>
            <w:col w:w="79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Lead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SG Americas Securities, LLC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BNP Paribas Securities Corp.</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Commerz Markets LLC</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Mizuho Securities USA LLC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RBS Securities Inc.</w:t>
      </w:r>
    </w:p>
    <w:p>
      <w:pPr>
        <w:spacing w:after="0" w:line="112" w:lineRule="exact"/>
        <w:rPr>
          <w:sz w:val="24"/>
          <w:szCs w:val="24"/>
          <w:color w:val="auto"/>
        </w:rPr>
      </w:pPr>
    </w:p>
    <w:p>
      <w:pPr>
        <w:sectPr>
          <w:pgSz w:w="11900" w:h="16838" w:orient="portrait"/>
          <w:cols w:equalWidth="0" w:num="2">
            <w:col w:w="2720" w:space="720"/>
            <w:col w:w="79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Credit Agricole Securities (USA) Inc.</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TD Securities (USA) LLC</w:t>
      </w:r>
    </w:p>
    <w:p>
      <w:pPr>
        <w:sectPr>
          <w:pgSz w:w="11900" w:h="16838" w:orient="portrait"/>
          <w:cols w:equalWidth="0" w:num="2">
            <w:col w:w="2720" w:space="720"/>
            <w:col w:w="798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Banco Bradesco BBI S.A.</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BB Securities Limited</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UniCredit Capital Markets LLC</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U.S. Bancorp Investments, Inc.</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Santander Investment Securities Inc.</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PNC Capital Markets LLC</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Mischler Financial Group, Inc.</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Samuel A. Ramirez &amp; Company, Inc.</w:t>
            </w:r>
          </w:p>
        </w:tc>
      </w:tr>
      <w:tr>
        <w:trPr>
          <w:trHeight w:val="230"/>
        </w:trPr>
        <w:tc>
          <w:tcPr>
            <w:tcW w:w="2840" w:type="dxa"/>
            <w:vAlign w:val="bottom"/>
          </w:tcPr>
          <w:p>
            <w:pPr>
              <w:spacing w:after="0"/>
              <w:rPr>
                <w:sz w:val="20"/>
                <w:szCs w:val="20"/>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The Williams Capital Group, L.P.</w:t>
            </w:r>
          </w:p>
        </w:tc>
      </w:tr>
      <w:tr>
        <w:trPr>
          <w:trHeight w:val="365"/>
        </w:trPr>
        <w:tc>
          <w:tcPr>
            <w:tcW w:w="2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7"/>
        </w:trPr>
        <w:tc>
          <w:tcPr>
            <w:tcW w:w="2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740" w:type="dxa"/>
            <w:vAlign w:val="bottom"/>
            <w:gridSpan w:val="2"/>
          </w:tcPr>
          <w:p>
            <w:pPr>
              <w:jc w:val="center"/>
              <w:ind w:right="434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2840" w:type="dxa"/>
            <w:vAlign w:val="bottom"/>
          </w:tcPr>
          <w:p>
            <w:pPr>
              <w:spacing w:after="0"/>
              <w:rPr>
                <w:sz w:val="20"/>
                <w:szCs w:val="20"/>
                <w:color w:val="auto"/>
              </w:rPr>
            </w:pPr>
          </w:p>
        </w:tc>
        <w:tc>
          <w:tcPr>
            <w:tcW w:w="8420" w:type="dxa"/>
            <w:vAlign w:val="bottom"/>
            <w:gridSpan w:val="3"/>
          </w:tcPr>
          <w:p>
            <w:pPr>
              <w:jc w:val="center"/>
              <w:ind w:right="2660"/>
              <w:spacing w:after="0"/>
              <w:rPr>
                <w:sz w:val="20"/>
                <w:szCs w:val="20"/>
                <w:color w:val="auto"/>
              </w:rPr>
            </w:pPr>
            <w:r>
              <w:rPr>
                <w:rFonts w:ascii="Arial" w:cs="Arial" w:eastAsia="Arial" w:hAnsi="Arial"/>
                <w:sz w:val="18"/>
                <w:szCs w:val="18"/>
                <w:b w:val="1"/>
                <w:bCs w:val="1"/>
                <w:color w:val="auto"/>
                <w:w w:val="89"/>
              </w:rPr>
              <w:t>Floating Rate Senior Notes due 2020</w:t>
            </w:r>
          </w:p>
        </w:tc>
      </w:tr>
      <w:tr>
        <w:trPr>
          <w:trHeight w:val="567"/>
        </w:trPr>
        <w:tc>
          <w:tcPr>
            <w:tcW w:w="284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Floating Rate Senior Notes due 2020</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Senior Unsecured Notes</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1680" w:type="dxa"/>
            <w:vAlign w:val="bottom"/>
          </w:tcPr>
          <w:p>
            <w:pPr>
              <w:ind w:left="600"/>
              <w:spacing w:after="0"/>
              <w:rPr>
                <w:sz w:val="20"/>
                <w:szCs w:val="20"/>
                <w:color w:val="auto"/>
              </w:rPr>
            </w:pPr>
            <w:r>
              <w:rPr>
                <w:rFonts w:ascii="Arial" w:cs="Arial" w:eastAsia="Arial" w:hAnsi="Arial"/>
                <w:sz w:val="18"/>
                <w:szCs w:val="18"/>
                <w:color w:val="auto"/>
                <w:w w:val="96"/>
              </w:rPr>
              <w:t>$500,000,000</w:t>
            </w:r>
          </w:p>
        </w:tc>
        <w:tc>
          <w:tcPr>
            <w:tcW w:w="23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100.000%, plus accrued and unpaid interest, if any, from August 7, 2017</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August 7, 2020</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Interest Rate Basis:</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Three-month LIBOR</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Spread to LIBOR:</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+ 80 bps</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February 7, May 7, August 7 and November 7, beginning November 7, 2017</w:t>
            </w:r>
          </w:p>
        </w:tc>
      </w:tr>
      <w:tr>
        <w:trPr>
          <w:trHeight w:val="310"/>
        </w:trPr>
        <w:tc>
          <w:tcPr>
            <w:tcW w:w="2840" w:type="dxa"/>
            <w:vAlign w:val="bottom"/>
          </w:tcPr>
          <w:p>
            <w:pPr>
              <w:spacing w:after="0"/>
              <w:rPr>
                <w:sz w:val="20"/>
                <w:szCs w:val="20"/>
                <w:color w:val="auto"/>
              </w:rPr>
            </w:pPr>
            <w:r>
              <w:rPr>
                <w:rFonts w:ascii="Arial" w:cs="Arial" w:eastAsia="Arial" w:hAnsi="Arial"/>
                <w:sz w:val="18"/>
                <w:szCs w:val="18"/>
                <w:b w:val="1"/>
                <w:bCs w:val="1"/>
                <w:color w:val="auto"/>
              </w:rPr>
              <w:t>Interest Rate Determination:</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w w:val="90"/>
              </w:rPr>
              <w:t>Three-month LIBOR, determined as of two London business days prior to the settlement date or the relevant</w:t>
            </w:r>
          </w:p>
        </w:tc>
      </w:tr>
      <w:tr>
        <w:trPr>
          <w:trHeight w:val="230"/>
        </w:trPr>
        <w:tc>
          <w:tcPr>
            <w:tcW w:w="2840" w:type="dxa"/>
            <w:vAlign w:val="bottom"/>
          </w:tcPr>
          <w:p>
            <w:pPr>
              <w:spacing w:after="0"/>
              <w:rPr>
                <w:sz w:val="20"/>
                <w:szCs w:val="20"/>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interest reset date, as applicable, plus 0.800% per annum</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Interest Reset Dates:</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Quarterly on February 7, May 7, August 7 and November 7, commencing on November 7, 2017</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Initial Interest Reset Period:</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Period from and including August 7, 2017 to but excluding the first interest reset date</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Actual / 360</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Redemption:</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The notes shall not be redeemable prior to their maturity</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Regular Record Dates:</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15 calendar days prior to each interest payment date</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Calculation Agent</w:t>
            </w:r>
            <w:r>
              <w:rPr>
                <w:rFonts w:ascii="Arial" w:cs="Arial" w:eastAsia="Arial" w:hAnsi="Arial"/>
                <w:sz w:val="18"/>
                <w:szCs w:val="18"/>
                <w:color w:val="auto"/>
              </w:rPr>
              <w:t>:</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The Bank of New York Mellon</w:t>
            </w: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10"/>
        </w:trPr>
        <w:tc>
          <w:tcPr>
            <w:tcW w:w="284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Baa3 by Moody’s Investors Service, Inc.</w:t>
            </w:r>
          </w:p>
        </w:tc>
      </w:tr>
      <w:tr>
        <w:trPr>
          <w:trHeight w:val="216"/>
        </w:trPr>
        <w:tc>
          <w:tcPr>
            <w:tcW w:w="2840" w:type="dxa"/>
            <w:vAlign w:val="bottom"/>
          </w:tcPr>
          <w:p>
            <w:pPr>
              <w:spacing w:after="0"/>
              <w:rPr>
                <w:sz w:val="18"/>
                <w:szCs w:val="18"/>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BBB by Standard &amp; Poor’s Ratings Services</w:t>
            </w:r>
          </w:p>
        </w:tc>
      </w:tr>
      <w:tr>
        <w:trPr>
          <w:trHeight w:val="230"/>
        </w:trPr>
        <w:tc>
          <w:tcPr>
            <w:tcW w:w="2840" w:type="dxa"/>
            <w:vAlign w:val="bottom"/>
          </w:tcPr>
          <w:p>
            <w:pPr>
              <w:spacing w:after="0"/>
              <w:rPr>
                <w:sz w:val="20"/>
                <w:szCs w:val="20"/>
                <w:color w:val="auto"/>
              </w:rPr>
            </w:pP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BBB by Fitch Ratings</w:t>
            </w:r>
          </w:p>
        </w:tc>
      </w:tr>
      <w:tr>
        <w:trPr>
          <w:trHeight w:val="338"/>
        </w:trPr>
        <w:tc>
          <w:tcPr>
            <w:tcW w:w="284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8420" w:type="dxa"/>
            <w:vAlign w:val="bottom"/>
            <w:gridSpan w:val="3"/>
          </w:tcPr>
          <w:p>
            <w:pPr>
              <w:ind w:left="600"/>
              <w:spacing w:after="0"/>
              <w:rPr>
                <w:sz w:val="20"/>
                <w:szCs w:val="20"/>
                <w:color w:val="auto"/>
              </w:rPr>
            </w:pPr>
            <w:r>
              <w:rPr>
                <w:rFonts w:ascii="Arial" w:cs="Arial" w:eastAsia="Arial" w:hAnsi="Arial"/>
                <w:sz w:val="18"/>
                <w:szCs w:val="18"/>
                <w:color w:val="auto"/>
              </w:rPr>
              <w:t>37045VAM2 / US37045VAM28</w:t>
            </w:r>
          </w:p>
        </w:tc>
      </w:tr>
      <w:tr>
        <w:trPr>
          <w:trHeight w:val="365"/>
        </w:trPr>
        <w:tc>
          <w:tcPr>
            <w:tcW w:w="2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628"/>
        </w:trPr>
        <w:tc>
          <w:tcPr>
            <w:tcW w:w="2840" w:type="dxa"/>
            <w:vAlign w:val="bottom"/>
          </w:tcPr>
          <w:p>
            <w:pPr>
              <w:spacing w:after="0"/>
              <w:rPr>
                <w:sz w:val="24"/>
                <w:szCs w:val="24"/>
                <w:color w:val="auto"/>
              </w:rPr>
            </w:pPr>
          </w:p>
        </w:tc>
        <w:tc>
          <w:tcPr>
            <w:tcW w:w="406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2</w:t>
            </w:r>
          </w:p>
        </w:tc>
        <w:tc>
          <w:tcPr>
            <w:tcW w:w="4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240" w:top="274" w:right="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Applicable to the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4.200% Senior Notes due 2027</w:t>
      </w:r>
    </w:p>
    <w:p>
      <w:pPr>
        <w:sectPr>
          <w:pgSz w:w="11900" w:h="16838" w:orient="portrait"/>
          <w:cols w:equalWidth="0" w:num="1">
            <w:col w:w="10219"/>
          </w:cols>
          <w:pgMar w:left="240" w:top="621" w:right="1440"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Ratings*: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4.200% Senior Notes due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99.852%, plus accrued and unpaid interest, if any, from August 7,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October 1,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4.200%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+ 195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2.375% due May 15,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100-30; 2.267%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beginning April 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T+30 bps prior to July 1,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or after July 1,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Baa3 by Moody’s Investors Service,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BBB by Standard &amp; Poor’s Ratings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BBB by Fitch Ratings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37045VAN0 / US37045VAN01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238125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500"/>
            <w:col w:w="6779"/>
          </w:cols>
          <w:pgMar w:left="240" w:top="621" w:right="1440" w:bottom="1440" w:gutter="0" w:footer="0" w:header="0"/>
          <w:type w:val="continuous"/>
        </w:sectPr>
      </w:pPr>
    </w:p>
    <w:p>
      <w:pPr>
        <w:spacing w:after="0" w:line="38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Terms Applicable to the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5.150% Senior Notes due 2038</w:t>
      </w:r>
    </w:p>
    <w:p>
      <w:pPr>
        <w:sectPr>
          <w:pgSz w:w="11900" w:h="16838" w:orient="portrait"/>
          <w:cols w:equalWidth="0" w:num="1">
            <w:col w:w="10219"/>
          </w:cols>
          <w:pgMar w:left="240" w:top="621" w:right="1440" w:bottom="1440" w:gutter="0" w:footer="0" w:header="0"/>
          <w:type w:val="continuous"/>
        </w:sect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Spread to Benchmark Treasury: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5.150% Senior Notes due 2038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99.937%, plus accrued and unpaid interest, if any, from August 7,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April 1, 2038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5.150%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5.154%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+ 230 bps</w:t>
      </w:r>
    </w:p>
    <w:p>
      <w:pPr>
        <w:spacing w:after="0" w:line="158" w:lineRule="exact"/>
        <w:rPr>
          <w:sz w:val="20"/>
          <w:szCs w:val="20"/>
          <w:color w:val="auto"/>
        </w:rPr>
      </w:pPr>
    </w:p>
    <w:p>
      <w:pPr>
        <w:sectPr>
          <w:pgSz w:w="11900" w:h="16838" w:orient="portrait"/>
          <w:cols w:equalWidth="0" w:num="2">
            <w:col w:w="2720" w:space="720"/>
            <w:col w:w="6779"/>
          </w:cols>
          <w:pgMar w:left="240" w:top="621"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621"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3.000% due February 15, 2047</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w w:val="99"/>
              </w:rPr>
              <w:t>Benchmark Treasury Price and Yield:</w:t>
            </w:r>
          </w:p>
        </w:tc>
        <w:tc>
          <w:tcPr>
            <w:tcW w:w="3720" w:type="dxa"/>
            <w:vAlign w:val="bottom"/>
            <w:gridSpan w:val="2"/>
          </w:tcPr>
          <w:p>
            <w:pPr>
              <w:ind w:left="260"/>
              <w:spacing w:after="0"/>
              <w:rPr>
                <w:sz w:val="20"/>
                <w:szCs w:val="20"/>
                <w:color w:val="auto"/>
              </w:rPr>
            </w:pPr>
            <w:r>
              <w:rPr>
                <w:rFonts w:ascii="Arial" w:cs="Arial" w:eastAsia="Arial" w:hAnsi="Arial"/>
                <w:sz w:val="18"/>
                <w:szCs w:val="18"/>
                <w:color w:val="auto"/>
              </w:rPr>
              <w:t>102-28+; 2.854%</w:t>
            </w:r>
          </w:p>
        </w:tc>
        <w:tc>
          <w:tcPr>
            <w:tcW w:w="168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April 1 and October 1, beginning April 1, 2018</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March 15 and September 15</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1340" w:type="dxa"/>
            <w:vAlign w:val="bottom"/>
          </w:tcPr>
          <w:p>
            <w:pPr>
              <w:ind w:left="260"/>
              <w:spacing w:after="0"/>
              <w:rPr>
                <w:sz w:val="20"/>
                <w:szCs w:val="20"/>
                <w:color w:val="auto"/>
              </w:rPr>
            </w:pPr>
            <w:r>
              <w:rPr>
                <w:rFonts w:ascii="Arial" w:cs="Arial" w:eastAsia="Arial" w:hAnsi="Arial"/>
                <w:sz w:val="18"/>
                <w:szCs w:val="18"/>
                <w:color w:val="auto"/>
              </w:rPr>
              <w:t>30 / 360</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T+35 bps prior to October 1, 2037</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Par Call:</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On or after October 1, 2037</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10"/>
        </w:trPr>
        <w:tc>
          <w:tcPr>
            <w:tcW w:w="318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Baa3 by Moody’s Investors Service, Inc.</w:t>
            </w:r>
          </w:p>
        </w:tc>
      </w:tr>
      <w:tr>
        <w:trPr>
          <w:trHeight w:val="216"/>
        </w:trPr>
        <w:tc>
          <w:tcPr>
            <w:tcW w:w="3180" w:type="dxa"/>
            <w:vAlign w:val="bottom"/>
          </w:tcPr>
          <w:p>
            <w:pPr>
              <w:spacing w:after="0"/>
              <w:rPr>
                <w:sz w:val="18"/>
                <w:szCs w:val="18"/>
                <w:color w:val="auto"/>
              </w:rPr>
            </w:pP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BBB by Standard &amp; Poor’s Ratings Services</w:t>
            </w:r>
          </w:p>
        </w:tc>
      </w:tr>
      <w:tr>
        <w:trPr>
          <w:trHeight w:val="230"/>
        </w:trPr>
        <w:tc>
          <w:tcPr>
            <w:tcW w:w="3180" w:type="dxa"/>
            <w:vAlign w:val="bottom"/>
          </w:tcPr>
          <w:p>
            <w:pPr>
              <w:spacing w:after="0"/>
              <w:rPr>
                <w:sz w:val="20"/>
                <w:szCs w:val="20"/>
                <w:color w:val="auto"/>
              </w:rPr>
            </w:pP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BBB by Fitch Ratings</w:t>
            </w:r>
          </w:p>
        </w:tc>
      </w:tr>
      <w:tr>
        <w:trPr>
          <w:trHeight w:val="338"/>
        </w:trPr>
        <w:tc>
          <w:tcPr>
            <w:tcW w:w="318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37045VAP5 / US37045VAP58</w:t>
            </w:r>
          </w:p>
        </w:tc>
      </w:tr>
      <w:tr>
        <w:trPr>
          <w:trHeight w:val="351"/>
        </w:trPr>
        <w:tc>
          <w:tcPr>
            <w:tcW w:w="3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407"/>
        </w:trPr>
        <w:tc>
          <w:tcPr>
            <w:tcW w:w="3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6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89"/>
              </w:rPr>
              <w:t>Terms Applicable to the</w:t>
            </w:r>
          </w:p>
        </w:tc>
      </w:tr>
      <w:tr>
        <w:trPr>
          <w:trHeight w:val="234"/>
        </w:trPr>
        <w:tc>
          <w:tcPr>
            <w:tcW w:w="3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6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0"/>
              </w:rPr>
              <w:t>5.400% Senior Notes due 2048</w:t>
            </w:r>
          </w:p>
        </w:tc>
      </w:tr>
      <w:tr>
        <w:trPr>
          <w:trHeight w:val="567"/>
        </w:trPr>
        <w:tc>
          <w:tcPr>
            <w:tcW w:w="318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5.400% Senior Notes due 2048</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Senior Unsecured Notes</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1340" w:type="dxa"/>
            <w:vAlign w:val="bottom"/>
          </w:tcPr>
          <w:p>
            <w:pPr>
              <w:ind w:left="260"/>
              <w:spacing w:after="0"/>
              <w:rPr>
                <w:sz w:val="20"/>
                <w:szCs w:val="20"/>
                <w:color w:val="auto"/>
              </w:rPr>
            </w:pPr>
            <w:r>
              <w:rPr>
                <w:rFonts w:ascii="Arial" w:cs="Arial" w:eastAsia="Arial" w:hAnsi="Arial"/>
                <w:sz w:val="18"/>
                <w:szCs w:val="18"/>
                <w:color w:val="auto"/>
                <w:w w:val="96"/>
              </w:rPr>
              <w:t>$750,000,000</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w w:val="90"/>
              </w:rPr>
              <w:t>99.927%, plus accrued and unpaid interest, if any, from August 7, 2017</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April 1, 2048</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Coupon (Interest Rate):</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5.400% per year</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1340" w:type="dxa"/>
            <w:vAlign w:val="bottom"/>
          </w:tcPr>
          <w:p>
            <w:pPr>
              <w:ind w:left="260"/>
              <w:spacing w:after="0"/>
              <w:rPr>
                <w:sz w:val="20"/>
                <w:szCs w:val="20"/>
                <w:color w:val="auto"/>
              </w:rPr>
            </w:pPr>
            <w:r>
              <w:rPr>
                <w:rFonts w:ascii="Arial" w:cs="Arial" w:eastAsia="Arial" w:hAnsi="Arial"/>
                <w:sz w:val="18"/>
                <w:szCs w:val="18"/>
                <w:color w:val="auto"/>
              </w:rPr>
              <w:t>5.404%</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+ 255 bps</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3.000% due February 15, 2047</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w w:val="99"/>
              </w:rPr>
              <w:t>Benchmark Treasury Price and Yield:</w:t>
            </w:r>
          </w:p>
        </w:tc>
        <w:tc>
          <w:tcPr>
            <w:tcW w:w="3720" w:type="dxa"/>
            <w:vAlign w:val="bottom"/>
            <w:gridSpan w:val="2"/>
          </w:tcPr>
          <w:p>
            <w:pPr>
              <w:ind w:left="260"/>
              <w:spacing w:after="0"/>
              <w:rPr>
                <w:sz w:val="20"/>
                <w:szCs w:val="20"/>
                <w:color w:val="auto"/>
              </w:rPr>
            </w:pPr>
            <w:r>
              <w:rPr>
                <w:rFonts w:ascii="Arial" w:cs="Arial" w:eastAsia="Arial" w:hAnsi="Arial"/>
                <w:sz w:val="18"/>
                <w:szCs w:val="18"/>
                <w:color w:val="auto"/>
              </w:rPr>
              <w:t>102-28+; 2.854%</w:t>
            </w:r>
          </w:p>
        </w:tc>
        <w:tc>
          <w:tcPr>
            <w:tcW w:w="168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April 1 and October 1, beginning April 1, 2018</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March 15 and September 15</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1340" w:type="dxa"/>
            <w:vAlign w:val="bottom"/>
          </w:tcPr>
          <w:p>
            <w:pPr>
              <w:ind w:left="260"/>
              <w:spacing w:after="0"/>
              <w:rPr>
                <w:sz w:val="20"/>
                <w:szCs w:val="20"/>
                <w:color w:val="auto"/>
              </w:rPr>
            </w:pPr>
            <w:r>
              <w:rPr>
                <w:rFonts w:ascii="Arial" w:cs="Arial" w:eastAsia="Arial" w:hAnsi="Arial"/>
                <w:sz w:val="18"/>
                <w:szCs w:val="18"/>
                <w:color w:val="auto"/>
              </w:rPr>
              <w:t>30 / 360</w:t>
            </w: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T+40 bps prior to October 1, 2047</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Par Call:</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On or after October 1, 2047</w:t>
            </w:r>
          </w:p>
        </w:tc>
      </w:tr>
      <w:tr>
        <w:trPr>
          <w:trHeight w:val="324"/>
        </w:trPr>
        <w:tc>
          <w:tcPr>
            <w:tcW w:w="318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10"/>
        </w:trPr>
        <w:tc>
          <w:tcPr>
            <w:tcW w:w="318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Baa3 by Moody’s Investors Service, Inc.</w:t>
            </w:r>
          </w:p>
        </w:tc>
      </w:tr>
      <w:tr>
        <w:trPr>
          <w:trHeight w:val="216"/>
        </w:trPr>
        <w:tc>
          <w:tcPr>
            <w:tcW w:w="3180" w:type="dxa"/>
            <w:vAlign w:val="bottom"/>
          </w:tcPr>
          <w:p>
            <w:pPr>
              <w:spacing w:after="0"/>
              <w:rPr>
                <w:sz w:val="18"/>
                <w:szCs w:val="18"/>
                <w:color w:val="auto"/>
              </w:rPr>
            </w:pP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BBB by Standard &amp; Poor’s Ratings Services</w:t>
            </w:r>
          </w:p>
        </w:tc>
      </w:tr>
      <w:tr>
        <w:trPr>
          <w:trHeight w:val="230"/>
        </w:trPr>
        <w:tc>
          <w:tcPr>
            <w:tcW w:w="3180" w:type="dxa"/>
            <w:vAlign w:val="bottom"/>
          </w:tcPr>
          <w:p>
            <w:pPr>
              <w:spacing w:after="0"/>
              <w:rPr>
                <w:sz w:val="20"/>
                <w:szCs w:val="20"/>
                <w:color w:val="auto"/>
              </w:rPr>
            </w:pP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BBB by Fitch Ratings</w:t>
            </w:r>
          </w:p>
        </w:tc>
      </w:tr>
      <w:tr>
        <w:trPr>
          <w:trHeight w:val="338"/>
        </w:trPr>
        <w:tc>
          <w:tcPr>
            <w:tcW w:w="318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37045VAQ3 / US37045VAQ32</w:t>
            </w:r>
          </w:p>
        </w:tc>
      </w:tr>
      <w:tr>
        <w:trPr>
          <w:trHeight w:val="365"/>
        </w:trPr>
        <w:tc>
          <w:tcPr>
            <w:tcW w:w="3180" w:type="dxa"/>
            <w:vAlign w:val="bottom"/>
          </w:tcPr>
          <w:p>
            <w:pPr>
              <w:spacing w:after="0"/>
              <w:rPr>
                <w:sz w:val="24"/>
                <w:szCs w:val="24"/>
                <w:color w:val="auto"/>
              </w:rPr>
            </w:pPr>
          </w:p>
        </w:tc>
        <w:tc>
          <w:tcPr>
            <w:tcW w:w="3720" w:type="dxa"/>
            <w:vAlign w:val="bottom"/>
            <w:gridSpan w:val="2"/>
          </w:tcPr>
          <w:p>
            <w:pPr>
              <w:jc w:val="center"/>
              <w:ind w:left="1250"/>
              <w:spacing w:after="0"/>
              <w:rPr>
                <w:sz w:val="20"/>
                <w:szCs w:val="20"/>
                <w:color w:val="auto"/>
              </w:rPr>
            </w:pPr>
            <w:r>
              <w:rPr>
                <w:rFonts w:ascii="Arial" w:cs="Arial" w:eastAsia="Arial" w:hAnsi="Arial"/>
                <w:sz w:val="18"/>
                <w:szCs w:val="18"/>
                <w:color w:val="auto"/>
                <w:w w:val="99"/>
              </w:rPr>
              <w:t>4</w:t>
            </w:r>
          </w:p>
        </w:tc>
        <w:tc>
          <w:tcPr>
            <w:tcW w:w="16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378"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 </w:t>
      </w:r>
      <w:r>
        <w:rPr>
          <w:rFonts w:ascii="Arial" w:cs="Arial" w:eastAsia="Arial" w:hAnsi="Arial"/>
          <w:sz w:val="18"/>
          <w:szCs w:val="18"/>
          <w:color w:val="auto"/>
        </w:rPr>
        <w:t>A security rating is not a recommendation to buy, sell or hold securities and may be subject to revision or withdrawn at any time.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Deutsche Bank Securities Inc. toll-free at 1-800-503-4611, Merrill Lynch, Pierce, Fenner &amp; Smith Incorporated toll-free at 1-800-294-1322 and Morgan Stanley &amp; Co. LLC toll-free at 1-866-718-1649.</w:t>
      </w:r>
    </w:p>
    <w:p>
      <w:pPr>
        <w:spacing w:after="0" w:line="17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Notes in any state or jurisdiction in which such offer, solicitation or sale would be unlawful.</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2019-12-07T11:11:52Z</dcterms:created>
  <dcterms:modified xsi:type="dcterms:W3CDTF">2019-12-07T11:11:52Z</dcterms:modified>
</cp:coreProperties>
</file>